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CFO Search for Roach, Moss and Hall</w:t>
      </w:r>
    </w:p>
    <w:p>
      <w:r>
        <w:t>Prepared for the leadership group at Roach, Moss and Hall by Sandra Fuentes, Principal. The search is on track, and the matter that should hold your attention is not the pace but the shape of the list: we have widened the research into two adjacent sectors, which sets us back the better part of a week and which we think is plainly the right call, and it means the slate you see will be broader than the one described at the briefing. The rest of this report sits behind that.</w:t>
      </w:r>
    </w:p>
    <w:p>
      <w:pPr>
        <w:pStyle w:val="Heading2"/>
      </w:pPr>
      <w:r>
        <w:t>Where the search stands</w:t>
      </w:r>
    </w:p>
    <w:p>
      <w:r>
        <w:t>We are at roughly the midpoint. The position specification has not moved since it was signed off, which is worth saying, because a specification that keeps changing under a search is the usual reason one runs long. The company map is complete and has now been extended past the original sector. Approaches are well advanced: first conversations have happened with the great majority of the working list, and second conversations are underway with the people who are serious about it. James Grant and I have between us met every candidate likely to reach the slate, in person and more than once, which is the standard we hold to before a name is put in front of a client.</w:t>
      </w:r>
    </w:p>
    <w:p>
      <w:r>
        <w:t>Two things the approaches have surfaced are worth passing on now, because they will show up in your interviews. The role reads as a genuine step up to deputies at larger companies, and it reads as a lateral move to sitting finance chiefs well above your size, which is why the second of those groups has produced fewer real conversations than the map suggested it would. And the question that comes back most often is not about the numbers at all; it is about who owns the annual plan and how much room the seat has to change it. A consistent answer to that from everyone who interviews will do more for this search than anything we write down.</w:t>
      </w:r>
    </w:p>
    <w:p>
      <w:pPr>
        <w:pStyle w:val="Heading2"/>
      </w:pPr>
      <w:r>
        <w:t>What has closed out in this period</w:t>
      </w:r>
    </w:p>
    <w:p>
      <w:r>
        <w:t>Several pieces of work finished in this period, and I set them down so that your team can see where the ground is now firm.</w:t>
      </w:r>
    </w:p>
    <w:p>
      <w:pPr>
        <w:pStyle w:val="ListBullet"/>
      </w:pPr>
      <w:r>
        <w:t>1. The position specification was signed off and circulated to the interview group, and every approach we have made since has been made against it.</w:t>
      </w:r>
    </w:p>
    <w:p>
      <w:pPr>
        <w:pStyle w:val="ListBullet"/>
      </w:pPr>
      <w:r>
        <w:t>2. Jeffrey Patterson completed the company map and then extended it, on our own initiative, into the two adjacent sectors raised at the working session.</w:t>
      </w:r>
    </w:p>
    <w:p>
      <w:pPr>
        <w:pStyle w:val="ListBullet"/>
      </w:pPr>
      <w:r>
        <w:t>3. First approaches are complete across the original sector, and second conversations are underway with the candidates who have real interest in the role.</w:t>
      </w:r>
    </w:p>
    <w:p>
      <w:pPr>
        <w:pStyle w:val="ListBullet"/>
      </w:pPr>
      <w:r>
        <w:t>4. James Grant has the interview architecture in place: two half-day windows held with your office, the board members' availability confirmed, and an agreed written format for the candidate summaries that will come to you with the slate.</w:t>
      </w:r>
    </w:p>
    <w:p>
      <w:pPr>
        <w:pStyle w:val="ListBullet"/>
      </w:pPr>
      <w:r>
        <w:t>5. Reference work has started early on the strongest two candidates, using references we have chosen ourselves rather than the ones we were offered.</w:t>
      </w:r>
    </w:p>
    <w:p>
      <w:pPr>
        <w:pStyle w:val="Heading2"/>
      </w:pPr>
      <w:r>
        <w:t>The period ahead</w:t>
      </w:r>
    </w:p>
    <w:p>
      <w:r>
        <w:t>The next stretch does three things. Jeffrey Patterson re-cuts the working list against the widened map, and that piece sets the pace for everything after it. We then run the assessment interviews to a close and finish the reference work, writing each candidate up in the format James Grant agreed with your office. After that we present the slate in a session rather than by email, because the discussion in the room is what makes the written summaries useful, and we would want your interview group there for it. No candidate will be given a date until both interview windows are confirmed.</w:t>
      </w:r>
    </w:p>
    <w:p>
      <w:pPr>
        <w:pStyle w:val="Heading2"/>
      </w:pPr>
      <w:r>
        <w:t>What could still go wrong</w:t>
      </w:r>
    </w:p>
    <w:p>
      <w:r>
        <w:t>Three risks are worth your attention, and none of them needs a decision from you today.</w:t>
      </w:r>
    </w:p>
    <w:p>
      <w:pPr>
        <w:pStyle w:val="ListBullet"/>
      </w:pPr>
      <w:r>
        <w:t>1. The calendar. The board members' availability, not your executives', is the binding constraint on the interview process, and a week that slips there is a week in which a candidate being courted somewhere else makes a different decision.</w:t>
      </w:r>
    </w:p>
    <w:p>
      <w:pPr>
        <w:pStyle w:val="ListBullet"/>
      </w:pPr>
      <w:r>
        <w:t>2. The step-up question. A good part of the strength on this list sits with deputies at larger companies who would be moving into the seat for the first time. They are the more interesting candidates and they carry the greater uncertainty, so each summary will set out exactly what the evidence for the judgment is and where that evidence runs out.</w:t>
      </w:r>
    </w:p>
    <w:p>
      <w:pPr>
        <w:pStyle w:val="ListBullet"/>
      </w:pPr>
      <w:r>
        <w:t>3. Discretion. Everyone on this list is employed and well regarded where they are. We describe candidates to you by their current role until they have agreed to meet, and we would ask that the summaries stay inside the interview group. It takes very little for someone who was not looking in the first place to decide the risk is not worth it.</w:t>
      </w:r>
    </w:p>
    <w:p>
      <w:pPr>
        <w:pStyle w:val="Heading2"/>
      </w:pPr>
      <w:r>
        <w:t>What we need from you</w:t>
      </w:r>
    </w:p>
    <w:p>
      <w:r>
        <w:t>Feedback speed after the interviews, more than anything else. If each interviewer can get us a view within a day of meeting a candidate, we can hold a process together; at a week, candidates start reading the silence, and the ones with options act on what they read. I will call your office next week to walk you through the re-cut list before any of it is written down.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CFO Search for Roach, Moss and Hall</dc:title>
  <dc:subject/>
  <dc:creator>Sandra Fuentes</dc:creator>
  <cp:keywords/>
  <dc:description>generated by python-docx</dc:description>
  <cp:lastModifiedBy>Sandra Fuentes</cp:lastModifiedBy>
  <cp:revision>1</cp:revision>
  <dcterms:created xsi:type="dcterms:W3CDTF">2015-10-15T09:00:00Z</dcterms:created>
  <dcterms:modified xsi:type="dcterms:W3CDTF">2015-10-15T09:00:00Z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