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on the Sanchez-Baker board search</w:t>
      </w:r>
    </w:p>
    <w:p>
      <w:r>
        <w:t>The session was called to read the long list name by name and to settle which of those names we approach, and this record follows the order the meeting took: who was present, where the search stands, what we settled, the reservations that were voiced, and the items each of us now carries.</w:t>
      </w:r>
    </w:p>
    <w:p>
      <w:pPr>
        <w:pStyle w:val="Heading2"/>
      </w:pPr>
      <w:r>
        <w:t>Present</w:t>
      </w:r>
    </w:p>
    <w:p>
      <w:pPr>
        <w:pStyle w:val="ListBullet"/>
      </w:pPr>
      <w:r>
        <w:t>James Grant, Senior Consultant</w:t>
      </w:r>
    </w:p>
    <w:p>
      <w:pPr>
        <w:pStyle w:val="ListBullet"/>
      </w:pPr>
      <w:r>
        <w:t>Jeffrey Patterson, Research Consultant</w:t>
      </w:r>
    </w:p>
    <w:p>
      <w:pPr>
        <w:pStyle w:val="ListBullet"/>
      </w:pPr>
      <w:r>
        <w:t>Jason Bell, Research Associate</w:t>
      </w:r>
    </w:p>
    <w:p>
      <w:pPr>
        <w:pStyle w:val="ListBullet"/>
      </w:pPr>
      <w:r>
        <w:t>Jennifer Frazier, Chief Operating Officer, Sanchez-Baker</w:t>
      </w:r>
    </w:p>
    <w:p>
      <w:pPr>
        <w:pStyle w:val="Heading2"/>
      </w:pPr>
      <w:r>
        <w:t>Where the search stands</w:t>
      </w:r>
    </w:p>
    <w:p>
      <w:r>
        <w:t>Jason Bell reported that the long list closed at forty-one names, built off the market map and tested since by research calls rather than by any formal approach, and that of the forty-one he would expect roughly half to take a board conversation in the next few weeks, with the audit committee requirement accounting for most of the balance. He took the room through the map by sector before the names, which was the right order, because two of the sectors we had assumed would carry candidates turned out to be thin once the revenue band was applied.</w:t>
      </w:r>
    </w:p>
    <w:p>
      <w:r>
        <w:t>Jennifer Frazier answered the question we had put to her ahead of the session. The seat carries audit committee membership from the first meeting, and the committee has not yet decided whether it carries the chair. She asked that we approach on membership and treat the chair as open, and she undertook to bring the question back to us once the committee has met.</w:t>
      </w:r>
    </w:p>
    <w:p>
      <w:pPr>
        <w:pStyle w:val="Heading2"/>
      </w:pPr>
      <w:r>
        <w:t>What we settled</w:t>
      </w:r>
    </w:p>
    <w:p>
      <w:r>
        <w:t>Fourteen of the forty-one are carried forward for approach, taken in priority order, with the priority set by the fit to the specification and not by how likely a name is to answer. The remaining twenty-seven stay on the list and Jason Bell continues research calls against them, so that the list behind the fourteen is live if we need it.</w:t>
      </w:r>
    </w:p>
    <w:p>
      <w:r>
        <w:t>Approaches are made by telephone and by a consultant, which on this search means Jeffrey Patterson and James Grant, against the wording James Grant circulated before the session and which the room approved without change. Jason Bell continues research calls but makes no formal approach. No candidate name leaves the engagement file, and the client sees roles and records until the slate is presented.</w:t>
      </w:r>
    </w:p>
    <w:p>
      <w:r>
        <w:t>The next working session is triggered rather than diarised: we reconvene when eight of the fourteen have been reached, whether or not all eight have answered.</w:t>
      </w:r>
    </w:p>
    <w:p>
      <w:pPr>
        <w:pStyle w:val="Heading2"/>
      </w:pPr>
      <w:r>
        <w:t>Reservations recorded</w:t>
      </w:r>
    </w:p>
    <w:p>
      <w:r>
        <w:t>Jeffrey Patterson asked that his reservation be minuted, which is that fourteen is a thin field for a seat with this much financial specificity, and that if four of the fourteen decline we will be short of a slate and back at the map with a month gone. Jennifer Frazier accepted the risk in the room and said the board will take a short slate over a padded one, and she asked only that we tell her the week we know rather than the week we are due to report.</w:t>
      </w:r>
    </w:p>
    <w:p>
      <w:r>
        <w:t>I record a reservation of my own. Two of the fourteen sit at companies close enough to the client's market that an approach could be read as a conflict by their own boards, and I have asked Jeffrey Patterson to put both names to Jennifer Frazier before either is called.</w:t>
      </w:r>
    </w:p>
    <w:p>
      <w:pPr>
        <w:pStyle w:val="Heading2"/>
      </w:pPr>
      <w:r>
        <w:t>Items and owners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When</w:t>
            </w:r>
          </w:p>
        </w:tc>
      </w:tr>
      <w:tr>
        <w:tc>
          <w:tcPr>
            <w:tcW w:type="dxa" w:w="2880"/>
          </w:tcPr>
          <w:p>
            <w:r>
              <w:t>Approach wording, final version to the file</w:t>
            </w:r>
          </w:p>
        </w:tc>
        <w:tc>
          <w:tcPr>
            <w:tcW w:type="dxa" w:w="2880"/>
          </w:tcPr>
          <w:p>
            <w:r>
              <w:t>James Grant</w:t>
            </w:r>
          </w:p>
        </w:tc>
        <w:tc>
          <w:tcPr>
            <w:tcW w:type="dxa" w:w="2880"/>
          </w:tcPr>
          <w:p>
            <w:r>
              <w:t>Before the first call</w:t>
            </w:r>
          </w:p>
        </w:tc>
      </w:tr>
      <w:tr>
        <w:tc>
          <w:tcPr>
            <w:tcW w:type="dxa" w:w="2880"/>
          </w:tcPr>
          <w:p>
            <w:r>
              <w:t>Approaches to the fourteen, in priority order</w:t>
            </w:r>
          </w:p>
        </w:tc>
        <w:tc>
          <w:tcPr>
            <w:tcW w:type="dxa" w:w="2880"/>
          </w:tcPr>
          <w:p>
            <w:r>
              <w:t>Jeffrey Patterson</w:t>
            </w:r>
          </w:p>
        </w:tc>
        <w:tc>
          <w:tcPr>
            <w:tcW w:type="dxa" w:w="2880"/>
          </w:tcPr>
          <w:p>
            <w:r>
              <w:t>Over the next two weeks</w:t>
            </w:r>
          </w:p>
        </w:tc>
      </w:tr>
      <w:tr>
        <w:tc>
          <w:tcPr>
            <w:tcW w:type="dxa" w:w="2880"/>
          </w:tcPr>
          <w:p>
            <w:r>
              <w:t>Conflict check on the two adjacent-market names</w:t>
            </w:r>
          </w:p>
        </w:tc>
        <w:tc>
          <w:tcPr>
            <w:tcW w:type="dxa" w:w="2880"/>
          </w:tcPr>
          <w:p>
            <w:r>
              <w:t>Jeffrey Patterson</w:t>
            </w:r>
          </w:p>
        </w:tc>
        <w:tc>
          <w:tcPr>
            <w:tcW w:type="dxa" w:w="2880"/>
          </w:tcPr>
          <w:p>
            <w:r>
              <w:t>Before either is approached</w:t>
            </w:r>
          </w:p>
        </w:tc>
      </w:tr>
      <w:tr>
        <w:tc>
          <w:tcPr>
            <w:tcW w:type="dxa" w:w="2880"/>
          </w:tcPr>
          <w:p>
            <w:r>
              <w:t>Research calls against the remaining twenty-seven</w:t>
            </w:r>
          </w:p>
        </w:tc>
        <w:tc>
          <w:tcPr>
            <w:tcW w:type="dxa" w:w="2880"/>
          </w:tcPr>
          <w:p>
            <w:r>
              <w:t>Jason Bell</w:t>
            </w:r>
          </w:p>
        </w:tc>
        <w:tc>
          <w:tcPr>
            <w:tcW w:type="dxa" w:w="2880"/>
          </w:tcPr>
          <w:p>
            <w:r>
              <w:t>Continuing</w:t>
            </w:r>
          </w:p>
        </w:tc>
      </w:tr>
      <w:tr>
        <w:tc>
          <w:tcPr>
            <w:tcW w:type="dxa" w:w="2880"/>
          </w:tcPr>
          <w:p>
            <w:r>
              <w:t>Committee position on the chair</w:t>
            </w:r>
          </w:p>
        </w:tc>
        <w:tc>
          <w:tcPr>
            <w:tcW w:type="dxa" w:w="2880"/>
          </w:tcPr>
          <w:p>
            <w:r>
              <w:t>Jennifer Frazier</w:t>
            </w:r>
          </w:p>
        </w:tc>
        <w:tc>
          <w:tcPr>
            <w:tcW w:type="dxa" w:w="2880"/>
          </w:tcPr>
          <w:p>
            <w:r>
              <w:t>After the committee meets</w:t>
            </w:r>
          </w:p>
        </w:tc>
      </w:tr>
    </w:tbl>
    <w:p>
      <w:r>
        <w:t>The next step is the approach wording, which gates everything in the table below it, and James Grant will have the final version in the file before any call is made.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Board Director Search for Sanchez-Baker</dc:title>
  <dc:subject/>
  <dc:creator>James Grant</dc:creator>
  <cp:keywords/>
  <dc:description>generated by python-docx</dc:description>
  <cp:lastModifiedBy>James Grant</cp:lastModifiedBy>
  <cp:revision>1</cp:revision>
  <dcterms:created xsi:type="dcterms:W3CDTF">2017-06-26T09:00:00Z</dcterms:created>
  <dcterms:modified xsi:type="dcterms:W3CDTF">2017-06-26T09:00:00Z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