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Northgate Talent Partners LLC: Firm Overview</w:t>
      </w:r>
    </w:p>
    <w:p>
      <w:r>
        <w:t>Northgate Talent Partners is a retained executive search firm. We fill senior operating roles and board seats for companies in the middle market, and one consultant carries an assignment from the first meeting to the new executive's first month in the seat. What follows is a short account of how the practice works, written for a board or a chief executive with a search in prospect.</w:t>
      </w:r>
    </w:p>
    <w:p>
      <w:pPr>
        <w:pStyle w:val="Heading2"/>
      </w:pPr>
      <w:r>
        <w:t>Can you reach the people who are not looking?</w:t>
      </w:r>
    </w:p>
    <w:p>
      <w:r>
        <w:t>That is the whole job. The people worth having are employed, well regarded, and reading nothing that resembles an advertisement. Reaching them is telephone work against a map of the market, and the map gets built before a single name goes in front of a client. Larry Russell works the hard end of those lists here, the roles where the obvious people have already said no, and he is patient about going back to someone who declined the first time. Much of what he learns never reaches a document. It shows up in who we call next.</w:t>
      </w:r>
    </w:p>
    <w:p>
      <w:pPr>
        <w:pStyle w:val="Heading2"/>
      </w:pPr>
      <w:r>
        <w:t>Will the slate stand up?</w:t>
      </w:r>
    </w:p>
    <w:p>
      <w:r>
        <w:t>A short slate is easy to assemble and hard to defend, and ours is defensible because somebody checks it. Mary Parker establishes what a prospect actually owns today and where the story a resume tells goes thin, keeping what she has confirmed apart from what she was told. When her note hedges, the hedge is the finding, and it reaches the client in those words. A board should hear that from us and not discover it in a reference call.</w:t>
      </w:r>
    </w:p>
    <w:p>
      <w:pPr>
        <w:pStyle w:val="Heading2"/>
      </w:pPr>
      <w:r>
        <w:t>Who actually does the work?</w:t>
      </w:r>
    </w:p>
    <w:p>
      <w:r>
        <w:t>The consultant a client meets first. The firm is small on purpose, and nothing here is sold by one person and worked by another. The research bench sits behind that consultant and has grown as the practice has, but the specification, the approaches, and the assessment stay with one named person from beginning to end. A client always knows whose telephone to pick up, and that person always knows the search well enough to answer without going away to check.</w:t>
      </w:r>
    </w:p>
    <w:p>
      <w:pPr>
        <w:pStyle w:val="Heading2"/>
      </w:pPr>
      <w:r>
        <w:t>What we put in writing</w:t>
      </w:r>
    </w:p>
    <w:p>
      <w:r>
        <w:t>Three commitments, and they appear in every engagement letter we sign.</w:t>
      </w:r>
    </w:p>
    <w:p>
      <w:pPr>
        <w:pStyle w:val="ListBullet"/>
      </w:pPr>
      <w:r>
        <w:t>1. A written position specification, agreed line by line before we approach anybody. Every candidate is measured against it, and so are we.</w:t>
      </w:r>
    </w:p>
    <w:p>
      <w:pPr>
        <w:pStyle w:val="ListBullet"/>
      </w:pPr>
      <w:r>
        <w:t>2. Written reporting on a fixed rhythm. The report goes out in the weeks when the news is thin as well as in the weeks when it is good, because a quiet month is still a month the client has paid for.</w:t>
      </w:r>
    </w:p>
    <w:p>
      <w:pPr>
        <w:pStyle w:val="ListBullet"/>
      </w:pPr>
      <w:r>
        <w:t>3. Candidates described by current role and sector, never by name, in anything that circulates. A name reaches a client when one of us can say precisely why it belongs there.</w:t>
      </w:r>
    </w:p>
    <w:p>
      <w:r>
        <w:t>Two further terms are worth stating on a page like this, because they are the ones clients ask about last and care about most. We work on retainer rather than on contingency, so a client is buying a search and not a placement, and expenses are billed at cost without a markup. And for as long as an engagement is open, and for a year after it closes, we will not approach anyone employed by that client on behalf of another. A firm that recruits out of the company it just recruited into is not one a board should keep on retainer.</w:t>
      </w:r>
    </w:p>
    <w:p>
      <w:r>
        <w:t>One change since we last revised this page is worth noting. More of our first meetings now happen over video than across a table, and for an opening conversation it has worked better than we expected, particularly with people who cannot easily be seen leaving their own building in the middle of a working day. We still sit down in person with a finalist before that finalist goes in front of a board.</w:t>
      </w:r>
    </w:p>
    <w:p>
      <w:pPr>
        <w:pStyle w:val="Heading2"/>
      </w:pPr>
      <w:r>
        <w:t>Some of the work</w:t>
      </w:r>
    </w:p>
    <w:p>
      <w:r>
        <w:t>These are illustrations rather than a client list. We found a chief financial officer for Roach, Moss and Hall and a vice president of engineering for Coleman Ltd. We recruited an outside director for Sanchez-Baker and a head of operations for Davis and Sons. More recently we placed a general counsel with Howard, Carlson and Tran. We are glad to arrange a reference conversation with a client who has been through a search with us, and an hour of that will tell a board more than this page can.</w:t>
      </w:r>
    </w:p>
    <w:p>
      <w:r>
        <w:t>If a search is coming, begin with Kelly Chavez, who takes the first call for the firm. Half an hour is usually enough to know whether this is an assignment we should be doing.</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Kelly Chavez</dc:creator>
  <cp:keywords/>
  <dc:description>generated by python-docx</dc:description>
  <cp:lastModifiedBy>Kelly Chavez</cp:lastModifiedBy>
  <cp:revision>1</cp:revision>
  <dcterms:created xsi:type="dcterms:W3CDTF">2021-09-24T09:00:00Z</dcterms:created>
  <dcterms:modified xsi:type="dcterms:W3CDTF">2021-09-24T09:00:00Z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