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Meeting Minutes: Pricing Study for Dean PLC</w:t>
      </w:r>
    </w:p>
    <w:p>
      <w:r>
        <w:t>Working session on the pricing study, held at the offices of Dean PLC. Minutes recorded by Susan Wiley and circulated to all present for correction.</w:t>
      </w:r>
    </w:p>
    <w:p>
      <w:pPr>
        <w:pStyle w:val="ListBullet"/>
      </w:pPr>
      <w:r>
        <w:t>Robert Miller, Principal Consultant, Pinebrook Advisory Group LLC</w:t>
      </w:r>
    </w:p>
    <w:p>
      <w:pPr>
        <w:pStyle w:val="ListBullet"/>
      </w:pPr>
      <w:r>
        <w:t>Jennifer Fletcher, Senior Consultant, Pinebrook Advisory Group LLC</w:t>
      </w:r>
    </w:p>
    <w:p>
      <w:pPr>
        <w:pStyle w:val="ListBullet"/>
      </w:pPr>
      <w:r>
        <w:t>Susan Wiley, Analyst, Pinebrook Advisory Group LLC</w:t>
      </w:r>
    </w:p>
    <w:p>
      <w:pPr>
        <w:pStyle w:val="ListBullet"/>
      </w:pPr>
      <w:r>
        <w:t>Cynthia Foley, VP Finance, Dean PLC</w:t>
      </w:r>
    </w:p>
    <w:p>
      <w:r>
        <w:t>Robert Miller opened with where the work stands at the midpoint. The billing extract is in hand and reconciled to the general ledger, and a first read of price realization is drafted. The early picture is that realized prices sit well below list on a sizable share of volume, and that the gap runs widest on the smaller accounts. Robert was careful to call these observations and not findings; no recommendation was put forward.</w:t>
      </w:r>
    </w:p>
    <w:p>
      <w:r>
        <w:t>Jennifer Fletcher noted that the cost-to-serve figures are not yet final, and that margin by account cannot be set until they are. She flagged a discrepancy between the freight allowances in the billing file and the figures finance carries, which the team will run down before any account is called unprofitable. Cynthia Foley asked whether payment terms were reflected in the realized-price view; they are not yet, and were added to the open items.</w:t>
      </w:r>
    </w:p>
    <w:tbl>
      <w:tblPr>
        <w:tblStyle w:val="TableGrid"/>
        <w:tblW w:type="auto" w:w="0"/>
        <w:tblLook w:firstColumn="1" w:firstRow="1" w:lastColumn="0" w:lastRow="0" w:noHBand="0" w:noVBand="1" w:val="04A0"/>
      </w:tblPr>
      <w:tblGrid>
        <w:gridCol w:w="4320"/>
        <w:gridCol w:w="4320"/>
      </w:tblGrid>
      <w:tr>
        <w:tc>
          <w:tcPr>
            <w:tcW w:type="dxa" w:w="4320"/>
          </w:tcPr>
          <w:p>
            <w:r>
              <w:rPr>
                <w:b/>
              </w:rPr>
              <w:t>Action Item</w:t>
            </w:r>
          </w:p>
        </w:tc>
        <w:tc>
          <w:tcPr>
            <w:tcW w:type="dxa" w:w="4320"/>
          </w:tcPr>
          <w:p>
            <w:r>
              <w:rPr>
                <w:b/>
              </w:rPr>
              <w:t>Owner</w:t>
            </w:r>
          </w:p>
        </w:tc>
      </w:tr>
      <w:tr>
        <w:tc>
          <w:tcPr>
            <w:tcW w:type="dxa" w:w="4320"/>
          </w:tcPr>
          <w:p>
            <w:r>
              <w:t>Run down the freight-allowance discrepancy between the billing file and finance's figures</w:t>
            </w:r>
          </w:p>
        </w:tc>
        <w:tc>
          <w:tcPr>
            <w:tcW w:type="dxa" w:w="4320"/>
          </w:tcPr>
          <w:p>
            <w:r>
              <w:t>Susan Wiley</w:t>
            </w:r>
          </w:p>
        </w:tc>
      </w:tr>
      <w:tr>
        <w:tc>
          <w:tcPr>
            <w:tcW w:type="dxa" w:w="4320"/>
          </w:tcPr>
          <w:p>
            <w:r>
              <w:t>Finalize cost to serve so margin by account can be set</w:t>
            </w:r>
          </w:p>
        </w:tc>
        <w:tc>
          <w:tcPr>
            <w:tcW w:type="dxa" w:w="4320"/>
          </w:tcPr>
          <w:p>
            <w:r>
              <w:t>Jennifer Fletcher</w:t>
            </w:r>
          </w:p>
        </w:tc>
      </w:tr>
      <w:tr>
        <w:tc>
          <w:tcPr>
            <w:tcW w:type="dxa" w:w="4320"/>
          </w:tcPr>
          <w:p>
            <w:r>
              <w:t>Provide the account-level payment terms for the major customers</w:t>
            </w:r>
          </w:p>
        </w:tc>
        <w:tc>
          <w:tcPr>
            <w:tcW w:type="dxa" w:w="4320"/>
          </w:tcPr>
          <w:p>
            <w:r>
              <w:t>Cynthia Foley</w:t>
            </w:r>
          </w:p>
        </w:tc>
      </w:tr>
      <w:tr>
        <w:tc>
          <w:tcPr>
            <w:tcW w:type="dxa" w:w="4320"/>
          </w:tcPr>
          <w:p>
            <w:r>
              <w:t>Hold the preliminary realization read from the client until the figures reconcile</w:t>
            </w:r>
          </w:p>
        </w:tc>
        <w:tc>
          <w:tcPr>
            <w:tcW w:type="dxa" w:w="4320"/>
          </w:tcPr>
          <w:p>
            <w:r>
              <w:t>Robert Miller</w:t>
            </w:r>
          </w:p>
        </w:tc>
      </w:tr>
    </w:tbl>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Pinebrook Advisory Group LLC</w:t>
    </w:r>
  </w:p>
  <w:p>
    <w:r>
      <w:rPr>
        <w:sz w:val="18"/>
      </w:rPr>
      <w:t>www.pinebrookadvisory.com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Pinebrook Advisory Group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Pricing Study for Dean PLC</dc:title>
  <dc:subject/>
  <dc:creator>Susan Wiley</dc:creator>
  <cp:keywords/>
  <dc:description>generated by python-docx</dc:description>
  <cp:lastModifiedBy>Susan Wiley</cp:lastModifiedBy>
  <cp:revision>1</cp:revision>
  <dcterms:created xsi:type="dcterms:W3CDTF">2020-05-17T09:00:00Z</dcterms:created>
  <dcterms:modified xsi:type="dcterms:W3CDTF">2020-05-17T09:00:00Z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