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 Operational Review Working Session</w:t>
      </w:r>
    </w:p>
    <w:p>
      <w:r>
        <w:t>A working session on the operational review, held at the offices of Johnson and Sons. Minutes taken by Robert Miller and sent round to everyone present to correct anything I have set down wrong.</w:t>
      </w:r>
    </w:p>
    <w:p>
      <w:pPr>
        <w:pStyle w:val="ListBullet"/>
      </w:pPr>
      <w:r>
        <w:t>Robert Miller, Principal Consultant, Pinebrook Advisory Group LLC</w:t>
      </w:r>
    </w:p>
    <w:p>
      <w:pPr>
        <w:pStyle w:val="ListBullet"/>
      </w:pPr>
      <w:r>
        <w:t>Jennifer Fletcher, Senior Consultant, Pinebrook Advisory Group LLC</w:t>
      </w:r>
    </w:p>
    <w:p>
      <w:pPr>
        <w:pStyle w:val="ListBullet"/>
      </w:pPr>
      <w:r>
        <w:t>Stephanie Campos, Chief Financial Officer, Johnson and Sons</w:t>
      </w:r>
    </w:p>
    <w:p>
      <w:r>
        <w:t>I walked the group through what the floor work has turned up so far. The observations at the main operation are done, and one pattern is already fairly plain: work stacks up at the handoff between order entry and the floor, and a good part of the day goes to waiting on that step rather than to the work itself. I was careful to call these observations and not conclusions. We hold the recommendations until the numbers stand behind them.</w:t>
      </w:r>
    </w:p>
    <w:p>
      <w:r>
        <w:t>Stephanie Campos asked, fairly, whether what we are seeing is the busy season talking rather than the ordinary run of the business. It is the right question and we do not have the answer yet. Jennifer Fletcher noted that we need a clean twelve months of volume figures to tell the two apart, and until those reconcile we will not put a number on any of it. We agreed that nothing goes to the client's management as a finding before that check is finished.</w:t>
      </w:r>
    </w:p>
    <w:tbl>
      <w:tblPr>
        <w:tblStyle w:val="TableGrid"/>
        <w:tblW w:type="auto" w:w="0"/>
        <w:tblLook w:firstColumn="1" w:firstRow="1" w:lastColumn="0" w:lastRow="0" w:noHBand="0" w:noVBand="1" w:val="04A0"/>
      </w:tblPr>
      <w:tblGrid>
        <w:gridCol w:w="4320"/>
        <w:gridCol w:w="4320"/>
      </w:tblGrid>
      <w:tr>
        <w:tc>
          <w:tcPr>
            <w:tcW w:type="dxa" w:w="4320"/>
          </w:tcPr>
          <w:p>
            <w:r>
              <w:rPr>
                <w:b/>
              </w:rPr>
              <w:t>Action Item</w:t>
            </w:r>
          </w:p>
        </w:tc>
        <w:tc>
          <w:tcPr>
            <w:tcW w:type="dxa" w:w="4320"/>
          </w:tcPr>
          <w:p>
            <w:r>
              <w:rPr>
                <w:b/>
              </w:rPr>
              <w:t>Owner</w:t>
            </w:r>
          </w:p>
        </w:tc>
      </w:tr>
      <w:tr>
        <w:tc>
          <w:tcPr>
            <w:tcW w:type="dxa" w:w="4320"/>
          </w:tcPr>
          <w:p>
            <w:r>
              <w:t>Pull the last twelve months of volume and staffing figures for the team</w:t>
            </w:r>
          </w:p>
        </w:tc>
        <w:tc>
          <w:tcPr>
            <w:tcW w:type="dxa" w:w="4320"/>
          </w:tcPr>
          <w:p>
            <w:r>
              <w:t>Stephanie Campos</w:t>
            </w:r>
          </w:p>
        </w:tc>
      </w:tr>
      <w:tr>
        <w:tc>
          <w:tcPr>
            <w:tcW w:type="dxa" w:w="4320"/>
          </w:tcPr>
          <w:p>
            <w:r>
              <w:t>Finish the remaining floor observations at the second location</w:t>
            </w:r>
          </w:p>
        </w:tc>
        <w:tc>
          <w:tcPr>
            <w:tcW w:type="dxa" w:w="4320"/>
          </w:tcPr>
          <w:p>
            <w:r>
              <w:t>Robert Miller</w:t>
            </w:r>
          </w:p>
        </w:tc>
      </w:tr>
      <w:tr>
        <w:tc>
          <w:tcPr>
            <w:tcW w:type="dxa" w:w="4320"/>
          </w:tcPr>
          <w:p>
            <w:r>
              <w:t>Reconcile the volume figures before any findings are drafted</w:t>
            </w:r>
          </w:p>
        </w:tc>
        <w:tc>
          <w:tcPr>
            <w:tcW w:type="dxa" w:w="4320"/>
          </w:tcPr>
          <w:p>
            <w:r>
              <w:t>Jennifer Fletcher</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Pinebrook Advisory Group LLC</w:t>
    </w:r>
  </w:p>
  <w:p>
    <w:r>
      <w:rPr>
        <w:sz w:val="18"/>
      </w:rPr>
      <w:t>www.pinebrookadvisory.com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Pinebrook Advisory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Operational Review for Johnson and Sons</dc:title>
  <dc:subject/>
  <dc:creator>Robert Miller</dc:creator>
  <cp:keywords/>
  <dc:description>generated by python-docx</dc:description>
  <cp:lastModifiedBy>Robert Miller</cp:lastModifiedBy>
  <cp:revision>1</cp:revision>
  <dcterms:created xsi:type="dcterms:W3CDTF">2019-08-27T09:00:00Z</dcterms:created>
  <dcterms:modified xsi:type="dcterms:W3CDTF">2019-08-27T09:00:00Z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