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Integration Support for Reeves, Miller and Thompson</w:t>
      </w:r>
    </w:p>
    <w:p>
      <w:r>
        <w:t>Prepared for Reeves, Miller and Thompson by Cynthia Ball, Analyst, Pinebrook Advisory Group LLC.</w:t>
      </w:r>
    </w:p>
    <w:p>
      <w:pPr>
        <w:pStyle w:val="Heading2"/>
      </w:pPr>
      <w:r>
        <w:t>Overall Status</w:t>
      </w:r>
    </w:p>
    <w:p>
      <w:r>
        <w:t>The integration is in its final phase and running to plan. The combined reporting is live and reconciling, the structural decisions have been made and are being carried out, and what is left is consolidation and handover rather than new analysis. The work is still inside the fixed fee of $99,500 set in the engagement letter, and nothing in the remaining tasks looks likely to move that figure. If something does, I will flag it the day it does, not at the next milestone.</w:t>
      </w:r>
    </w:p>
    <w:p>
      <w:pPr>
        <w:pStyle w:val="Heading2"/>
      </w:pPr>
      <w:r>
        <w:t>Completed This Period</w:t>
      </w:r>
    </w:p>
    <w:p>
      <w:pPr>
        <w:pStyle w:val="ListBullet"/>
      </w:pPr>
      <w:r>
        <w:t>Brought the combined monthly reporting live and reconciled it to both sets of prior books, so the numbers now tie out on either basis.</w:t>
      </w:r>
    </w:p>
    <w:p>
      <w:pPr>
        <w:pStyle w:val="ListBullet"/>
      </w:pPr>
      <w:r>
        <w:t>Closed out the redundant-role decisions with your team and stood up the new reporting lines; Robert Miller carried the operating side of that through to the end.</w:t>
      </w:r>
    </w:p>
    <w:p>
      <w:pPr>
        <w:pStyle w:val="ListBullet"/>
      </w:pPr>
      <w:r>
        <w:t>Rebuilt the savings tracker against actual line items instead of the deal model, so every claimed synergy now points at a figure someone can check.</w:t>
      </w:r>
    </w:p>
    <w:p>
      <w:pPr>
        <w:pStyle w:val="Heading2"/>
      </w:pPr>
      <w:r>
        <w:t>Remaining Work</w:t>
      </w:r>
    </w:p>
    <w:p>
      <w:pPr>
        <w:pStyle w:val="ListBullet"/>
      </w:pPr>
      <w:r>
        <w:t>Finish the systems cutover and retire the duplicate finance system on the agreed date.</w:t>
      </w:r>
    </w:p>
    <w:p>
      <w:pPr>
        <w:pStyle w:val="ListBullet"/>
      </w:pPr>
      <w:r>
        <w:t>Hand the combined reporting and the savings tracker to your finance team with the documentation to run both without us; Jennifer Fletcher is walking them through it.</w:t>
      </w:r>
    </w:p>
    <w:p>
      <w:pPr>
        <w:pStyle w:val="ListBullet"/>
      </w:pPr>
      <w:r>
        <w:t>Close the last two open account reconciliations and confirm the opening balances for the combined entity.</w:t>
      </w:r>
    </w:p>
    <w:p>
      <w:pPr>
        <w:pStyle w:val="Heading2"/>
      </w:pPr>
      <w:r>
        <w:t>Risks and Open Items</w:t>
      </w:r>
    </w:p>
    <w:p>
      <w:r>
        <w:t>Two items are worth watching. The cutover has a fixed window, and one upstream data feed from the Reeves, Miller and Thompson side is not yet confirmed clean; if it slips the cutover waits, so we are testing it now rather than on the day. And a share of the tracked savings depends on headcount changes that take time to land, so the run rate will trail the plan for a few months even with the decisions made. Neither is off track. Both are simply the parts of an integration that reward being early, and we are treating them that way.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Integration Support for Reeves, Miller and Thompson</dc:title>
  <dc:subject/>
  <dc:creator>Cynthia Ball</dc:creator>
  <cp:keywords/>
  <dc:description>generated by python-docx</dc:description>
  <cp:lastModifiedBy>Cynthia Ball</cp:lastModifiedBy>
  <cp:revision>1</cp:revision>
  <dcterms:created xsi:type="dcterms:W3CDTF">2021-08-31T09:00:00Z</dcterms:created>
  <dcterms:modified xsi:type="dcterms:W3CDTF">2021-08-31T09:00:00Z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