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Pricing Study: Status Report</w:t>
      </w:r>
    </w:p>
    <w:p>
      <w:r>
        <w:t>Prepared for the finance leadership of Dean PLC by Robert Miller, Principal Consultant.</w:t>
      </w:r>
    </w:p>
    <w:p>
      <w:pPr>
        <w:pStyle w:val="Heading2"/>
      </w:pPr>
      <w:r>
        <w:t>Where the Study Stands</w:t>
      </w:r>
    </w:p>
    <w:p>
      <w:r>
        <w:t>The study is on schedule and about half run, and the shape of the answer is now visible, although we are not yet at the point of putting a recommendation in front of you. The transaction base is built and reconciled to your reported revenue, realized price and contribution margin are measured for the commercial product families, and the pattern that prompted this engagement has been located rather than merely asserted: the gap between what you publish and what you collect is not spread across the business, it sits in two regions and one product family, and those three pockets together account for the large majority of it.</w:t>
      </w:r>
    </w:p>
    <w:p>
      <w:pPr>
        <w:pStyle w:val="Heading2"/>
      </w:pPr>
      <w:r>
        <w:t>Since the Last Report</w:t>
      </w:r>
    </w:p>
    <w:p>
      <w:r>
        <w:t>Susan Wiley has built the transaction data set from invoice-level records covering the trailing two years and reconciled it to your reported revenue, with credit memos carried as their own line rather than netted into revenue, which is the form your controller asked for and the form we would have chosen in any case. The reconciliation holds, and the assumptions behind it sit in a log that will be handed over with the report, so that your own team can rerun any exhibit we show you rather than take it on trust.</w:t>
      </w:r>
    </w:p>
    <w:p>
      <w:r>
        <w:t>Jennifer Fletcher has completed the realized-price and margin views by product family and has begun the account-level build that separates the effect of customer mix from the effect of sales practice, which is the distinction on which most of the recommendation will turn. The rebate accrual your team provided has now been allocated to accounts, and that allocation matters more than it sounds: before it, realized price at your largest accounts was overstated, and any reading of those accounts taken from earlier reporting should be set aside rather than reconciled.</w:t>
      </w:r>
    </w:p>
    <w:p>
      <w:r>
        <w:t>I have interviewed regional managers in three of the four regions and a sample of sales representatives alongside them. Since travel to your sites stopped being practical in the spring these conversations have been held by telephone, which costs something a day on the floor would have given us and has not changed the conclusions available from them. What the interviews add is the reason behind a discount, which no invoice records: in the two regions where discounting concentrates, the authority to grant it sits low in the organization and is used early in a negotiation rather than held back to close one.</w:t>
      </w:r>
    </w:p>
    <w:p>
      <w:pPr>
        <w:pStyle w:val="Heading2"/>
      </w:pPr>
      <w:r>
        <w:t>The Period Ahead</w:t>
      </w:r>
    </w:p>
    <w:p>
      <w:r>
        <w:t>Jennifer Fletcher will finish the account-level view and we will then test how far your volumes respond to price, which the record supports less than you might hope and more than not at all, and we will be explicit about where the evidence thins. From there we draft a price and discount structure, including where discount authority should sit and what it should cost a region to exceed it, and we will bring that draft to you before it is finished rather than after, because a structure your organization cannot administer is worth nothing however sound the analysis behind it. The remaining interviews and the channel view will be complete in the same period.</w:t>
      </w:r>
    </w:p>
    <w:p>
      <w:pPr>
        <w:pStyle w:val="Heading2"/>
      </w:pPr>
      <w:r>
        <w:t>Risks</w:t>
      </w:r>
    </w:p>
    <w:p>
      <w:r>
        <w:t>The risk most worth your attention is scheduling on your side. Two data extracts sit with your systems group and are not yet delivered, and the account-level view cannot be closed without them; the interviews still outstanding are with people whose calendars are beyond our reach. Neither has cost us time yet and both will if they slip much further, which is why they appear here rather than in a conversation later.</w:t>
      </w:r>
    </w:p>
    <w:p>
      <w:r>
        <w:t>The other risk is one of expectation rather than execution. A structure that reduces discretionary discounting will not be welcome in the two regions that rely on it most, and this study will not resolve that; it will only make the cost of the present practice explicit and hard to argue with. If you want the recommendation adopted rather than merely delivered, the conversation with those regional managers is better begun before our report lands than after it.</w:t>
      </w:r>
    </w:p>
    <w:p>
      <w:pPr>
        <w:pStyle w:val="Heading2"/>
      </w:pPr>
      <w:r>
        <w:t>Fee and Budget</w:t>
      </w:r>
    </w:p>
    <w:p>
      <w:r>
        <w:t>The engagement is a fixed fee of $89,500 for the scope in the engagement letter. We are inside it, a little under half is billed to date, and there are no change requests outstanding and none anticipated. Nothing described in this report adds to the fee.</w:t>
      </w:r>
    </w:p>
    <w:p>
      <w:r>
        <w:t>The next step is the two outstanding extracts. I will send the specification for both to your systems group this week and will follow it up myself rather than leave it in a queue.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Pinebrook Advisory Group LLC</w:t>
    </w:r>
  </w:p>
  <w:p>
    <w:r>
      <w:rPr>
        <w:sz w:val="18"/>
      </w:rPr>
      <w:t>www.pinebrookadvisory.com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Pinebrook Advisory Group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Pricing Study for Dean PLC</dc:title>
  <dc:subject/>
  <dc:creator>Robert Miller</dc:creator>
  <cp:keywords/>
  <dc:description>generated by python-docx</dc:description>
  <cp:lastModifiedBy>Robert Miller</cp:lastModifiedBy>
  <cp:revision>1</cp:revision>
  <dcterms:created xsi:type="dcterms:W3CDTF">2020-06-09T09:00:00Z</dcterms:created>
  <dcterms:modified xsi:type="dcterms:W3CDTF">2020-06-09T09:00:00Z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