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w:t>
      </w:r>
    </w:p>
    <w:p>
      <w:r>
        <w:t>The session closed one question and opened another. Discounting is not spread evenly across the business. It concentrates in two regions and in one product family, and those three pockets account for most of the gap between list price and realized price. The open question is rebates. Until their treatment is agreed, every margin figure shown today is provisional.</w:t>
      </w:r>
    </w:p>
    <w:p>
      <w:pPr>
        <w:pStyle w:val="Heading2"/>
      </w:pPr>
      <w:r>
        <w:t>Attendees</w:t>
      </w:r>
    </w:p>
    <w:p>
      <w:pPr>
        <w:pStyle w:val="ListBullet"/>
      </w:pPr>
      <w:r>
        <w:t>Robert Miller, Principal Consultant, Pinebrook Advisory Group</w:t>
      </w:r>
    </w:p>
    <w:p>
      <w:pPr>
        <w:pStyle w:val="ListBullet"/>
      </w:pPr>
      <w:r>
        <w:t>Jennifer Fletcher, Senior Consultant, Pinebrook Advisory Group</w:t>
      </w:r>
    </w:p>
    <w:p>
      <w:pPr>
        <w:pStyle w:val="ListBullet"/>
      </w:pPr>
      <w:r>
        <w:t>Susan Wiley, Analyst, Pinebrook Advisory Group</w:t>
      </w:r>
    </w:p>
    <w:p>
      <w:pPr>
        <w:pStyle w:val="ListBullet"/>
      </w:pPr>
      <w:r>
        <w:t>Cynthia Foley, VP Finance, Dean PLC</w:t>
      </w:r>
    </w:p>
    <w:p>
      <w:pPr>
        <w:pStyle w:val="Heading2"/>
      </w:pPr>
      <w:r>
        <w:t>Discussion</w:t>
      </w:r>
    </w:p>
    <w:p>
      <w:r>
        <w:t>Jennifer Fletcher presented realized price by product family. The transaction base is reconciled to reported revenue. The remaining difference is small and sits entirely in credit memos. Robert Miller asked that credit memos be shown as their own line rather than netted into revenue. The client agreed. The reconciliation will be reissued in that form.</w:t>
      </w:r>
    </w:p>
    <w:p>
      <w:r>
        <w:t>Discounting took most of the hour. Two regions grant discretionary discounts at roughly twice the rate of the other two. One product family carries most of the remainder. Cynthia Foley said the pattern matches what she has suspected for two years and has never been able to demonstrate from her own reporting. She asked the obvious next question. Is the pattern customer mix or is it sales practice? The current view cannot separate them. Jennifer Fletcher will build the account-level cut that can.</w:t>
      </w:r>
    </w:p>
    <w:p>
      <w:r>
        <w:t>Rebates were discussed at length. Annual volume rebates are accrued centrally and are not allocated back to accounts. Realized price at the largest accounts is therefore overstated in every view produced so far. The effect is largest exactly where the analysis matters most. Cynthia Foley will supply the accrual detail. Susan Wiley will allocate it and will record the allocation basis in the assumption log, since the basis is a judgment and should be visible as one.</w:t>
      </w:r>
    </w:p>
    <w:p>
      <w:r>
        <w:t>Interviews are about half done. Robert Miller has met the regional managers in two of the four regions and has spoken with sales representatives in both. The remaining two regions are scheduled. Site visits remain deferred and the conversations are being held by telephone. Robert Miller noted that the format costs something in candor and has not so far changed what he is hearing, which is that discount authority sits low in the two regions where discounting concentrates.</w:t>
      </w:r>
    </w:p>
    <w:p>
      <w:r>
        <w:t>No recommendation was discussed. The team and the client agreed that the price structure conversation waits until the margin view is settled. Cynthia Foley asked for a view by sales channel as well as by region. Jennifer Fletcher said the data supports it and will add it.</w:t>
      </w:r>
    </w:p>
    <w:p>
      <w:pPr>
        <w:pStyle w:val="Heading2"/>
      </w:pPr>
      <w:r>
        <w:t>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Owner</w:t>
            </w:r>
          </w:p>
        </w:tc>
        <w:tc>
          <w:tcPr>
            <w:tcW w:type="dxa" w:w="2160"/>
          </w:tcPr>
          <w:p>
            <w:r>
              <w:rPr>
                <w:b/>
              </w:rPr>
              <w:t>Action</w:t>
            </w:r>
          </w:p>
        </w:tc>
        <w:tc>
          <w:tcPr>
            <w:tcW w:type="dxa" w:w="2160"/>
          </w:tcPr>
          <w:p>
            <w:r>
              <w:rPr>
                <w:b/>
              </w:rPr>
              <w:t>Due</w:t>
            </w:r>
          </w:p>
        </w:tc>
      </w:tr>
      <w:tr>
        <w:tc>
          <w:tcPr>
            <w:tcW w:type="dxa" w:w="2160"/>
          </w:tcPr>
          <w:p>
            <w:r>
              <w:t>1</w:t>
            </w:r>
          </w:p>
        </w:tc>
        <w:tc>
          <w:tcPr>
            <w:tcW w:type="dxa" w:w="2160"/>
          </w:tcPr>
          <w:p>
            <w:r>
              <w:t>Cynthia Foley</w:t>
            </w:r>
          </w:p>
        </w:tc>
        <w:tc>
          <w:tcPr>
            <w:tcW w:type="dxa" w:w="2160"/>
          </w:tcPr>
          <w:p>
            <w:r>
              <w:t>Supply rebate accrual detail by account for the trailing two years</w:t>
            </w:r>
          </w:p>
        </w:tc>
        <w:tc>
          <w:tcPr>
            <w:tcW w:type="dxa" w:w="2160"/>
          </w:tcPr>
          <w:p>
            <w:r>
              <w:t>Before the next working session</w:t>
            </w:r>
          </w:p>
        </w:tc>
      </w:tr>
      <w:tr>
        <w:tc>
          <w:tcPr>
            <w:tcW w:type="dxa" w:w="2160"/>
          </w:tcPr>
          <w:p>
            <w:r>
              <w:t>2</w:t>
            </w:r>
          </w:p>
        </w:tc>
        <w:tc>
          <w:tcPr>
            <w:tcW w:type="dxa" w:w="2160"/>
          </w:tcPr>
          <w:p>
            <w:r>
              <w:t>Susan Wiley</w:t>
            </w:r>
          </w:p>
        </w:tc>
        <w:tc>
          <w:tcPr>
            <w:tcW w:type="dxa" w:w="2160"/>
          </w:tcPr>
          <w:p>
            <w:r>
              <w:t>Allocate rebates to accounts and record the basis in the assumption log</w:t>
            </w:r>
          </w:p>
        </w:tc>
        <w:tc>
          <w:tcPr>
            <w:tcW w:type="dxa" w:w="2160"/>
          </w:tcPr>
          <w:p>
            <w:r>
              <w:t>One week after the file arrives</w:t>
            </w:r>
          </w:p>
        </w:tc>
      </w:tr>
      <w:tr>
        <w:tc>
          <w:tcPr>
            <w:tcW w:type="dxa" w:w="2160"/>
          </w:tcPr>
          <w:p>
            <w:r>
              <w:t>3</w:t>
            </w:r>
          </w:p>
        </w:tc>
        <w:tc>
          <w:tcPr>
            <w:tcW w:type="dxa" w:w="2160"/>
          </w:tcPr>
          <w:p>
            <w:r>
              <w:t>Jennifer Fletcher</w:t>
            </w:r>
          </w:p>
        </w:tc>
        <w:tc>
          <w:tcPr>
            <w:tcW w:type="dxa" w:w="2160"/>
          </w:tcPr>
          <w:p>
            <w:r>
              <w:t>Build the account-level cut separating customer mix from sales practice</w:t>
            </w:r>
          </w:p>
        </w:tc>
        <w:tc>
          <w:tcPr>
            <w:tcW w:type="dxa" w:w="2160"/>
          </w:tcPr>
          <w:p>
            <w:r>
              <w:t>Next working session</w:t>
            </w:r>
          </w:p>
        </w:tc>
      </w:tr>
      <w:tr>
        <w:tc>
          <w:tcPr>
            <w:tcW w:type="dxa" w:w="2160"/>
          </w:tcPr>
          <w:p>
            <w:r>
              <w:t>4</w:t>
            </w:r>
          </w:p>
        </w:tc>
        <w:tc>
          <w:tcPr>
            <w:tcW w:type="dxa" w:w="2160"/>
          </w:tcPr>
          <w:p>
            <w:r>
              <w:t>Jennifer Fletcher</w:t>
            </w:r>
          </w:p>
        </w:tc>
        <w:tc>
          <w:tcPr>
            <w:tcW w:type="dxa" w:w="2160"/>
          </w:tcPr>
          <w:p>
            <w:r>
              <w:t>Add the view by sales channel</w:t>
            </w:r>
          </w:p>
        </w:tc>
        <w:tc>
          <w:tcPr>
            <w:tcW w:type="dxa" w:w="2160"/>
          </w:tcPr>
          <w:p>
            <w:r>
              <w:t>Next working session</w:t>
            </w:r>
          </w:p>
        </w:tc>
      </w:tr>
      <w:tr>
        <w:tc>
          <w:tcPr>
            <w:tcW w:type="dxa" w:w="2160"/>
          </w:tcPr>
          <w:p>
            <w:r>
              <w:t>5</w:t>
            </w:r>
          </w:p>
        </w:tc>
        <w:tc>
          <w:tcPr>
            <w:tcW w:type="dxa" w:w="2160"/>
          </w:tcPr>
          <w:p>
            <w:r>
              <w:t>Susan Wiley</w:t>
            </w:r>
          </w:p>
        </w:tc>
        <w:tc>
          <w:tcPr>
            <w:tcW w:type="dxa" w:w="2160"/>
          </w:tcPr>
          <w:p>
            <w:r>
              <w:t>Reissue the reconciliation with credit memos shown separately</w:t>
            </w:r>
          </w:p>
        </w:tc>
        <w:tc>
          <w:tcPr>
            <w:tcW w:type="dxa" w:w="2160"/>
          </w:tcPr>
          <w:p>
            <w:r>
              <w:t>This week</w:t>
            </w:r>
          </w:p>
        </w:tc>
      </w:tr>
      <w:tr>
        <w:tc>
          <w:tcPr>
            <w:tcW w:type="dxa" w:w="2160"/>
          </w:tcPr>
          <w:p>
            <w:r>
              <w:t>6</w:t>
            </w:r>
          </w:p>
        </w:tc>
        <w:tc>
          <w:tcPr>
            <w:tcW w:type="dxa" w:w="2160"/>
          </w:tcPr>
          <w:p>
            <w:r>
              <w:t>Robert Miller</w:t>
            </w:r>
          </w:p>
        </w:tc>
        <w:tc>
          <w:tcPr>
            <w:tcW w:type="dxa" w:w="2160"/>
          </w:tcPr>
          <w:p>
            <w:r>
              <w:t>Complete regional manager and sales interviews in the two remaining regions</w:t>
            </w:r>
          </w:p>
        </w:tc>
        <w:tc>
          <w:tcPr>
            <w:tcW w:type="dxa" w:w="2160"/>
          </w:tcPr>
          <w:p>
            <w:r>
              <w:t>Next working session</w:t>
            </w:r>
          </w:p>
        </w:tc>
      </w:tr>
    </w:tbl>
    <w:p>
      <w:r>
        <w:t>Item 1 gates items 2 and 3. Items 4 through 6 run in parallel. The next working session will be scheduled once the accrual file is in hand.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Study for Dean PLC</dc:title>
  <dc:subject/>
  <dc:creator>Susan Wiley</dc:creator>
  <cp:keywords/>
  <dc:description>generated by python-docx</dc:description>
  <cp:lastModifiedBy>Susan Wiley</cp:lastModifiedBy>
  <cp:revision>1</cp:revision>
  <dcterms:created xsi:type="dcterms:W3CDTF">2020-05-17T09:00:00Z</dcterms:created>
  <dcterms:modified xsi:type="dcterms:W3CDTF">2020-05-17T09:00:00Z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