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Recommendation Review</w:t>
      </w:r>
    </w:p>
    <w:p>
      <w:r>
        <w:t>The draft recommendation held. The client accepted its structure in principle and asked for one number to be retested. Three items were left open. One of them can still change the recommendation; the other two cannot.</w:t>
      </w:r>
    </w:p>
    <w:p>
      <w:pPr>
        <w:pStyle w:val="Heading2"/>
      </w:pPr>
      <w:r>
        <w:t>Attendees</w:t>
      </w:r>
    </w:p>
    <w:p>
      <w:pPr>
        <w:pStyle w:val="ListBullet"/>
      </w:pPr>
      <w:r>
        <w:t>Jennifer Fletcher, Senior Consultant</w:t>
      </w:r>
    </w:p>
    <w:p>
      <w:pPr>
        <w:pStyle w:val="ListBullet"/>
      </w:pPr>
      <w:r>
        <w:t>Robert Miller, Principal Consultant</w:t>
      </w:r>
    </w:p>
    <w:p>
      <w:pPr>
        <w:pStyle w:val="ListBullet"/>
      </w:pPr>
      <w:r>
        <w:t>Susan Wiley, Analyst</w:t>
      </w:r>
    </w:p>
    <w:p>
      <w:pPr>
        <w:pStyle w:val="ListBullet"/>
      </w:pPr>
      <w:r>
        <w:t>Cynthia Foley, VP Finance, Dean PLC</w:t>
      </w:r>
    </w:p>
    <w:p>
      <w:pPr>
        <w:pStyle w:val="Heading2"/>
      </w:pPr>
      <w:r>
        <w:t>Review of the Draft</w:t>
      </w:r>
    </w:p>
    <w:p>
      <w:r>
        <w:t>Jennifer Fletcher walked the room through the recommended structure. It sets price bands by product family, moves discount authority up one level in the two regions where discretion currently sits lowest, and prices exceptions rather than prohibiting them. Cynthia Foley accepted the shape without argument. She asked that the margin effect be shown account by account before she takes it to her executive committee, on the grounds that the committee will ask which customers lose and she would rather answer than promise to follow up.</w:t>
      </w:r>
    </w:p>
    <w:p>
      <w:pPr>
        <w:pStyle w:val="Heading2"/>
      </w:pPr>
      <w:r>
        <w:t>Open Items</w:t>
      </w:r>
    </w:p>
    <w:p>
      <w:r>
        <w:t>The first is the price of an exception. The draft sets it as a flat uplift. Robert Miller argued that a flat uplift will be worked around inside a quarter, because the people it constrains negotiate for a living. Jennifer Fletcher will test a banded alternative against the transaction history. The structure does not change either way. The number may.</w:t>
      </w:r>
    </w:p>
    <w:p>
      <w:r>
        <w:t>The second is one product family. Its discount pattern is driven by a handful of contracts whose terms predate the current price list. Susan Wiley will schedule those contracts with their terms and expiries so the recommendation can treat them as a named exception rather than bend the general rule around them. Cynthia Foley confirmed that none of them can be reopened early.</w:t>
      </w:r>
    </w:p>
    <w:p>
      <w:r>
        <w:t>The third is communication. The structure constrains the two regions that discount most, and it will not be welcome there. Cynthia Foley will decide who tells them and in what order. She asked whether the firm would prepare the supporting exhibit for that conversation. Robert Miller said yes and asked her to confirm the audience first, since the exhibit for a regional manager is not the exhibit for an executive committee.</w:t>
      </w:r>
    </w:p>
    <w:p>
      <w:pPr>
        <w:pStyle w:val="Heading2"/>
      </w:pPr>
      <w:r>
        <w:t>Also Discussed</w:t>
      </w:r>
    </w:p>
    <w:p>
      <w:r>
        <w:t>A pilot was raised briefly. One region, one quarter, ahead of any general rollout. Cynthia Foley is in favor. No decision was taken and none was asked for. The review was held by video, as the last two have been. The closing session and the final report were touched on at the end: both follow once the account-level margin exhibit is finished and the exception price is settled.</w:t>
      </w:r>
    </w:p>
    <w:p>
      <w:pPr>
        <w:pStyle w:val="Heading2"/>
      </w:pPr>
      <w:r>
        <w:t>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Owner</w:t>
            </w:r>
          </w:p>
        </w:tc>
        <w:tc>
          <w:tcPr>
            <w:tcW w:type="dxa" w:w="2160"/>
          </w:tcPr>
          <w:p>
            <w:r>
              <w:rPr>
                <w:b/>
              </w:rPr>
              <w:t>Action</w:t>
            </w:r>
          </w:p>
        </w:tc>
        <w:tc>
          <w:tcPr>
            <w:tcW w:type="dxa" w:w="2160"/>
          </w:tcPr>
          <w:p>
            <w:r>
              <w:rPr>
                <w:b/>
              </w:rPr>
              <w:t>Due</w:t>
            </w:r>
          </w:p>
        </w:tc>
      </w:tr>
      <w:tr>
        <w:tc>
          <w:tcPr>
            <w:tcW w:type="dxa" w:w="2160"/>
          </w:tcPr>
          <w:p>
            <w:r>
              <w:t>1</w:t>
            </w:r>
          </w:p>
        </w:tc>
        <w:tc>
          <w:tcPr>
            <w:tcW w:type="dxa" w:w="2160"/>
          </w:tcPr>
          <w:p>
            <w:r>
              <w:t>Jennifer Fletcher</w:t>
            </w:r>
          </w:p>
        </w:tc>
        <w:tc>
          <w:tcPr>
            <w:tcW w:type="dxa" w:w="2160"/>
          </w:tcPr>
          <w:p>
            <w:r>
              <w:t>Test a banded exception price against the transaction history</w:t>
            </w:r>
          </w:p>
        </w:tc>
        <w:tc>
          <w:tcPr>
            <w:tcW w:type="dxa" w:w="2160"/>
          </w:tcPr>
          <w:p>
            <w:r>
              <w:t>Before the next review</w:t>
            </w:r>
          </w:p>
        </w:tc>
      </w:tr>
      <w:tr>
        <w:tc>
          <w:tcPr>
            <w:tcW w:type="dxa" w:w="2160"/>
          </w:tcPr>
          <w:p>
            <w:r>
              <w:t>2</w:t>
            </w:r>
          </w:p>
        </w:tc>
        <w:tc>
          <w:tcPr>
            <w:tcW w:type="dxa" w:w="2160"/>
          </w:tcPr>
          <w:p>
            <w:r>
              <w:t>Susan Wiley</w:t>
            </w:r>
          </w:p>
        </w:tc>
        <w:tc>
          <w:tcPr>
            <w:tcW w:type="dxa" w:w="2160"/>
          </w:tcPr>
          <w:p>
            <w:r>
              <w:t>Produce the account-level margin exhibit for the executive committee</w:t>
            </w:r>
          </w:p>
        </w:tc>
        <w:tc>
          <w:tcPr>
            <w:tcW w:type="dxa" w:w="2160"/>
          </w:tcPr>
          <w:p>
            <w:r>
              <w:t>Next week</w:t>
            </w:r>
          </w:p>
        </w:tc>
      </w:tr>
      <w:tr>
        <w:tc>
          <w:tcPr>
            <w:tcW w:type="dxa" w:w="2160"/>
          </w:tcPr>
          <w:p>
            <w:r>
              <w:t>3</w:t>
            </w:r>
          </w:p>
        </w:tc>
        <w:tc>
          <w:tcPr>
            <w:tcW w:type="dxa" w:w="2160"/>
          </w:tcPr>
          <w:p>
            <w:r>
              <w:t>Susan Wiley</w:t>
            </w:r>
          </w:p>
        </w:tc>
        <w:tc>
          <w:tcPr>
            <w:tcW w:type="dxa" w:w="2160"/>
          </w:tcPr>
          <w:p>
            <w:r>
              <w:t>Schedule the legacy contracts in the affected family with terms and expiries</w:t>
            </w:r>
          </w:p>
        </w:tc>
        <w:tc>
          <w:tcPr>
            <w:tcW w:type="dxa" w:w="2160"/>
          </w:tcPr>
          <w:p>
            <w:r>
              <w:t>Next week</w:t>
            </w:r>
          </w:p>
        </w:tc>
      </w:tr>
      <w:tr>
        <w:tc>
          <w:tcPr>
            <w:tcW w:type="dxa" w:w="2160"/>
          </w:tcPr>
          <w:p>
            <w:r>
              <w:t>4</w:t>
            </w:r>
          </w:p>
        </w:tc>
        <w:tc>
          <w:tcPr>
            <w:tcW w:type="dxa" w:w="2160"/>
          </w:tcPr>
          <w:p>
            <w:r>
              <w:t>Cynthia Foley</w:t>
            </w:r>
          </w:p>
        </w:tc>
        <w:tc>
          <w:tcPr>
            <w:tcW w:type="dxa" w:w="2160"/>
          </w:tcPr>
          <w:p>
            <w:r>
              <w:t>Confirm the audience for the regional communication exhibit</w:t>
            </w:r>
          </w:p>
        </w:tc>
        <w:tc>
          <w:tcPr>
            <w:tcW w:type="dxa" w:w="2160"/>
          </w:tcPr>
          <w:p>
            <w:r>
              <w:t>This week</w:t>
            </w:r>
          </w:p>
        </w:tc>
      </w:tr>
      <w:tr>
        <w:tc>
          <w:tcPr>
            <w:tcW w:type="dxa" w:w="2160"/>
          </w:tcPr>
          <w:p>
            <w:r>
              <w:t>5</w:t>
            </w:r>
          </w:p>
        </w:tc>
        <w:tc>
          <w:tcPr>
            <w:tcW w:type="dxa" w:w="2160"/>
          </w:tcPr>
          <w:p>
            <w:r>
              <w:t>Robert Miller</w:t>
            </w:r>
          </w:p>
        </w:tc>
        <w:tc>
          <w:tcPr>
            <w:tcW w:type="dxa" w:w="2160"/>
          </w:tcPr>
          <w:p>
            <w:r>
              <w:t>Circulate the outline of the final report and the closing session agenda</w:t>
            </w:r>
          </w:p>
        </w:tc>
        <w:tc>
          <w:tcPr>
            <w:tcW w:type="dxa" w:w="2160"/>
          </w:tcPr>
          <w:p>
            <w:r>
              <w:t>Before the next review</w:t>
            </w:r>
          </w:p>
        </w:tc>
      </w:tr>
    </w:tbl>
    <w:p>
      <w:r>
        <w:t>Item 1 is the only open item that can move the recommendation. Items 2 through 5 support it. The next review will be set once items 1 and 2 are done.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Study for Dean PLC</dc:title>
  <dc:subject/>
  <dc:creator>Susan Wiley</dc:creator>
  <cp:keywords/>
  <dc:description>generated by python-docx</dc:description>
  <cp:lastModifiedBy>Susan Wiley</cp:lastModifiedBy>
  <cp:revision>1</cp:revision>
  <dcterms:created xsi:type="dcterms:W3CDTF">2020-08-15T09:00:00Z</dcterms:created>
  <dcterms:modified xsi:type="dcterms:W3CDTF">2020-08-15T09:00:00Z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