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Robert Miller</w:t>
        <w:br/>
        <w:t>Cc: Michelle Lopez</w:t>
        <w:br/>
        <w:t>From: Jennifer Fletcher</w:t>
        <w:br/>
        <w:t>Re: Kickoff, operational review for Johnson and Sons</w:t>
      </w:r>
    </w:p>
    <w:p>
      <w:r>
        <w:t>The letter is signed and the term started July 17, 2019. This memo sets the objectives and the workstreams so we are both working from one plan. Our sponsor is Stephanie Campos, Chief Financial Officer at Johnson and Sons. She asked for three things and we should write to those three. First, a clear picture of how work actually moves through the business. Second, a short list of the places where it stalls, ranked by what the stall costs. Third, recommendations her operating managers can act on without a translation step. Anything that does not serve one of those is out of scope. If the real problem turns out to sit somewhere we were not hired to look, we raise it with her early and in plain terms.</w:t>
      </w:r>
    </w:p>
    <w:p>
      <w:pPr>
        <w:pStyle w:val="Heading2"/>
      </w:pPr>
      <w:r>
        <w:t>Workstreams</w:t>
      </w:r>
    </w:p>
    <w:p>
      <w:pPr>
        <w:pStyle w:val="ListBullet"/>
      </w:pPr>
      <w:r>
        <w:t>Order intake and scheduling. How an order becomes a commitment and a schedule, who is allowed to change it once it is set, and what a change costs downstream. Robert leads. I will sit in on the scheduling interviews.</w:t>
      </w:r>
    </w:p>
    <w:p>
      <w:pPr>
        <w:pStyle w:val="ListBullet"/>
      </w:pPr>
      <w:r>
        <w:t>Floor observation. Two full days per area, at shift start wherever we can get access, covering receiving, put-away, picking, and shipping. Robert. No conclusion in this workstream goes in the report unless one of us watched the thing happen.</w:t>
      </w:r>
    </w:p>
    <w:p>
      <w:pPr>
        <w:pStyle w:val="ListBullet"/>
      </w:pPr>
      <w:r>
        <w:t>Procurement and supplier terms. Lead times, order minimums, and how much of the scheduling problem is bought rather than made. Mine.</w:t>
      </w:r>
    </w:p>
    <w:p>
      <w:pPr>
        <w:pStyle w:val="ListBullet"/>
      </w:pPr>
      <w:r>
        <w:t>Management reporting. What is measured, what is reviewed, which of the standing meetings actually changes a decision, and where two reports give two answers to the same question. Mine.</w:t>
      </w:r>
    </w:p>
    <w:p>
      <w:pPr>
        <w:pStyle w:val="ListBullet"/>
      </w:pPr>
      <w:r>
        <w:t>Data and exhibits. Everything we pull from their systems goes into one workbook, with the source system and the date of the pull on each tab. We both work from that workbook and from no other copy. An exhibit that cannot name its tab does not go in front of the client.</w:t>
      </w:r>
    </w:p>
    <w:p>
      <w:pPr>
        <w:pStyle w:val="ListBullet"/>
      </w:pPr>
      <w:r>
        <w:t>Interim reporting. A short written status to the sponsor at the midpoint, and a note to her in between only when something changes that she would not want to hear about at a meeting. Mine.</w:t>
      </w:r>
    </w:p>
    <w:p>
      <w:pPr>
        <w:pStyle w:val="Heading2"/>
      </w:pPr>
      <w:r>
        <w:t>Next Steps</w:t>
      </w:r>
    </w:p>
    <w:p>
      <w:r>
        <w:t>Michelle Lopez has the calendar and the travel, and she cannot book anything until she has the site dates, which means your first two weeks. She also holds the engagement file. Everything that goes to the client goes out through her, so there is one record of what was sent and when. Nothing leaves this office over my name that Michelle has not logged.</w:t>
      </w:r>
    </w:p>
    <w:p>
      <w:r>
        <w:t>Access is the thing most likely to cost us time. We need the shift starts, not a tour at ten in the morning, and we need the supervisors for an hour each without their manager in the room. I will ask Stephanie Campos for both directly rather than working it out with each area on the day. If she pushes back on the second one, tell me before you start rearranging the interview list, because it changes what the interviews are worth.</w:t>
      </w:r>
    </w:p>
    <w:p>
      <w:r>
        <w:t>On the client side, I am going to send one consolidated data request instead of a stream of small ones. That is easier for her staff to fill and easier for us to chase, and it gives us a single list to point at when something is late. Assume everything on it takes two weeks to arrive and plan the analysis accordingly.</w:t>
      </w:r>
    </w:p>
    <w:p>
      <w:r>
        <w:t>One more thing on tone. We are three days into a three-month engagement and we do not have findings, so we do not talk like we do. If a supervisor asks what we have found, the honest answer is that we are still watching.</w:t>
      </w:r>
    </w:p>
    <w:p>
      <w:r>
        <w:t>Next step: send me your draft of the data request by the end of this week, and I will merge it with mine and get the combined list to Stephanie Campos on Monday morning.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Operational Review for Johnson and Sons</dc:title>
  <dc:subject/>
  <dc:creator>Jennifer Fletcher</dc:creator>
  <cp:keywords/>
  <dc:description>generated by python-docx</dc:description>
  <cp:lastModifiedBy>Jennifer Fletcher</cp:lastModifiedBy>
  <cp:revision>1</cp:revision>
  <dcterms:created xsi:type="dcterms:W3CDTF">2019-07-20T09:00:00Z</dcterms:created>
  <dcterms:modified xsi:type="dcterms:W3CDTF">2019-07-20T09:00:00Z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