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Robert Miller, Jennifer Fletcher</w:t>
        <w:br/>
        <w:t>From: Cynthia Ball</w:t>
        <w:br/>
        <w:t>Re: Kickoff, integration support for Reeves, Miller and Thompson</w:t>
      </w:r>
    </w:p>
    <w:p>
      <w:r>
        <w:t>The engagement commenced on April 5, 2021. This memo records the objectives as I understood them from our internal session, and how we agreed the work divides. It is a working document. Where I have written down the wrong thing, tell me and I will reissue it.</w:t>
      </w:r>
    </w:p>
    <w:p>
      <w:r>
        <w:t>The objective is narrower than the proposal makes it sound. The client does not need a description of two businesses. It needs to be able to take an order, schedule it, deliver it, and bill it the same way on both sides before we leave. I would test everything we produce against that sentence. Work that does not move a decision toward it is interesting rather than useful, and we do not have the weeks for interesting.</w:t>
      </w:r>
    </w:p>
    <w:p>
      <w:r>
        <w:t>Two constraints from the client should be stated early. Christopher Cole is our single point of contact. He has asked that requests for data and for people's time route through him for the first month rather than going direct to the acquired side. I do not read that as obstruction. The people we are about to ask have just been acquired, and a consultant arriving unannounced confirms every fear they already hold.</w:t>
      </w:r>
    </w:p>
    <w:p>
      <w:pPr>
        <w:pStyle w:val="Heading2"/>
      </w:pPr>
      <w:r>
        <w:t>How the Work Divides</w:t>
      </w:r>
    </w:p>
    <w:p>
      <w:r>
        <w:t>1. Operating baseline. Robert Miller owns it. Order intake, scheduling, delivery, billing and collections, on both sides, observed rather than described to us. I will handle interview scheduling and the write-ups. The baseline is the input to everything else, so it is also the piece with no slack in it.</w:t>
      </w:r>
    </w:p>
    <w:p>
      <w:r>
        <w:t>2. Definitions. Jennifer Fletcher owns it, and I expect it to cause the most trouble. The two businesses do not mean the same thing by an open order, an active customer, or a completed job. Until they do, no comparison we produce is safe and no combined number either side reports means anything.</w:t>
      </w:r>
    </w:p>
    <w:p>
      <w:r>
        <w:t>3. Organization and roles. Jennifer Fletcher owns it. Role by role across the combined business, showing the overlaps, the gaps, and the people whose departure would hurt. This one is sensitive. It circulates to our team and to Christopher Cole and to nobody else without his express agreement.</w:t>
      </w:r>
    </w:p>
    <w:p>
      <w:r>
        <w:t>4. Systems and data. Robert Miller owns it, with me on the data. Two order-entry systems, two account structures, one decision. The decision is not automatically convergence, and we should not walk in assuming that it is.</w:t>
      </w:r>
    </w:p>
    <w:p>
      <w:r>
        <w:t>5. Decision log and reporting. Mine. One log, one line per decision, an owner and a date needed against each entry. I expect the client to still be using it after we have gone, so I would rather it were dull and current than clever.</w:t>
      </w:r>
    </w:p>
    <w:p>
      <w:pPr>
        <w:pStyle w:val="Heading2"/>
      </w:pPr>
      <w:r>
        <w:t>First Two Weeks</w:t>
      </w:r>
    </w:p>
    <w:p>
      <w:r>
        <w:t>1. Site visits. Both sites, in person, before a single interview is booked. Robert Miller has asked for two full days at each and I have placed holds accordingly.</w:t>
      </w:r>
    </w:p>
    <w:p>
      <w:r>
        <w:t>2. Data request. I will send one consolidated request through Christopher Cole this week. One request, not five. A drip of small requests reads as disorganization and each one is answered more slowly than the last.</w:t>
      </w:r>
    </w:p>
    <w:p>
      <w:r>
        <w:t>3. Interview list. Names from both of you by the end of the week, please. I will schedule across the two sites and take the first few by video where the travel cannot be justified.</w:t>
      </w:r>
    </w:p>
    <w:p>
      <w:r>
        <w:t>4. Standing meeting. A weekly integration session with Christopher Cole, the same day and time each week, beginning next week. I will keep the minutes and circulate them within a day of the session.</w:t>
      </w:r>
    </w:p>
    <w:p>
      <w:r>
        <w:t>5. Working papers. Interview notes into the engagement file the same day. We told the client we would not attribute what people tell us, so the notes carry the role and not the person. That promise is worth nothing if it starts in the third week.</w:t>
      </w:r>
    </w:p>
    <w:p>
      <w:r>
        <w:t>One thing to agree before we start. If either of you settles something with Christopher Cole outside the standing meeting, tell me the same day so that it reaches the log. A decision that lives only in somebody's memory is the one that surfaces at cutover as a disagreement neither side can settle.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Integration Support for Reeves, Miller and Thompson</dc:title>
  <dc:subject/>
  <dc:creator>Cynthia Ball</dc:creator>
  <cp:keywords/>
  <dc:description>generated by python-docx</dc:description>
  <cp:lastModifiedBy>Cynthia Ball</cp:lastModifiedBy>
  <cp:revision>1</cp:revision>
  <dcterms:created xsi:type="dcterms:W3CDTF">2021-04-08T09:00:00Z</dcterms:created>
  <dcterms:modified xsi:type="dcterms:W3CDTF">2021-04-08T09:00:00Z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