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Integration Support: Working Session Minutes</w:t>
      </w:r>
    </w:p>
    <w:p>
      <w:r>
        <w:t>Session held at the client's main site, with the acquired site joining by video after the first hour. Purpose: close the definitions list, and take the systems question to a recommendation. Minutes by Jennifer Fletcher.</w:t>
      </w:r>
    </w:p>
    <w:p>
      <w:pPr>
        <w:pStyle w:val="Heading2"/>
      </w:pPr>
      <w:r>
        <w:t>Attendees</w:t>
      </w:r>
    </w:p>
    <w:p>
      <w:pPr>
        <w:pStyle w:val="ListBullet"/>
      </w:pPr>
      <w:r>
        <w:t>Jennifer Fletcher, Senior Consultant, chair</w:t>
      </w:r>
    </w:p>
    <w:p>
      <w:pPr>
        <w:pStyle w:val="ListBullet"/>
      </w:pPr>
      <w:r>
        <w:t>Robert Miller, Principal Consultant</w:t>
      </w:r>
    </w:p>
    <w:p>
      <w:pPr>
        <w:pStyle w:val="ListBullet"/>
      </w:pPr>
      <w:r>
        <w:t>Cynthia Ball, Analyst</w:t>
      </w:r>
    </w:p>
    <w:p>
      <w:pPr>
        <w:pStyle w:val="ListBullet"/>
      </w:pPr>
      <w:r>
        <w:t>Christopher Cole, General Manager, Reeves, Miller and Thompson</w:t>
      </w:r>
    </w:p>
    <w:p>
      <w:pPr>
        <w:pStyle w:val="Heading2"/>
      </w:pPr>
      <w:r>
        <w:t>Discussion</w:t>
      </w:r>
    </w:p>
    <w:p>
      <w:r>
        <w:t>Robert Miller presented the baseline. It is complete on both sides and has been walked back through the supervisors who described the work. Two findings carried the session. The acquired business schedules against promised dates. The buying business schedules against capacity. Neither method is wrong, and both cannot survive the merge. The choice is commercial rather than operational, because what it really decides is which customers get told no.</w:t>
      </w:r>
    </w:p>
    <w:p>
      <w:r>
        <w:t>The definitions list stands at nineteen terms. Fourteen are agreed and written down. Three are agreed in substance and wait on Christopher Cole to confirm them in writing. Two are not agreed. An open order means a booked job on one side and a job with materials committed on the other, which is why the two order books have never reconciled to each other. An active customer means one purchase in twelve months on one side and one in twenty-four on the other. Cynthia Ball reran the customer overlap under both rules before the session. The count of shared accounts moves by about a third between them. Christopher Cole took the point at once and asked for the twelve-month rule, subject to his commercial lead.</w:t>
      </w:r>
    </w:p>
    <w:p>
      <w:r>
        <w:t>On systems, the recommendation is to converge order entry onto the buying business's system and to carry the acquired side's scheduling rules across as configuration rather than as custom code. Robert Miller was explicit that this is the more expensive option in the first month and the cheaper one by the fourth. I asked him to write the comparison out rather than present it verbally, because it will be argued again as soon as the first configuration estimate lands.</w:t>
      </w:r>
    </w:p>
    <w:p>
      <w:r>
        <w:t>Retention was raised by Christopher Cole and not by us. Two dispatchers on the acquired side hold the routing knowledge for that operation. Neither set of rules is documented anywhere. Hiring into the role has been hard all spring. We agreed that the integration plan should not assume either dispatcher stays, and Cynthia Ball will write the routing rules into the baseline as a procedure.</w:t>
      </w:r>
    </w:p>
    <w:p>
      <w:r>
        <w:t>Christopher Cole asked how the two order-entry teams are taking the work. The answer is that the buying side treats it as a project and the acquired side treats it as a verdict. That difference will not close by itself. We recommended a short written update from him to both teams after the systems decision is taken, on the same day and in the same words, and he agreed to draft one.</w:t>
      </w:r>
    </w:p>
    <w:p>
      <w:r>
        <w:t>Billing sequencing was deferred by agreement. It depends on the order-entry decision, and there is no value in planning it twice. Cynthia Ball noted that the two businesses invoice on different cycles, so the sequence will need a month where one side bills early or the other bills late. That is a decision for the finance lead and it is now on the log.</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Due</w:t>
            </w:r>
          </w:p>
        </w:tc>
      </w:tr>
      <w:tr>
        <w:tc>
          <w:tcPr>
            <w:tcW w:type="dxa" w:w="2880"/>
          </w:tcPr>
          <w:p>
            <w:r>
              <w:t>Confirm the three pending definitions in writing</w:t>
            </w:r>
          </w:p>
        </w:tc>
        <w:tc>
          <w:tcPr>
            <w:tcW w:type="dxa" w:w="2880"/>
          </w:tcPr>
          <w:p>
            <w:r>
              <w:t>Christopher Cole</w:t>
            </w:r>
          </w:p>
        </w:tc>
        <w:tc>
          <w:tcPr>
            <w:tcW w:type="dxa" w:w="2880"/>
          </w:tcPr>
          <w:p>
            <w:r>
              <w:t>This week</w:t>
            </w:r>
          </w:p>
        </w:tc>
      </w:tr>
      <w:tr>
        <w:tc>
          <w:tcPr>
            <w:tcW w:type="dxa" w:w="2880"/>
          </w:tcPr>
          <w:p>
            <w:r>
              <w:t>Twelve-month rule for an active customer, confirmed with the commercial lead</w:t>
            </w:r>
          </w:p>
        </w:tc>
        <w:tc>
          <w:tcPr>
            <w:tcW w:type="dxa" w:w="2880"/>
          </w:tcPr>
          <w:p>
            <w:r>
              <w:t>Christopher Cole</w:t>
            </w:r>
          </w:p>
        </w:tc>
        <w:tc>
          <w:tcPr>
            <w:tcW w:type="dxa" w:w="2880"/>
          </w:tcPr>
          <w:p>
            <w:r>
              <w:t>Next session</w:t>
            </w:r>
          </w:p>
        </w:tc>
      </w:tr>
      <w:tr>
        <w:tc>
          <w:tcPr>
            <w:tcW w:type="dxa" w:w="2880"/>
          </w:tcPr>
          <w:p>
            <w:r>
              <w:t>Written comparison of the two order-entry options, first month and steady state</w:t>
            </w:r>
          </w:p>
        </w:tc>
        <w:tc>
          <w:tcPr>
            <w:tcW w:type="dxa" w:w="2880"/>
          </w:tcPr>
          <w:p>
            <w:r>
              <w:t>Robert Miller</w:t>
            </w:r>
          </w:p>
        </w:tc>
        <w:tc>
          <w:tcPr>
            <w:tcW w:type="dxa" w:w="2880"/>
          </w:tcPr>
          <w:p>
            <w:r>
              <w:t>Two weeks</w:t>
            </w:r>
          </w:p>
        </w:tc>
      </w:tr>
      <w:tr>
        <w:tc>
          <w:tcPr>
            <w:tcW w:type="dxa" w:w="2880"/>
          </w:tcPr>
          <w:p>
            <w:r>
              <w:t>Routing rules documented as procedure and added to the baseline</w:t>
            </w:r>
          </w:p>
        </w:tc>
        <w:tc>
          <w:tcPr>
            <w:tcW w:type="dxa" w:w="2880"/>
          </w:tcPr>
          <w:p>
            <w:r>
              <w:t>Cynthia Ball</w:t>
            </w:r>
          </w:p>
        </w:tc>
        <w:tc>
          <w:tcPr>
            <w:tcW w:type="dxa" w:w="2880"/>
          </w:tcPr>
          <w:p>
            <w:r>
              <w:t>Two weeks</w:t>
            </w:r>
          </w:p>
        </w:tc>
      </w:tr>
      <w:tr>
        <w:tc>
          <w:tcPr>
            <w:tcW w:type="dxa" w:w="2880"/>
          </w:tcPr>
          <w:p>
            <w:r>
              <w:t>Customer overlap reissued under the agreed definition</w:t>
            </w:r>
          </w:p>
        </w:tc>
        <w:tc>
          <w:tcPr>
            <w:tcW w:type="dxa" w:w="2880"/>
          </w:tcPr>
          <w:p>
            <w:r>
              <w:t>Cynthia Ball</w:t>
            </w:r>
          </w:p>
        </w:tc>
        <w:tc>
          <w:tcPr>
            <w:tcW w:type="dxa" w:w="2880"/>
          </w:tcPr>
          <w:p>
            <w:r>
              <w:t>Next session</w:t>
            </w:r>
          </w:p>
        </w:tc>
      </w:tr>
      <w:tr>
        <w:tc>
          <w:tcPr>
            <w:tcW w:type="dxa" w:w="2880"/>
          </w:tcPr>
          <w:p>
            <w:r>
              <w:t>Role map circulated to Christopher Cole only</w:t>
            </w:r>
          </w:p>
        </w:tc>
        <w:tc>
          <w:tcPr>
            <w:tcW w:type="dxa" w:w="2880"/>
          </w:tcPr>
          <w:p>
            <w:r>
              <w:t>Jennifer Fletcher</w:t>
            </w:r>
          </w:p>
        </w:tc>
        <w:tc>
          <w:tcPr>
            <w:tcW w:type="dxa" w:w="2880"/>
          </w:tcPr>
          <w:p>
            <w:r>
              <w:t>Next session</w:t>
            </w:r>
          </w:p>
        </w:tc>
      </w:tr>
    </w:tbl>
    <w:p>
      <w:r>
        <w:t>Next session in three weeks at the acquired site, with the configuration estimate in hand. Cynthia Ball will circulate these minutes and the updated decision log.</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Pinebrook Advisory Group LLC</w:t>
    </w:r>
  </w:p>
  <w:p>
    <w:r>
      <w:rPr>
        <w:sz w:val="18"/>
      </w:rPr>
      <w:t>www.pinebrookadvisory.com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Pinebrook Advisory Group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Integration Support for Reeves, Miller and Thompson</dc:title>
  <dc:subject/>
  <dc:creator>Jennifer Fletcher</dc:creator>
  <cp:keywords/>
  <dc:description>generated by python-docx</dc:description>
  <cp:lastModifiedBy>Jennifer Fletcher</cp:lastModifiedBy>
  <cp:revision>1</cp:revision>
  <dcterms:created xsi:type="dcterms:W3CDTF">2021-06-23T09:00:00Z</dcterms:created>
  <dcterms:modified xsi:type="dcterms:W3CDTF">2021-06-23T09:00:00Z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