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Pinebrook Advisory Group LLC: Firm Overview</w:t>
      </w:r>
    </w:p>
    <w:p>
      <w:r>
        <w:t>Pinebrook Advisory Group is a management consultancy for mid-market operating companies, and the work we do is defined, short and finished. A client hires us to answer one question, we answer it in writing, and we go. We are not a firm that installs itself in a client's lobby for two years, and the reason is not modesty. The engagements where we are worth the fee are the ones where an outside team, given the time to look and no stake in whichever decision got the client here, gets further in one concentrated stretch than the client's own people can while they are also running the business.</w:t>
      </w:r>
    </w:p>
    <w:p>
      <w:pPr>
        <w:pStyle w:val="Heading2"/>
      </w:pPr>
      <w:r>
        <w:t>What we do</w:t>
      </w:r>
    </w:p>
    <w:p>
      <w:r>
        <w:t>Three kinds of work account for nearly all of it. An operational review is a structured comparison of how a business actually runs against how it believes it runs, and it ends in a short set of recommendations, each with an owner and a place in a sequence, because a recommendation with neither attached is a wish. A pricing study is narrower work and usually harder, since it obliges a client to say plainly what the product is worth and to whom, and most of the analysis exists to test that sentence rather than to print a new price list. Integration support is the work that starts after an acquisition closes, when two sets of systems and two sets of habits have to become one, and the part that clients underestimate is how much of the value sits in deciding what to leave alone.</w:t>
      </w:r>
    </w:p>
    <w:p>
      <w:pPr>
        <w:pStyle w:val="Heading2"/>
      </w:pPr>
      <w:r>
        <w:t>How an engagement runs</w:t>
      </w:r>
    </w:p>
    <w:p>
      <w:r>
        <w:t>Every engagement begins with a written scope and a fixed fee, both agreed before any work starts, and we would rather spend an extra week arguing about the scope than send an invoice somebody has to explain upstairs. We staff thin on purpose. The people who meet a client in the first week are the people still on the file at the end, there is no second team behind a curtain, and that is the honest advantage of a firm this size as well as its honest limit, since it means we can carry only a few engagements at once and say no more often than a larger firm would need to. Findings go to the client as we get them, in a form short enough to be read in a meeting rather than filed for later. Nobody here is paid to save a surprise for the final report.</w:t>
      </w:r>
    </w:p>
    <w:p>
      <w:pPr>
        <w:pStyle w:val="Heading2"/>
      </w:pPr>
      <w:r>
        <w:t>Who we work for</w:t>
      </w:r>
    </w:p>
    <w:p>
      <w:r>
        <w:t>Our clients are operating companies in the middle market, held privately or by a sponsor, and most of them sit somewhere between the stage where a founder knew every number personally and the stage where a finance function knows them instead. The recurring problem in that band is not a shortage of information. It is that the information has never been asked a direct question by anyone with the time to sit with the answer, and the people best placed to ask it are the people with the least room in their week to do so. An outside firm is one way to buy that room, and it is not the only way, which is a thing we say early rather than late.</w:t>
      </w:r>
    </w:p>
    <w:p>
      <w:pPr>
        <w:pStyle w:val="Heading2"/>
      </w:pPr>
      <w:r>
        <w:t>Representative work</w:t>
      </w:r>
    </w:p>
    <w:p>
      <w:r>
        <w:t>The engagement now under way is an operational review for Johnson and Sons, and it is the reference call we would ask a prospective client to make once the work is done. Our list is short. A firm at this stage can either pad this section with the names of companies it has merely spoken to, or it can state plainly that it has one client, that the work is in progress, and that the client will take the call. The second is worth more to anyone who is actually deciding, and the first is the kind of thing we are in business to talk clients out of doing in their own materials.</w:t>
      </w:r>
    </w:p>
    <w:p>
      <w:pPr>
        <w:pStyle w:val="Heading2"/>
      </w:pPr>
      <w:r>
        <w:t>The firm</w:t>
      </w:r>
    </w:p>
    <w:p>
      <w:r>
        <w:t>Daniel Jones, the Managing Partner, signs everything that leaves this office, and he reads it in full before he signs it, which clients tend to discover the first time a draft comes back shorter than it went in. Behind him is a small consulting team and the office that keeps the firm running. We introduce the people who will be on an engagement before it starts rather than after, because a client who meets the team on the first morning of the work has been sold something other than what we sell.</w:t>
      </w:r>
    </w:p>
    <w:p>
      <w:r>
        <w:t>The short version: one defined question, a fixed fee agreed in advance, an answer written to be read, and a firm small enough that the person who promised the work is the person doing it.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Daniel Jones</dc:creator>
  <cp:keywords/>
  <dc:description>generated by python-docx</dc:description>
  <cp:lastModifiedBy>Daniel Jones</cp:lastModifiedBy>
  <cp:revision>1</cp:revision>
  <dcterms:created xsi:type="dcterms:W3CDTF">2019-08-16T09:00:00Z</dcterms:created>
  <dcterms:modified xsi:type="dcterms:W3CDTF">2019-08-16T09:00:00Z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