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Pinebrook Advisory Group LLC: Firm Overview</w:t>
      </w:r>
    </w:p>
    <w:p>
      <w:r>
        <w:t>Three engagements, all of them closed, and no two of them the same shape. That is the record of this firm as it stands, and a prospective client should weigh it as a short record honestly described rather than a long one. What the three have in common is the only thing we would ask anyone to generalize from. In each of them the client already held the information needed to make the decision, and in each of them nobody inside the building had been given the standing, or the free week, to ask that information a direct question. That is the work. It is also the only work we claim to be good at.</w:t>
      </w:r>
    </w:p>
    <w:p>
      <w:pPr>
        <w:pStyle w:val="Heading2"/>
      </w:pPr>
      <w:r>
        <w:t>The record</w:t>
      </w:r>
    </w:p>
    <w:p>
      <w:r>
        <w:t>The first engagement this firm signed was an operational review for Johnson and Sons, and it set the pattern for everything after it: a written scope, a fixed fee, a walk through the operation with the people who actually run it, and a set of recommendations short enough that a management team could argue about all of them in one sitting. The second was a pricing study for Dean PLC, run almost entirely by telephone and video for reasons everybody now remembers, which worked better than we expected, though we would still rather be in the room when the answer is going to be unwelcome. The third was integration support for Reeves, Miller and Thompson in the months after their acquisition closed, where most of what we added was deciding, item by item, which of two ways of doing a thing to keep and which of the available arguments were not worth having.</w:t>
      </w:r>
    </w:p>
    <w:p>
      <w:pPr>
        <w:pStyle w:val="Heading2"/>
      </w:pPr>
      <w:r>
        <w:t>What the three had in common</w:t>
      </w:r>
    </w:p>
    <w:p>
      <w:r>
        <w:t>None of them was a research project. Each began with a decision the client had to make and a point by which it had to be made, and the scope was written backwards from that. We do not sell studies. A study is what a firm produces when nobody agreed in advance what would change as a result of it, and the recognizable end of one is a document that circulates for two weeks and then stops circulating. If a client cannot tell us what they will do differently depending on our answer, we are the wrong firm for the assignment, and we would rather say so before anyone has spent anything than discover it together in the last month.</w:t>
      </w:r>
    </w:p>
    <w:p>
      <w:pPr>
        <w:pStyle w:val="Heading2"/>
      </w:pPr>
      <w:r>
        <w:t>What has changed</w:t>
      </w:r>
    </w:p>
    <w:p>
      <w:r>
        <w:t>Less than a prospective client might expect. We still scope in writing, still quote a fixed fee, and still put the people who met the client in the first week on the file at the end. The change is one of tempo: findings now go out earlier and shorter, because a client who can see the direction of travel by the midpoint makes better use of the last third of an engagement than one who is handed a finished document and asked to react to it. We have also grown slower to say yes, which is a change we would not have predicted and do not regret.</w:t>
      </w:r>
    </w:p>
    <w:p>
      <w:pPr>
        <w:pStyle w:val="Heading2"/>
      </w:pPr>
      <w:r>
        <w:t>Terms</w:t>
      </w:r>
    </w:p>
    <w:p>
      <w:r>
        <w:t>A fixed fee, set out in the engagement letter and agreed before any work begins, billed on the schedule that same letter states. We do not bill by the hour, because hourly billing puts the firm and the client on opposite sides of every question about how long a piece of work should take, and that is a bad place to be standing when the work turns out to be harder than either party thought. Expenses are passed through at cost and itemized. If the scope moves far enough to move the fee, that conversation happens in writing at the point it becomes apparent, and never at the end.</w:t>
      </w:r>
    </w:p>
    <w:p>
      <w:pPr>
        <w:pStyle w:val="Heading2"/>
      </w:pPr>
      <w:r>
        <w:t>The firm</w:t>
      </w:r>
    </w:p>
    <w:p>
      <w:r>
        <w:t>Nothing leaves this office without Daniel Jones reading it first, and the Managing Partner reads with a pen in his hand, which is why our reports are shorter than the ones they sit next to and why the recommendation is in the opening paragraph instead of on the last page. The practice has grown since that first engagement, though not by much and not by accident, because we would rather turn work away than staff it with people the client has never met. Anyone who is going to be on your engagement will have been in the room before it starts.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Daniel Jones</dc:creator>
  <cp:keywords/>
  <dc:description>generated by python-docx</dc:description>
  <cp:lastModifiedBy>Daniel Jones</cp:lastModifiedBy>
  <cp:revision>1</cp:revision>
  <dcterms:created xsi:type="dcterms:W3CDTF">2022-08-15T09:00:00Z</dcterms:created>
  <dcterms:modified xsi:type="dcterms:W3CDTF">2022-08-15T09:00:00Z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