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Cynthia Ball</w:t>
      </w:r>
    </w:p>
    <w:p>
      <w:r>
        <w:t>Prepared by Daniel Jones, Managing Partner. Copy to the personnel file.</w:t>
      </w:r>
    </w:p>
    <w:p>
      <w:r>
        <w:t>Cynthia Ball joins the consulting practice as an Analyst and reports to Robert Miller, Principal Consultant, who will set her assignments and review her work before it comes to me. Her first weeks will be run mostly from home, which is not how any of us would choose to start somebody, so Robert has been asked to speak with her daily rather than weekly at the outset and to put her on a live file straight away instead of holding her back for a clean moment that is not going to arrive.</w:t>
      </w:r>
    </w:p>
    <w:p>
      <w:r>
        <w:t>We hired her for the part of this job that cannot be taught. In her interviews she talked about site visits the way other candidates talk about models, and what came through was that she is genuinely interested in how work gets done, that she asks about it in a way that makes people want to answer, and that she comes back with the detail nobody thought to put in the data room. She is also fast at turning a page of untidy interview notes into an exhibit a client executive can read without help. That is worth more here than it would be at a larger firm, because at this firm the analyst who took the notes builds the exhibit and is often in the room when it is presented.</w:t>
      </w:r>
    </w:p>
    <w:p>
      <w:r>
        <w:t>The practical things are few and there is no handbook to hide behind. Her laptop, firm email and access to the shared drive are set up and waiting. Time goes against an engagement code in the week it is worked rather than being reconstructed at month end, and expenses go in with the receipt attached. Our document conventions matter more than they sound: files are named to a standard, drafts live on the shared drive and not on anyone's desktop, and nothing goes to a client from an analyst's mailbox. Before her first client meeting she should read the engagement file end to end, including the parts that did not go the way we intended.</w:t>
      </w:r>
    </w:p>
    <w:p>
      <w:r>
        <w:t>The expectations are the same ones everyone here gets. Write the recommendation first and put the reasoning underneath it, because a draft that arrives with the answer on page four comes back with page four circled and very little else on it. And when she thinks a partner has it wrong, she should say so in the room and not in the corridor afterwards. She was more direct in her interviews than an analyst is generally expected to be, and I want it written down somewhere she may reread in a year that the directness is the reason she is here rather than something to grow out of.</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Cynthia Ball</dc:title>
  <dc:subject/>
  <dc:creator>Daniel Jones</dc:creator>
  <cp:keywords/>
  <dc:description>generated by python-docx</dc:description>
  <cp:lastModifiedBy>Daniel Jones</cp:lastModifiedBy>
  <cp:revision>1</cp:revision>
  <dcterms:created xsi:type="dcterms:W3CDTF">2020-11-08T09:00:00Z</dcterms:created>
  <dcterms:modified xsi:type="dcterms:W3CDTF">2020-11-08T09:00:00Z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