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Record: Susan Thomas</w:t>
      </w:r>
    </w:p>
    <w:p>
      <w:r>
        <w:t>For the personnel file. Prepared by Daniel Jones, Managing Partner.</w:t>
      </w:r>
    </w:p>
    <w:p>
      <w:r>
        <w:t>Susan Thomas joins the consulting practice this week as an Analyst, reporting to Robert Miller, Principal Consultant, who will assign her work and review it. She goes onto a live engagement in her second week. We do not have the kind of bench that lets a new analyst read binders for a month, and in my experience the ones who are any good would rather not. Robert will set her review schedule and keep it. I will see her written work the way I see everybody's here, which is to say all of it, before any of it leaves the office.</w:t>
      </w:r>
    </w:p>
    <w:p>
      <w:r>
        <w:t>What she does that we needed: she will not pull a figure until somebody has told her what question it answers, and she keeps asking until the question is a real one. In her second interview she asked what decision a particular exhibit was meant to change, and nobody in the room had an answer worth the paper. That is most of the reason she is here. Her instinct for which number will actually move a client's decision, and which one is decoration, is better than her years should allow, and over a year it will save us weeks of work that no client ever wanted to buy.</w:t>
      </w:r>
    </w:p>
    <w:p>
      <w:r>
        <w:t>Logistics. Her laptop, firm email and shared drive access are ready as of today. Time is recorded against the engagement code in the week it is worked, and expenses are filed with receipts. We are in the office together on the days an engagement needs us there and not otherwise, and it is the calendar rather than a policy that decides which days those are. Our file naming standard is not a suggestion. The closed engagement files are the model for it, and she should read two of them before she sits in front of a client, for the shape of the reports rather than the content.</w:t>
      </w:r>
    </w:p>
    <w:p>
      <w:r>
        <w:t>On writing, which is most of this job in the end: the recommendation goes first, the reasoning goes underneath it, and a caveat is stated once and then left alone. Her sample writing already does all three, which is rarer in this market than it ought to be. The part she will like least is the reformatting, and there is more of it at a firm this size than at one with a production department, because a client executive judges a page by whether the columns line up before reading a word on it. She should do that work without complaint for now, and in a year she can hand it to somebody newer.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Susan Thomas</dc:title>
  <dc:subject/>
  <dc:creator>Daniel Jones</dc:creator>
  <cp:keywords/>
  <dc:description>generated by python-docx</dc:description>
  <cp:lastModifiedBy>Daniel Jones</cp:lastModifiedBy>
  <cp:revision>1</cp:revision>
  <dcterms:created xsi:type="dcterms:W3CDTF">2021-05-14T09:00:00Z</dcterms:created>
  <dcterms:modified xsi:type="dcterms:W3CDTF">2021-05-14T09:00:00Z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