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Facility Condition Assessment</w:t>
      </w:r>
    </w:p>
    <w:p>
      <w:r>
        <w:t>Status: on track. Field work at the Franklin PLC plant is complete, the deficiency register is closed at 112 findings, and the draft report is in internal review. Prepared by Jeff Fowler for the client's leadership.</w:t>
      </w:r>
    </w:p>
    <w:p>
      <w:pPr>
        <w:pStyle w:val="Heading2"/>
      </w:pPr>
      <w:r>
        <w:t>Completed this period</w:t>
      </w:r>
    </w:p>
    <w:p>
      <w:pPr>
        <w:pStyle w:val="ListBullet"/>
      </w:pPr>
      <w:r>
        <w:t>Closed the field register: envelope, structure, mechanical, electrical, and plumbing systems all walked and documented.</w:t>
      </w:r>
    </w:p>
    <w:p>
      <w:pPr>
        <w:pStyle w:val="ListBullet"/>
      </w:pPr>
      <w:r>
        <w:t>Finished the mechanical remaining-useful-life analysis, including the chiller findings reviewed at the progress meeting.</w:t>
      </w:r>
    </w:p>
    <w:p>
      <w:pPr>
        <w:pStyle w:val="ListBullet"/>
      </w:pPr>
      <w:r>
        <w:t>Delivered the production-affecting findings list to operations, per the register split agreed with the client.</w:t>
      </w:r>
    </w:p>
    <w:p>
      <w:pPr>
        <w:pStyle w:val="Heading2"/>
      </w:pPr>
      <w:r>
        <w:t>Upcoming</w:t>
      </w:r>
    </w:p>
    <w:p>
      <w:pPr>
        <w:pStyle w:val="ListBullet"/>
      </w:pPr>
      <w:r>
        <w:t>Draft report to John Johnson for register reconciliation, then to the client for factual review.</w:t>
      </w:r>
    </w:p>
    <w:p>
      <w:pPr>
        <w:pStyle w:val="ListBullet"/>
      </w:pPr>
      <w:r>
        <w:t>Final presentation with the prioritized capital plan and planning-level pricing.</w:t>
      </w:r>
    </w:p>
    <w:p>
      <w:pPr>
        <w:pStyle w:val="Heading2"/>
      </w:pPr>
      <w:r>
        <w:t>Budget</w:t>
      </w:r>
    </w:p>
    <w:p>
      <w:r>
        <w:t>The engagement remains within the agreed fixed fee of $44,500; two of three installments invoiced to date. No scope changes this period.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Torchlake Engineering Group LLC</w:t>
    </w:r>
  </w:p>
  <w:p>
    <w:r>
      <w:rPr>
        <w:sz w:val="18"/>
      </w:rPr>
      <w:t>www.torchlakeeng.com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Torchlake Engineering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Facility Condition Assessment for Franklin PLC</dc:title>
  <dc:subject/>
  <dc:creator>Jeff Fowler</dc:creator>
  <cp:keywords/>
  <dc:description>generated by python-docx</dc:description>
  <cp:lastModifiedBy>Jeff Fowler</cp:lastModifiedBy>
  <cp:revision>1</cp:revision>
  <dcterms:created xsi:type="dcterms:W3CDTF">2020-02-21T09:00:00Z</dcterms:created>
  <dcterms:modified xsi:type="dcterms:W3CDTF">2020-02-21T09:00:00Z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