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Italy Municipality Heat Map</w:t>
      </w:r>
    </w:p>
    <w:p>
      <w:pPr>
        <w:jc w:val="center"/>
      </w:pPr>
      <w:r>
        <w:t>Complete Implementation Package</w:t>
      </w:r>
    </w:p>
    <w:p>
      <w:pPr>
        <w:jc w:val="center"/>
      </w:pPr>
      <w:r>
        <w:t>Forecasting property appreciation, rental ROI, and euro/sq. m. valuations by Italian municipality</w:t>
      </w:r>
    </w:p>
    <w:p/>
    <w:tbl>
      <w:tblPr>
        <w:tblW w:type="auto" w:w="0"/>
        <w:jc w:val="center"/>
        <w:tblLayout w:type="fixed"/>
        <w:tblLook w:firstColumn="1" w:firstRow="1" w:lastColumn="0" w:lastRow="0" w:noHBand="0" w:noVBand="1" w:val="04A0"/>
      </w:tblPr>
      <w:tblGrid>
        <w:gridCol w:w="2880"/>
        <w:gridCol w:w="6912"/>
      </w:tblGrid>
      <w:tr>
        <w:tc>
          <w:tcPr>
            <w:tcW w:type="dxa" w:w="4986"/>
            <w:shd w:fill="F6E8E2"/>
            <w:vAlign w:val="center"/>
          </w:tcPr>
          <w:p>
            <w:pPr>
              <w:spacing w:after="40" w:line="264" w:lineRule="auto"/>
            </w:pPr>
            <w:r/>
            <w:r>
              <w:rPr>
                <w:rFonts w:ascii="Aptos" w:hAnsi="Aptos" w:eastAsia="Aptos"/>
                <w:b/>
                <w:color w:val="5C4033"/>
                <w:sz w:val="20"/>
              </w:rPr>
              <w:t>Prepared for</w:t>
            </w:r>
          </w:p>
        </w:tc>
        <w:tc>
          <w:tcPr>
            <w:tcW w:type="dxa" w:w="4986"/>
            <w:shd w:fill="F6E8E2"/>
            <w:vAlign w:val="center"/>
          </w:tcPr>
          <w:p>
            <w:pPr>
              <w:spacing w:after="40" w:line="264" w:lineRule="auto"/>
            </w:pPr>
            <w:r/>
            <w:r>
              <w:rPr>
                <w:rFonts w:ascii="Aptos" w:hAnsi="Aptos" w:eastAsia="Aptos"/>
                <w:b w:val="0"/>
                <w:sz w:val="20"/>
              </w:rPr>
              <w:t>Pete - Italian property analytics app planning</w:t>
            </w:r>
          </w:p>
        </w:tc>
      </w:tr>
      <w:tr>
        <w:tc>
          <w:tcPr>
            <w:tcW w:type="dxa" w:w="4986"/>
            <w:vAlign w:val="center"/>
          </w:tcPr>
          <w:p>
            <w:pPr>
              <w:spacing w:after="40" w:line="264" w:lineRule="auto"/>
            </w:pPr>
            <w:r/>
            <w:r>
              <w:rPr>
                <w:rFonts w:ascii="Aptos" w:hAnsi="Aptos" w:eastAsia="Aptos"/>
                <w:b/>
                <w:color w:val="5C4033"/>
                <w:sz w:val="20"/>
              </w:rPr>
              <w:t>Design basis</w:t>
            </w:r>
          </w:p>
        </w:tc>
        <w:tc>
          <w:tcPr>
            <w:tcW w:type="dxa" w:w="4986"/>
            <w:vAlign w:val="center"/>
          </w:tcPr>
          <w:p>
            <w:pPr>
              <w:spacing w:after="40" w:line="264" w:lineRule="auto"/>
            </w:pPr>
            <w:r/>
            <w:r>
              <w:rPr>
                <w:rFonts w:ascii="Aptos" w:hAnsi="Aptos" w:eastAsia="Aptos"/>
                <w:b w:val="0"/>
                <w:sz w:val="20"/>
              </w:rPr>
              <w:t>Reuses the attached Italian Properties architecture where it fits: Next.js App Router, TypeScript, Supabase PostgreSQL, Leaflet, Vercel, Vercel Blob, and TypeScript-based ingestion patterns.</w:t>
            </w:r>
          </w:p>
        </w:tc>
      </w:tr>
    </w:tbl>
    <w:p/>
    <w:p>
      <w:pPr>
        <w:jc w:val="center"/>
      </w:pPr>
      <w:r>
        <w:t>This document serves as the consolidated implementation package for the MVP. It combines the product definition, functional requirements, technical architecture, data-source plan, schema design, API plan, front-end structure, model and back-testing framework, delivery roadmap, and implementation handoff materials needed for a developer to begin work.</w:t>
      </w:r>
    </w:p>
    <w:p>
      <w:r>
        <w:br w:type="page"/>
      </w:r>
    </w:p>
    <w:p>
      <w:pPr>
        <w:pStyle w:val="Heading1"/>
        <w:spacing w:after="80" w:line="276" w:lineRule="auto"/>
      </w:pPr>
      <w:r>
        <w:t>1. Executive Summary</w:t>
      </w:r>
    </w:p>
    <w:p>
      <w:pPr>
        <w:spacing w:after="100" w:line="276" w:lineRule="auto"/>
      </w:pPr>
      <w:r>
        <w:t>This application should be built as an analytics-first map product rather than a listing portal. The core outputs are: current residential valuation in euro per square meter, 12-month appreciation forecast, 12-month rental ROI forecast, and a confidence or data-quality score for each municipality.</w:t>
      </w:r>
    </w:p>
    <w:p>
      <w:pPr>
        <w:spacing w:after="100" w:line="276" w:lineRule="auto"/>
      </w:pPr>
      <w:r>
        <w:t>The best implementation path is to reuse the current Italian Properties app platform where possible and extend it for time-series, spatial analytics, and forecasting. That means keeping Next.js, TypeScript, Supabase, Leaflet, Vercel, and the existing ingestion style, while adding PostGIS, a structured feature store, and Python batch jobs for model training and scoring.</w:t>
      </w:r>
    </w:p>
    <w:p>
      <w:pPr>
        <w:spacing w:after="100" w:line="276" w:lineRule="auto"/>
      </w:pPr>
      <w:r>
        <w:t>For the MVP, use municipality as the public map unit and keep the schema ready for OMI-zone drilldown later.</w:t>
      </w:r>
    </w:p>
    <w:p>
      <w:pPr>
        <w:pStyle w:val="Heading1"/>
        <w:spacing w:after="80" w:line="276" w:lineRule="auto"/>
      </w:pPr>
      <w:r>
        <w:t>2. Recommended Technology Stack</w:t>
      </w:r>
    </w:p>
    <w:tbl>
      <w:tblPr>
        <w:tblW w:type="auto" w:w="0"/>
        <w:jc w:val="center"/>
        <w:tblLayout w:type="fixed"/>
        <w:tblLook w:firstColumn="1" w:firstRow="1" w:lastColumn="0" w:lastRow="0" w:noHBand="0" w:noVBand="1" w:val="04A0"/>
      </w:tblPr>
      <w:tblGrid>
        <w:gridCol w:w="2016"/>
        <w:gridCol w:w="2880"/>
        <w:gridCol w:w="2016"/>
        <w:gridCol w:w="3456"/>
      </w:tblGrid>
      <w:tr>
        <w:trPr>
          <w:tblHeader w:val="true"/>
        </w:trPr>
        <w:tc>
          <w:tcPr>
            <w:tcW w:type="dxa" w:w="2493"/>
            <w:vAlign w:val="center"/>
            <w:shd w:fill="A14E2A"/>
          </w:tcPr>
          <w:p>
            <w:pPr>
              <w:spacing w:after="40" w:line="264" w:lineRule="auto"/>
            </w:pPr>
            <w:r/>
            <w:r>
              <w:rPr>
                <w:rFonts w:ascii="Aptos" w:hAnsi="Aptos" w:eastAsia="Aptos"/>
                <w:b/>
                <w:color w:val="FFFFFF"/>
                <w:sz w:val="20"/>
              </w:rPr>
              <w:t>Layer</w:t>
            </w:r>
          </w:p>
        </w:tc>
        <w:tc>
          <w:tcPr>
            <w:tcW w:type="dxa" w:w="2493"/>
            <w:vAlign w:val="center"/>
            <w:shd w:fill="A14E2A"/>
          </w:tcPr>
          <w:p>
            <w:pPr>
              <w:spacing w:after="40" w:line="264" w:lineRule="auto"/>
            </w:pPr>
            <w:r/>
            <w:r>
              <w:rPr>
                <w:rFonts w:ascii="Aptos" w:hAnsi="Aptos" w:eastAsia="Aptos"/>
                <w:b/>
                <w:color w:val="FFFFFF"/>
                <w:sz w:val="20"/>
              </w:rPr>
              <w:t>Recommended</w:t>
            </w:r>
          </w:p>
        </w:tc>
        <w:tc>
          <w:tcPr>
            <w:tcW w:type="dxa" w:w="2493"/>
            <w:vAlign w:val="center"/>
            <w:shd w:fill="A14E2A"/>
          </w:tcPr>
          <w:p>
            <w:pPr>
              <w:spacing w:after="40" w:line="264" w:lineRule="auto"/>
            </w:pPr>
            <w:r/>
            <w:r>
              <w:rPr>
                <w:rFonts w:ascii="Aptos" w:hAnsi="Aptos" w:eastAsia="Aptos"/>
                <w:b/>
                <w:color w:val="FFFFFF"/>
                <w:sz w:val="20"/>
              </w:rPr>
              <w:t>Reuse</w:t>
            </w:r>
          </w:p>
        </w:tc>
        <w:tc>
          <w:tcPr>
            <w:tcW w:type="dxa" w:w="2493"/>
            <w:vAlign w:val="center"/>
            <w:shd w:fill="A14E2A"/>
          </w:tcPr>
          <w:p>
            <w:pPr>
              <w:spacing w:after="40" w:line="264" w:lineRule="auto"/>
            </w:pPr>
            <w:r/>
            <w:r>
              <w:rPr>
                <w:rFonts w:ascii="Aptos" w:hAnsi="Aptos" w:eastAsia="Aptos"/>
                <w:b/>
                <w:color w:val="FFFFFF"/>
                <w:sz w:val="20"/>
              </w:rPr>
              <w:t>Notes</w:t>
            </w:r>
          </w:p>
        </w:tc>
      </w:tr>
      <w:tr>
        <w:tc>
          <w:tcPr>
            <w:tcW w:type="dxa" w:w="2016"/>
            <w:vAlign w:val="center"/>
            <w:shd w:fill="FBF9F8"/>
          </w:tcPr>
          <w:p>
            <w:pPr>
              <w:spacing w:after="40" w:line="264" w:lineRule="auto"/>
            </w:pPr>
            <w:r/>
            <w:r>
              <w:rPr>
                <w:rFonts w:ascii="Aptos" w:hAnsi="Aptos" w:eastAsia="Aptos"/>
                <w:b w:val="0"/>
                <w:sz w:val="18"/>
              </w:rPr>
              <w:t>Front end</w:t>
            </w:r>
          </w:p>
        </w:tc>
        <w:tc>
          <w:tcPr>
            <w:tcW w:type="dxa" w:w="2880"/>
            <w:vAlign w:val="center"/>
            <w:shd w:fill="FBF9F8"/>
          </w:tcPr>
          <w:p>
            <w:pPr>
              <w:spacing w:after="40" w:line="264" w:lineRule="auto"/>
            </w:pPr>
            <w:r/>
            <w:r>
              <w:rPr>
                <w:rFonts w:ascii="Aptos" w:hAnsi="Aptos" w:eastAsia="Aptos"/>
                <w:b w:val="0"/>
                <w:sz w:val="18"/>
              </w:rPr>
              <w:t>Next.js App Router + React + TypeScript</w:t>
            </w:r>
          </w:p>
        </w:tc>
        <w:tc>
          <w:tcPr>
            <w:tcW w:type="dxa" w:w="2016"/>
            <w:vAlign w:val="center"/>
            <w:shd w:fill="FBF9F8"/>
          </w:tcPr>
          <w:p>
            <w:pPr>
              <w:spacing w:after="40" w:line="264" w:lineRule="auto"/>
            </w:pPr>
            <w:r/>
            <w:r>
              <w:rPr>
                <w:rFonts w:ascii="Aptos" w:hAnsi="Aptos" w:eastAsia="Aptos"/>
                <w:b w:val="0"/>
                <w:sz w:val="18"/>
              </w:rPr>
              <w:t>Yes</w:t>
            </w:r>
          </w:p>
        </w:tc>
        <w:tc>
          <w:tcPr>
            <w:tcW w:type="dxa" w:w="3456"/>
            <w:vAlign w:val="center"/>
            <w:shd w:fill="FBF9F8"/>
          </w:tcPr>
          <w:p>
            <w:pPr>
              <w:spacing w:after="40" w:line="264" w:lineRule="auto"/>
            </w:pPr>
            <w:r/>
            <w:r>
              <w:rPr>
                <w:rFonts w:ascii="Aptos" w:hAnsi="Aptos" w:eastAsia="Aptos"/>
                <w:b w:val="0"/>
                <w:sz w:val="18"/>
              </w:rPr>
              <w:t>Strong fit for analytics UI, filters, map pages, rankings, and detail views.</w:t>
            </w:r>
          </w:p>
        </w:tc>
      </w:tr>
      <w:tr>
        <w:tc>
          <w:tcPr>
            <w:tcW w:type="dxa" w:w="2016"/>
            <w:vAlign w:val="center"/>
          </w:tcPr>
          <w:p>
            <w:pPr>
              <w:spacing w:after="40" w:line="264" w:lineRule="auto"/>
            </w:pPr>
            <w:r/>
            <w:r>
              <w:rPr>
                <w:rFonts w:ascii="Aptos" w:hAnsi="Aptos" w:eastAsia="Aptos"/>
                <w:b w:val="0"/>
                <w:sz w:val="18"/>
              </w:rPr>
              <w:t>Map</w:t>
            </w:r>
          </w:p>
        </w:tc>
        <w:tc>
          <w:tcPr>
            <w:tcW w:type="dxa" w:w="2880"/>
            <w:vAlign w:val="center"/>
          </w:tcPr>
          <w:p>
            <w:pPr>
              <w:spacing w:after="40" w:line="264" w:lineRule="auto"/>
            </w:pPr>
            <w:r/>
            <w:r>
              <w:rPr>
                <w:rFonts w:ascii="Aptos" w:hAnsi="Aptos" w:eastAsia="Aptos"/>
                <w:b w:val="0"/>
                <w:sz w:val="18"/>
              </w:rPr>
              <w:t>Leaflet</w:t>
            </w:r>
          </w:p>
        </w:tc>
        <w:tc>
          <w:tcPr>
            <w:tcW w:type="dxa" w:w="2016"/>
            <w:vAlign w:val="center"/>
          </w:tcPr>
          <w:p>
            <w:pPr>
              <w:spacing w:after="40" w:line="264" w:lineRule="auto"/>
            </w:pPr>
            <w:r/>
            <w:r>
              <w:rPr>
                <w:rFonts w:ascii="Aptos" w:hAnsi="Aptos" w:eastAsia="Aptos"/>
                <w:b w:val="0"/>
                <w:sz w:val="18"/>
              </w:rPr>
              <w:t>Yes</w:t>
            </w:r>
          </w:p>
        </w:tc>
        <w:tc>
          <w:tcPr>
            <w:tcW w:type="dxa" w:w="3456"/>
            <w:vAlign w:val="center"/>
          </w:tcPr>
          <w:p>
            <w:pPr>
              <w:spacing w:after="40" w:line="264" w:lineRule="auto"/>
            </w:pPr>
            <w:r/>
            <w:r>
              <w:rPr>
                <w:rFonts w:ascii="Aptos" w:hAnsi="Aptos" w:eastAsia="Aptos"/>
                <w:b w:val="0"/>
                <w:sz w:val="18"/>
              </w:rPr>
              <w:t>Good for MVP choropleths and municipality drilldowns.</w:t>
            </w:r>
          </w:p>
        </w:tc>
      </w:tr>
      <w:tr>
        <w:tc>
          <w:tcPr>
            <w:tcW w:type="dxa" w:w="2016"/>
            <w:vAlign w:val="center"/>
            <w:shd w:fill="FBF9F8"/>
          </w:tcPr>
          <w:p>
            <w:pPr>
              <w:spacing w:after="40" w:line="264" w:lineRule="auto"/>
            </w:pPr>
            <w:r/>
            <w:r>
              <w:rPr>
                <w:rFonts w:ascii="Aptos" w:hAnsi="Aptos" w:eastAsia="Aptos"/>
                <w:b w:val="0"/>
                <w:sz w:val="18"/>
              </w:rPr>
              <w:t>Database</w:t>
            </w:r>
          </w:p>
        </w:tc>
        <w:tc>
          <w:tcPr>
            <w:tcW w:type="dxa" w:w="2880"/>
            <w:vAlign w:val="center"/>
            <w:shd w:fill="FBF9F8"/>
          </w:tcPr>
          <w:p>
            <w:pPr>
              <w:spacing w:after="40" w:line="264" w:lineRule="auto"/>
            </w:pPr>
            <w:r/>
            <w:r>
              <w:rPr>
                <w:rFonts w:ascii="Aptos" w:hAnsi="Aptos" w:eastAsia="Aptos"/>
                <w:b w:val="0"/>
                <w:sz w:val="18"/>
              </w:rPr>
              <w:t>Supabase PostgreSQL + PostGIS</w:t>
            </w:r>
          </w:p>
        </w:tc>
        <w:tc>
          <w:tcPr>
            <w:tcW w:type="dxa" w:w="2016"/>
            <w:vAlign w:val="center"/>
            <w:shd w:fill="FBF9F8"/>
          </w:tcPr>
          <w:p>
            <w:pPr>
              <w:spacing w:after="40" w:line="264" w:lineRule="auto"/>
            </w:pPr>
            <w:r/>
            <w:r>
              <w:rPr>
                <w:rFonts w:ascii="Aptos" w:hAnsi="Aptos" w:eastAsia="Aptos"/>
                <w:b w:val="0"/>
                <w:sz w:val="18"/>
              </w:rPr>
              <w:t>Extend</w:t>
            </w:r>
          </w:p>
        </w:tc>
        <w:tc>
          <w:tcPr>
            <w:tcW w:type="dxa" w:w="3456"/>
            <w:vAlign w:val="center"/>
            <w:shd w:fill="FBF9F8"/>
          </w:tcPr>
          <w:p>
            <w:pPr>
              <w:spacing w:after="40" w:line="264" w:lineRule="auto"/>
            </w:pPr>
            <w:r/>
            <w:r>
              <w:rPr>
                <w:rFonts w:ascii="Aptos" w:hAnsi="Aptos" w:eastAsia="Aptos"/>
                <w:b w:val="0"/>
                <w:sz w:val="18"/>
              </w:rPr>
              <w:t>Keep Supabase; add spatial support and analytics schemas.</w:t>
            </w:r>
          </w:p>
        </w:tc>
      </w:tr>
      <w:tr>
        <w:tc>
          <w:tcPr>
            <w:tcW w:type="dxa" w:w="2016"/>
            <w:vAlign w:val="center"/>
          </w:tcPr>
          <w:p>
            <w:pPr>
              <w:spacing w:after="40" w:line="264" w:lineRule="auto"/>
            </w:pPr>
            <w:r/>
            <w:r>
              <w:rPr>
                <w:rFonts w:ascii="Aptos" w:hAnsi="Aptos" w:eastAsia="Aptos"/>
                <w:b w:val="0"/>
                <w:sz w:val="18"/>
              </w:rPr>
              <w:t>API</w:t>
            </w:r>
          </w:p>
        </w:tc>
        <w:tc>
          <w:tcPr>
            <w:tcW w:type="dxa" w:w="2880"/>
            <w:vAlign w:val="center"/>
          </w:tcPr>
          <w:p>
            <w:pPr>
              <w:spacing w:after="40" w:line="264" w:lineRule="auto"/>
            </w:pPr>
            <w:r/>
            <w:r>
              <w:rPr>
                <w:rFonts w:ascii="Aptos" w:hAnsi="Aptos" w:eastAsia="Aptos"/>
                <w:b w:val="0"/>
                <w:sz w:val="18"/>
              </w:rPr>
              <w:t>Next.js Route Handlers</w:t>
            </w:r>
          </w:p>
        </w:tc>
        <w:tc>
          <w:tcPr>
            <w:tcW w:type="dxa" w:w="2016"/>
            <w:vAlign w:val="center"/>
          </w:tcPr>
          <w:p>
            <w:pPr>
              <w:spacing w:after="40" w:line="264" w:lineRule="auto"/>
            </w:pPr>
            <w:r/>
            <w:r>
              <w:rPr>
                <w:rFonts w:ascii="Aptos" w:hAnsi="Aptos" w:eastAsia="Aptos"/>
                <w:b w:val="0"/>
                <w:sz w:val="18"/>
              </w:rPr>
              <w:t>Yes</w:t>
            </w:r>
          </w:p>
        </w:tc>
        <w:tc>
          <w:tcPr>
            <w:tcW w:type="dxa" w:w="3456"/>
            <w:vAlign w:val="center"/>
          </w:tcPr>
          <w:p>
            <w:pPr>
              <w:spacing w:after="40" w:line="264" w:lineRule="auto"/>
            </w:pPr>
            <w:r/>
            <w:r>
              <w:rPr>
                <w:rFonts w:ascii="Aptos" w:hAnsi="Aptos" w:eastAsia="Aptos"/>
                <w:b w:val="0"/>
                <w:sz w:val="18"/>
              </w:rPr>
              <w:t>Matches current application pattern.</w:t>
            </w:r>
          </w:p>
        </w:tc>
      </w:tr>
      <w:tr>
        <w:tc>
          <w:tcPr>
            <w:tcW w:type="dxa" w:w="2016"/>
            <w:vAlign w:val="center"/>
            <w:shd w:fill="FBF9F8"/>
          </w:tcPr>
          <w:p>
            <w:pPr>
              <w:spacing w:after="40" w:line="264" w:lineRule="auto"/>
            </w:pPr>
            <w:r/>
            <w:r>
              <w:rPr>
                <w:rFonts w:ascii="Aptos" w:hAnsi="Aptos" w:eastAsia="Aptos"/>
                <w:b w:val="0"/>
                <w:sz w:val="18"/>
              </w:rPr>
              <w:t>Object storage</w:t>
            </w:r>
          </w:p>
        </w:tc>
        <w:tc>
          <w:tcPr>
            <w:tcW w:type="dxa" w:w="2880"/>
            <w:vAlign w:val="center"/>
            <w:shd w:fill="FBF9F8"/>
          </w:tcPr>
          <w:p>
            <w:pPr>
              <w:spacing w:after="40" w:line="264" w:lineRule="auto"/>
            </w:pPr>
            <w:r/>
            <w:r>
              <w:rPr>
                <w:rFonts w:ascii="Aptos" w:hAnsi="Aptos" w:eastAsia="Aptos"/>
                <w:b w:val="0"/>
                <w:sz w:val="18"/>
              </w:rPr>
              <w:t>Vercel Blob</w:t>
            </w:r>
          </w:p>
        </w:tc>
        <w:tc>
          <w:tcPr>
            <w:tcW w:type="dxa" w:w="2016"/>
            <w:vAlign w:val="center"/>
            <w:shd w:fill="FBF9F8"/>
          </w:tcPr>
          <w:p>
            <w:pPr>
              <w:spacing w:after="40" w:line="264" w:lineRule="auto"/>
            </w:pPr>
            <w:r/>
            <w:r>
              <w:rPr>
                <w:rFonts w:ascii="Aptos" w:hAnsi="Aptos" w:eastAsia="Aptos"/>
                <w:b w:val="0"/>
                <w:sz w:val="18"/>
              </w:rPr>
              <w:t>Yes</w:t>
            </w:r>
          </w:p>
        </w:tc>
        <w:tc>
          <w:tcPr>
            <w:tcW w:type="dxa" w:w="3456"/>
            <w:vAlign w:val="center"/>
            <w:shd w:fill="FBF9F8"/>
          </w:tcPr>
          <w:p>
            <w:pPr>
              <w:spacing w:after="40" w:line="264" w:lineRule="auto"/>
            </w:pPr>
            <w:r/>
            <w:r>
              <w:rPr>
                <w:rFonts w:ascii="Aptos" w:hAnsi="Aptos" w:eastAsia="Aptos"/>
                <w:b w:val="0"/>
                <w:sz w:val="18"/>
              </w:rPr>
              <w:t>Use for exports, cached GeoJSON, and artifacts.</w:t>
            </w:r>
          </w:p>
        </w:tc>
      </w:tr>
      <w:tr>
        <w:tc>
          <w:tcPr>
            <w:tcW w:type="dxa" w:w="2016"/>
            <w:vAlign w:val="center"/>
          </w:tcPr>
          <w:p>
            <w:pPr>
              <w:spacing w:after="40" w:line="264" w:lineRule="auto"/>
            </w:pPr>
            <w:r/>
            <w:r>
              <w:rPr>
                <w:rFonts w:ascii="Aptos" w:hAnsi="Aptos" w:eastAsia="Aptos"/>
                <w:b w:val="0"/>
                <w:sz w:val="18"/>
              </w:rPr>
              <w:t>Ingestion</w:t>
            </w:r>
          </w:p>
        </w:tc>
        <w:tc>
          <w:tcPr>
            <w:tcW w:type="dxa" w:w="2880"/>
            <w:vAlign w:val="center"/>
          </w:tcPr>
          <w:p>
            <w:pPr>
              <w:spacing w:after="40" w:line="264" w:lineRule="auto"/>
            </w:pPr>
            <w:r/>
            <w:r>
              <w:rPr>
                <w:rFonts w:ascii="Aptos" w:hAnsi="Aptos" w:eastAsia="Aptos"/>
                <w:b w:val="0"/>
                <w:sz w:val="18"/>
              </w:rPr>
              <w:t>TypeScript ETL scripts</w:t>
            </w:r>
          </w:p>
        </w:tc>
        <w:tc>
          <w:tcPr>
            <w:tcW w:type="dxa" w:w="2016"/>
            <w:vAlign w:val="center"/>
          </w:tcPr>
          <w:p>
            <w:pPr>
              <w:spacing w:after="40" w:line="264" w:lineRule="auto"/>
            </w:pPr>
            <w:r/>
            <w:r>
              <w:rPr>
                <w:rFonts w:ascii="Aptos" w:hAnsi="Aptos" w:eastAsia="Aptos"/>
                <w:b w:val="0"/>
                <w:sz w:val="18"/>
              </w:rPr>
              <w:t>Extend</w:t>
            </w:r>
          </w:p>
        </w:tc>
        <w:tc>
          <w:tcPr>
            <w:tcW w:type="dxa" w:w="3456"/>
            <w:vAlign w:val="center"/>
          </w:tcPr>
          <w:p>
            <w:pPr>
              <w:spacing w:after="40" w:line="264" w:lineRule="auto"/>
            </w:pPr>
            <w:r/>
            <w:r>
              <w:rPr>
                <w:rFonts w:ascii="Aptos" w:hAnsi="Aptos" w:eastAsia="Aptos"/>
                <w:b w:val="0"/>
                <w:sz w:val="18"/>
              </w:rPr>
              <w:t>Keep current pattern for official datasets and controlled feeds.</w:t>
            </w:r>
          </w:p>
        </w:tc>
      </w:tr>
      <w:tr>
        <w:tc>
          <w:tcPr>
            <w:tcW w:type="dxa" w:w="2016"/>
            <w:vAlign w:val="center"/>
            <w:shd w:fill="FBF9F8"/>
          </w:tcPr>
          <w:p>
            <w:pPr>
              <w:spacing w:after="40" w:line="264" w:lineRule="auto"/>
            </w:pPr>
            <w:r/>
            <w:r>
              <w:rPr>
                <w:rFonts w:ascii="Aptos" w:hAnsi="Aptos" w:eastAsia="Aptos"/>
                <w:b w:val="0"/>
                <w:sz w:val="18"/>
              </w:rPr>
              <w:t>Modeling</w:t>
            </w:r>
          </w:p>
        </w:tc>
        <w:tc>
          <w:tcPr>
            <w:tcW w:type="dxa" w:w="2880"/>
            <w:vAlign w:val="center"/>
            <w:shd w:fill="FBF9F8"/>
          </w:tcPr>
          <w:p>
            <w:pPr>
              <w:spacing w:after="40" w:line="264" w:lineRule="auto"/>
            </w:pPr>
            <w:r/>
            <w:r>
              <w:rPr>
                <w:rFonts w:ascii="Aptos" w:hAnsi="Aptos" w:eastAsia="Aptos"/>
                <w:b w:val="0"/>
                <w:sz w:val="18"/>
              </w:rPr>
              <w:t>Python batch jobs</w:t>
            </w:r>
          </w:p>
        </w:tc>
        <w:tc>
          <w:tcPr>
            <w:tcW w:type="dxa" w:w="2016"/>
            <w:vAlign w:val="center"/>
            <w:shd w:fill="FBF9F8"/>
          </w:tcPr>
          <w:p>
            <w:pPr>
              <w:spacing w:after="40" w:line="264" w:lineRule="auto"/>
            </w:pPr>
            <w:r/>
            <w:r>
              <w:rPr>
                <w:rFonts w:ascii="Aptos" w:hAnsi="Aptos" w:eastAsia="Aptos"/>
                <w:b w:val="0"/>
                <w:sz w:val="18"/>
              </w:rPr>
              <w:t>New</w:t>
            </w:r>
          </w:p>
        </w:tc>
        <w:tc>
          <w:tcPr>
            <w:tcW w:type="dxa" w:w="3456"/>
            <w:vAlign w:val="center"/>
            <w:shd w:fill="FBF9F8"/>
          </w:tcPr>
          <w:p>
            <w:pPr>
              <w:spacing w:after="40" w:line="264" w:lineRule="auto"/>
            </w:pPr>
            <w:r/>
            <w:r>
              <w:rPr>
                <w:rFonts w:ascii="Aptos" w:hAnsi="Aptos" w:eastAsia="Aptos"/>
                <w:b w:val="0"/>
                <w:sz w:val="18"/>
              </w:rPr>
              <w:t>Best fit for feature engineering, forecasting, backtesting, and intervals.</w:t>
            </w:r>
          </w:p>
        </w:tc>
      </w:tr>
      <w:tr>
        <w:tc>
          <w:tcPr>
            <w:tcW w:type="dxa" w:w="2016"/>
            <w:vAlign w:val="center"/>
          </w:tcPr>
          <w:p>
            <w:pPr>
              <w:spacing w:after="40" w:line="264" w:lineRule="auto"/>
            </w:pPr>
            <w:r/>
            <w:r>
              <w:rPr>
                <w:rFonts w:ascii="Aptos" w:hAnsi="Aptos" w:eastAsia="Aptos"/>
                <w:b w:val="0"/>
                <w:sz w:val="18"/>
              </w:rPr>
              <w:t>Deployment</w:t>
            </w:r>
          </w:p>
        </w:tc>
        <w:tc>
          <w:tcPr>
            <w:tcW w:type="dxa" w:w="2880"/>
            <w:vAlign w:val="center"/>
          </w:tcPr>
          <w:p>
            <w:pPr>
              <w:spacing w:after="40" w:line="264" w:lineRule="auto"/>
            </w:pPr>
            <w:r/>
            <w:r>
              <w:rPr>
                <w:rFonts w:ascii="Aptos" w:hAnsi="Aptos" w:eastAsia="Aptos"/>
                <w:b w:val="0"/>
                <w:sz w:val="18"/>
              </w:rPr>
              <w:t>Vercel + Supabase + worker service</w:t>
            </w:r>
          </w:p>
        </w:tc>
        <w:tc>
          <w:tcPr>
            <w:tcW w:type="dxa" w:w="2016"/>
            <w:vAlign w:val="center"/>
          </w:tcPr>
          <w:p>
            <w:pPr>
              <w:spacing w:after="40" w:line="264" w:lineRule="auto"/>
            </w:pPr>
            <w:r/>
            <w:r>
              <w:rPr>
                <w:rFonts w:ascii="Aptos" w:hAnsi="Aptos" w:eastAsia="Aptos"/>
                <w:b w:val="0"/>
                <w:sz w:val="18"/>
              </w:rPr>
              <w:t>Extend</w:t>
            </w:r>
          </w:p>
        </w:tc>
        <w:tc>
          <w:tcPr>
            <w:tcW w:type="dxa" w:w="3456"/>
            <w:vAlign w:val="center"/>
          </w:tcPr>
          <w:p>
            <w:pPr>
              <w:spacing w:after="40" w:line="264" w:lineRule="auto"/>
            </w:pPr>
            <w:r/>
            <w:r>
              <w:rPr>
                <w:rFonts w:ascii="Aptos" w:hAnsi="Aptos" w:eastAsia="Aptos"/>
                <w:b w:val="0"/>
                <w:sz w:val="18"/>
              </w:rPr>
              <w:t>Add scheduled workers for ingestion and model runs.</w:t>
            </w:r>
          </w:p>
        </w:tc>
      </w:tr>
    </w:tbl>
    <w:p>
      <w:pPr>
        <w:pStyle w:val="Heading1"/>
        <w:spacing w:after="80" w:line="276" w:lineRule="auto"/>
      </w:pPr>
      <w:r>
        <w:t>3. Reuse vs. New Build Decisions</w:t>
      </w:r>
    </w:p>
    <w:p>
      <w:pPr>
        <w:pStyle w:val="Heading2"/>
        <w:spacing w:after="40" w:line="276" w:lineRule="auto"/>
      </w:pPr>
      <w:r>
        <w:t>Reuse directly</w:t>
      </w:r>
    </w:p>
    <w:p>
      <w:pPr>
        <w:spacing w:after="40" w:line="264" w:lineRule="auto"/>
        <w:ind w:left="283" w:hanging="198"/>
      </w:pPr>
      <w:r>
        <w:rPr>
          <w:b/>
        </w:rPr>
        <w:t xml:space="preserve">• </w:t>
      </w:r>
      <w:r>
        <w:t>Next.js app framework and routing patterns.</w:t>
      </w:r>
    </w:p>
    <w:p>
      <w:pPr>
        <w:spacing w:after="40" w:line="264" w:lineRule="auto"/>
        <w:ind w:left="283" w:hanging="198"/>
      </w:pPr>
      <w:r>
        <w:rPr>
          <w:b/>
        </w:rPr>
        <w:t xml:space="preserve">• </w:t>
      </w:r>
      <w:r>
        <w:t>TypeScript codebase conventions and existing data access style.</w:t>
      </w:r>
    </w:p>
    <w:p>
      <w:pPr>
        <w:spacing w:after="40" w:line="264" w:lineRule="auto"/>
        <w:ind w:left="283" w:hanging="198"/>
      </w:pPr>
      <w:r>
        <w:rPr>
          <w:b/>
        </w:rPr>
        <w:t xml:space="preserve">• </w:t>
      </w:r>
      <w:r>
        <w:t>Supabase for the primary application database.</w:t>
      </w:r>
    </w:p>
    <w:p>
      <w:pPr>
        <w:spacing w:after="40" w:line="264" w:lineRule="auto"/>
        <w:ind w:left="283" w:hanging="198"/>
      </w:pPr>
      <w:r>
        <w:rPr>
          <w:b/>
        </w:rPr>
        <w:t xml:space="preserve">• </w:t>
      </w:r>
      <w:r>
        <w:t>Leaflet for municipality choropleths in the MVP.</w:t>
      </w:r>
    </w:p>
    <w:p>
      <w:pPr>
        <w:spacing w:after="40" w:line="264" w:lineRule="auto"/>
        <w:ind w:left="283" w:hanging="198"/>
      </w:pPr>
      <w:r>
        <w:rPr>
          <w:b/>
        </w:rPr>
        <w:t xml:space="preserve">• </w:t>
      </w:r>
      <w:r>
        <w:t>Vercel deployment and Vercel Blob for exported artifacts.</w:t>
      </w:r>
    </w:p>
    <w:p>
      <w:pPr>
        <w:pStyle w:val="Heading2"/>
        <w:spacing w:after="40" w:line="276" w:lineRule="auto"/>
      </w:pPr>
      <w:r>
        <w:t>Extend materially</w:t>
      </w:r>
    </w:p>
    <w:p>
      <w:pPr>
        <w:spacing w:after="40" w:line="264" w:lineRule="auto"/>
        <w:ind w:left="283" w:hanging="198"/>
      </w:pPr>
      <w:r>
        <w:rPr>
          <w:b/>
        </w:rPr>
        <w:t xml:space="preserve">• </w:t>
      </w:r>
      <w:r>
        <w:t>Upgrade the current database design from listing-centric records to municipality and time-series analytics tables.</w:t>
      </w:r>
    </w:p>
    <w:p>
      <w:pPr>
        <w:spacing w:after="40" w:line="264" w:lineRule="auto"/>
        <w:ind w:left="283" w:hanging="198"/>
      </w:pPr>
      <w:r>
        <w:rPr>
          <w:b/>
        </w:rPr>
        <w:t xml:space="preserve">• </w:t>
      </w:r>
      <w:r>
        <w:t>Add PostGIS for boundary geometries, neighbor logic, and spatial joins.</w:t>
      </w:r>
    </w:p>
    <w:p>
      <w:pPr>
        <w:spacing w:after="40" w:line="264" w:lineRule="auto"/>
        <w:ind w:left="283" w:hanging="198"/>
      </w:pPr>
      <w:r>
        <w:rPr>
          <w:b/>
        </w:rPr>
        <w:t xml:space="preserve">• </w:t>
      </w:r>
      <w:r>
        <w:t>Broaden ingestion from scraper-only patterns to multi-source ETL for OMI, ISTAT, rental feeds, and regulation datasets.</w:t>
      </w:r>
    </w:p>
    <w:p>
      <w:pPr>
        <w:spacing w:after="40" w:line="264" w:lineRule="auto"/>
        <w:ind w:left="283" w:hanging="198"/>
      </w:pPr>
      <w:r>
        <w:rPr>
          <w:b/>
        </w:rPr>
        <w:t xml:space="preserve">• </w:t>
      </w:r>
      <w:r>
        <w:t>Add feature-store and forecast tables so the application serves scored municipalities rather than raw listings.</w:t>
      </w:r>
    </w:p>
    <w:p>
      <w:pPr>
        <w:pStyle w:val="Heading2"/>
        <w:spacing w:after="40" w:line="276" w:lineRule="auto"/>
      </w:pPr>
      <w:r>
        <w:t>Add new capability</w:t>
      </w:r>
    </w:p>
    <w:p>
      <w:pPr>
        <w:spacing w:after="40" w:line="264" w:lineRule="auto"/>
        <w:ind w:left="283" w:hanging="198"/>
      </w:pPr>
      <w:r>
        <w:rPr>
          <w:b/>
        </w:rPr>
        <w:t xml:space="preserve">• </w:t>
      </w:r>
      <w:r>
        <w:t>Python feature engineering and forecasting jobs.</w:t>
      </w:r>
    </w:p>
    <w:p>
      <w:pPr>
        <w:spacing w:after="40" w:line="264" w:lineRule="auto"/>
        <w:ind w:left="283" w:hanging="198"/>
      </w:pPr>
      <w:r>
        <w:rPr>
          <w:b/>
        </w:rPr>
        <w:t xml:space="preserve">• </w:t>
      </w:r>
      <w:r>
        <w:t>Model run audit tables and publishable forecast snapshots.</w:t>
      </w:r>
    </w:p>
    <w:p>
      <w:pPr>
        <w:spacing w:after="40" w:line="264" w:lineRule="auto"/>
        <w:ind w:left="283" w:hanging="198"/>
      </w:pPr>
      <w:r>
        <w:rPr>
          <w:b/>
        </w:rPr>
        <w:t xml:space="preserve">• </w:t>
      </w:r>
      <w:r>
        <w:t>Confidence scoring, risk flags, and quality controls.</w:t>
      </w:r>
    </w:p>
    <w:p>
      <w:pPr>
        <w:pStyle w:val="Heading1"/>
        <w:spacing w:after="80" w:line="276" w:lineRule="auto"/>
      </w:pPr>
      <w:r>
        <w:t>4. High-Level System Architecture</w:t>
      </w:r>
    </w:p>
    <w:p>
      <w:pPr>
        <w:spacing w:after="40" w:line="264" w:lineRule="auto"/>
        <w:ind w:left="283" w:hanging="198"/>
      </w:pPr>
      <w:r>
        <w:rPr>
          <w:b/>
        </w:rPr>
        <w:t xml:space="preserve">• </w:t>
      </w:r>
      <w:r>
        <w:t>Front end: Next.js pages for map, rankings, municipality detail, compare, methodology, and admin.</w:t>
      </w:r>
    </w:p>
    <w:p>
      <w:pPr>
        <w:spacing w:after="40" w:line="264" w:lineRule="auto"/>
        <w:ind w:left="283" w:hanging="198"/>
      </w:pPr>
      <w:r>
        <w:rPr>
          <w:b/>
        </w:rPr>
        <w:t xml:space="preserve">• </w:t>
      </w:r>
      <w:r>
        <w:t>Server layer: route handlers that query latest published forecast views and return map-friendly payloads.</w:t>
      </w:r>
    </w:p>
    <w:p>
      <w:pPr>
        <w:spacing w:after="40" w:line="264" w:lineRule="auto"/>
        <w:ind w:left="283" w:hanging="198"/>
      </w:pPr>
      <w:r>
        <w:rPr>
          <w:b/>
        </w:rPr>
        <w:t xml:space="preserve">• </w:t>
      </w:r>
      <w:r>
        <w:t>Database: Supabase PostgreSQL with PostGIS, organized into core, raw, mart, model, and admin schemas.</w:t>
      </w:r>
    </w:p>
    <w:p>
      <w:pPr>
        <w:spacing w:after="40" w:line="264" w:lineRule="auto"/>
        <w:ind w:left="283" w:hanging="198"/>
      </w:pPr>
      <w:r>
        <w:rPr>
          <w:b/>
        </w:rPr>
        <w:t xml:space="preserve">• </w:t>
      </w:r>
      <w:r>
        <w:t>Data and ML layer: batch ingestion, feature generation, model training, forecast scoring, and publish step.</w:t>
      </w:r>
    </w:p>
    <w:p>
      <w:pPr>
        <w:spacing w:after="40" w:line="264" w:lineRule="auto"/>
        <w:ind w:left="283" w:hanging="198"/>
      </w:pPr>
      <w:r>
        <w:rPr>
          <w:b/>
        </w:rPr>
        <w:t xml:space="preserve">• </w:t>
      </w:r>
      <w:r>
        <w:t>Storage: Vercel Blob for exports, cached GeoJSON snapshots, and downloadable methodology files.</w:t>
      </w:r>
    </w:p>
    <w:p>
      <w:pPr>
        <w:pStyle w:val="Heading1"/>
        <w:spacing w:after="80" w:line="276" w:lineRule="auto"/>
      </w:pPr>
      <w:r>
        <w:t>5. Functional Modules</w:t>
      </w:r>
    </w:p>
    <w:tbl>
      <w:tblPr>
        <w:tblW w:type="auto" w:w="0"/>
        <w:jc w:val="center"/>
        <w:tblLayout w:type="fixed"/>
        <w:tblLook w:firstColumn="1" w:firstRow="1" w:lastColumn="0" w:lastRow="0" w:noHBand="0" w:noVBand="1" w:val="04A0"/>
      </w:tblPr>
      <w:tblGrid>
        <w:gridCol w:w="2592"/>
        <w:gridCol w:w="2448"/>
        <w:gridCol w:w="5472"/>
      </w:tblGrid>
      <w:tr>
        <w:tc>
          <w:tcPr>
            <w:tcW w:type="dxa" w:w="3324"/>
            <w:vAlign w:val="center"/>
            <w:shd w:fill="A14E2A"/>
          </w:tcPr>
          <w:p>
            <w:pPr>
              <w:spacing w:after="40" w:line="264" w:lineRule="auto"/>
            </w:pPr>
            <w:r/>
            <w:r>
              <w:rPr>
                <w:rFonts w:ascii="Aptos" w:hAnsi="Aptos" w:eastAsia="Aptos"/>
                <w:b/>
                <w:color w:val="FFFFFF"/>
                <w:sz w:val="20"/>
              </w:rPr>
              <w:t>Module</w:t>
            </w:r>
          </w:p>
        </w:tc>
        <w:tc>
          <w:tcPr>
            <w:tcW w:type="dxa" w:w="3324"/>
            <w:vAlign w:val="center"/>
            <w:shd w:fill="A14E2A"/>
          </w:tcPr>
          <w:p>
            <w:pPr>
              <w:spacing w:after="40" w:line="264" w:lineRule="auto"/>
            </w:pPr>
            <w:r/>
            <w:r>
              <w:rPr>
                <w:rFonts w:ascii="Aptos" w:hAnsi="Aptos" w:eastAsia="Aptos"/>
                <w:b/>
                <w:color w:val="FFFFFF"/>
                <w:sz w:val="20"/>
              </w:rPr>
              <w:t>Role</w:t>
            </w:r>
          </w:p>
        </w:tc>
        <w:tc>
          <w:tcPr>
            <w:tcW w:type="dxa" w:w="3324"/>
            <w:vAlign w:val="center"/>
            <w:shd w:fill="A14E2A"/>
          </w:tcPr>
          <w:p>
            <w:pPr>
              <w:spacing w:after="40" w:line="264" w:lineRule="auto"/>
            </w:pPr>
            <w:r/>
            <w:r>
              <w:rPr>
                <w:rFonts w:ascii="Aptos" w:hAnsi="Aptos" w:eastAsia="Aptos"/>
                <w:b/>
                <w:color w:val="FFFFFF"/>
                <w:sz w:val="20"/>
              </w:rPr>
              <w:t>Key responsibilities</w:t>
            </w:r>
          </w:p>
        </w:tc>
      </w:tr>
      <w:tr>
        <w:tc>
          <w:tcPr>
            <w:tcW w:type="dxa" w:w="2592"/>
            <w:vAlign w:val="center"/>
            <w:shd w:fill="FBF9F8"/>
          </w:tcPr>
          <w:p>
            <w:pPr>
              <w:spacing w:after="40" w:line="264" w:lineRule="auto"/>
            </w:pPr>
            <w:r/>
            <w:r>
              <w:rPr>
                <w:rFonts w:ascii="Aptos" w:hAnsi="Aptos" w:eastAsia="Aptos"/>
                <w:b w:val="0"/>
                <w:sz w:val="18"/>
              </w:rPr>
              <w:t>Geography &amp; map service</w:t>
            </w:r>
          </w:p>
        </w:tc>
        <w:tc>
          <w:tcPr>
            <w:tcW w:type="dxa" w:w="2448"/>
            <w:vAlign w:val="center"/>
            <w:shd w:fill="FBF9F8"/>
          </w:tcPr>
          <w:p>
            <w:pPr>
              <w:spacing w:after="40" w:line="264" w:lineRule="auto"/>
            </w:pPr>
            <w:r/>
            <w:r>
              <w:rPr>
                <w:rFonts w:ascii="Aptos" w:hAnsi="Aptos" w:eastAsia="Aptos"/>
                <w:b w:val="0"/>
                <w:sz w:val="18"/>
              </w:rPr>
              <w:t>Spatial serving</w:t>
            </w:r>
          </w:p>
        </w:tc>
        <w:tc>
          <w:tcPr>
            <w:tcW w:type="dxa" w:w="5472"/>
            <w:vAlign w:val="center"/>
            <w:shd w:fill="FBF9F8"/>
          </w:tcPr>
          <w:p>
            <w:pPr>
              <w:spacing w:after="40" w:line="264" w:lineRule="auto"/>
            </w:pPr>
            <w:r/>
            <w:r>
              <w:rPr>
                <w:rFonts w:ascii="Aptos" w:hAnsi="Aptos" w:eastAsia="Aptos"/>
                <w:b w:val="0"/>
                <w:sz w:val="18"/>
              </w:rPr>
              <w:t>Municipality geometries, choropleth values, boundary simplification, neighbor relationships, and map-ready GeoJSON.</w:t>
            </w:r>
          </w:p>
        </w:tc>
      </w:tr>
      <w:tr>
        <w:tc>
          <w:tcPr>
            <w:tcW w:type="dxa" w:w="2592"/>
            <w:vAlign w:val="center"/>
          </w:tcPr>
          <w:p>
            <w:pPr>
              <w:spacing w:after="40" w:line="264" w:lineRule="auto"/>
            </w:pPr>
            <w:r/>
            <w:r>
              <w:rPr>
                <w:rFonts w:ascii="Aptos" w:hAnsi="Aptos" w:eastAsia="Aptos"/>
                <w:b w:val="0"/>
                <w:sz w:val="18"/>
              </w:rPr>
              <w:t>Data ingestion</w:t>
            </w:r>
          </w:p>
        </w:tc>
        <w:tc>
          <w:tcPr>
            <w:tcW w:type="dxa" w:w="2448"/>
            <w:vAlign w:val="center"/>
          </w:tcPr>
          <w:p>
            <w:pPr>
              <w:spacing w:after="40" w:line="264" w:lineRule="auto"/>
            </w:pPr>
            <w:r/>
            <w:r>
              <w:rPr>
                <w:rFonts w:ascii="Aptos" w:hAnsi="Aptos" w:eastAsia="Aptos"/>
                <w:b w:val="0"/>
                <w:sz w:val="18"/>
              </w:rPr>
              <w:t>Source loading</w:t>
            </w:r>
          </w:p>
        </w:tc>
        <w:tc>
          <w:tcPr>
            <w:tcW w:type="dxa" w:w="5472"/>
            <w:vAlign w:val="center"/>
          </w:tcPr>
          <w:p>
            <w:pPr>
              <w:spacing w:after="40" w:line="264" w:lineRule="auto"/>
            </w:pPr>
            <w:r/>
            <w:r>
              <w:rPr>
                <w:rFonts w:ascii="Aptos" w:hAnsi="Aptos" w:eastAsia="Aptos"/>
                <w:b w:val="0"/>
                <w:sz w:val="18"/>
              </w:rPr>
              <w:t>OMI values, OMI transactions, ISTAT population, ISTAT tourism, rental sources, and manual regulation tables.</w:t>
            </w:r>
          </w:p>
        </w:tc>
      </w:tr>
      <w:tr>
        <w:tc>
          <w:tcPr>
            <w:tcW w:type="dxa" w:w="2592"/>
            <w:vAlign w:val="center"/>
            <w:shd w:fill="FBF9F8"/>
          </w:tcPr>
          <w:p>
            <w:pPr>
              <w:spacing w:after="40" w:line="264" w:lineRule="auto"/>
            </w:pPr>
            <w:r/>
            <w:r>
              <w:rPr>
                <w:rFonts w:ascii="Aptos" w:hAnsi="Aptos" w:eastAsia="Aptos"/>
                <w:b w:val="0"/>
                <w:sz w:val="18"/>
              </w:rPr>
              <w:t>Feature store</w:t>
            </w:r>
          </w:p>
        </w:tc>
        <w:tc>
          <w:tcPr>
            <w:tcW w:type="dxa" w:w="2448"/>
            <w:vAlign w:val="center"/>
            <w:shd w:fill="FBF9F8"/>
          </w:tcPr>
          <w:p>
            <w:pPr>
              <w:spacing w:after="40" w:line="264" w:lineRule="auto"/>
            </w:pPr>
            <w:r/>
            <w:r>
              <w:rPr>
                <w:rFonts w:ascii="Aptos" w:hAnsi="Aptos" w:eastAsia="Aptos"/>
                <w:b w:val="0"/>
                <w:sz w:val="18"/>
              </w:rPr>
              <w:t>Derived analytics</w:t>
            </w:r>
          </w:p>
        </w:tc>
        <w:tc>
          <w:tcPr>
            <w:tcW w:type="dxa" w:w="5472"/>
            <w:vAlign w:val="center"/>
            <w:shd w:fill="FBF9F8"/>
          </w:tcPr>
          <w:p>
            <w:pPr>
              <w:spacing w:after="40" w:line="264" w:lineRule="auto"/>
            </w:pPr>
            <w:r/>
            <w:r>
              <w:rPr>
                <w:rFonts w:ascii="Aptos" w:hAnsi="Aptos" w:eastAsia="Aptos"/>
                <w:b w:val="0"/>
                <w:sz w:val="18"/>
              </w:rPr>
              <w:t>Time-series trends, peer-relative metrics, spatial lags, liquidity indicators, and confidence inputs.</w:t>
            </w:r>
          </w:p>
        </w:tc>
      </w:tr>
      <w:tr>
        <w:tc>
          <w:tcPr>
            <w:tcW w:type="dxa" w:w="2592"/>
            <w:vAlign w:val="center"/>
          </w:tcPr>
          <w:p>
            <w:pPr>
              <w:spacing w:after="40" w:line="264" w:lineRule="auto"/>
            </w:pPr>
            <w:r/>
            <w:r>
              <w:rPr>
                <w:rFonts w:ascii="Aptos" w:hAnsi="Aptos" w:eastAsia="Aptos"/>
                <w:b w:val="0"/>
                <w:sz w:val="18"/>
              </w:rPr>
              <w:t>Forecast engine</w:t>
            </w:r>
          </w:p>
        </w:tc>
        <w:tc>
          <w:tcPr>
            <w:tcW w:type="dxa" w:w="2448"/>
            <w:vAlign w:val="center"/>
          </w:tcPr>
          <w:p>
            <w:pPr>
              <w:spacing w:after="40" w:line="264" w:lineRule="auto"/>
            </w:pPr>
            <w:r/>
            <w:r>
              <w:rPr>
                <w:rFonts w:ascii="Aptos" w:hAnsi="Aptos" w:eastAsia="Aptos"/>
                <w:b w:val="0"/>
                <w:sz w:val="18"/>
              </w:rPr>
              <w:t>Predictive scoring</w:t>
            </w:r>
          </w:p>
        </w:tc>
        <w:tc>
          <w:tcPr>
            <w:tcW w:type="dxa" w:w="5472"/>
            <w:vAlign w:val="center"/>
          </w:tcPr>
          <w:p>
            <w:pPr>
              <w:spacing w:after="40" w:line="264" w:lineRule="auto"/>
            </w:pPr>
            <w:r/>
            <w:r>
              <w:rPr>
                <w:rFonts w:ascii="Aptos" w:hAnsi="Aptos" w:eastAsia="Aptos"/>
                <w:b w:val="0"/>
                <w:sz w:val="18"/>
              </w:rPr>
              <w:t>Appreciation model, rental yield model, confidence intervals, versioning, and writeback.</w:t>
            </w:r>
          </w:p>
        </w:tc>
      </w:tr>
      <w:tr>
        <w:tc>
          <w:tcPr>
            <w:tcW w:type="dxa" w:w="2592"/>
            <w:vAlign w:val="center"/>
            <w:shd w:fill="FBF9F8"/>
          </w:tcPr>
          <w:p>
            <w:pPr>
              <w:spacing w:after="40" w:line="264" w:lineRule="auto"/>
            </w:pPr>
            <w:r/>
            <w:r>
              <w:rPr>
                <w:rFonts w:ascii="Aptos" w:hAnsi="Aptos" w:eastAsia="Aptos"/>
                <w:b w:val="0"/>
                <w:sz w:val="18"/>
              </w:rPr>
              <w:t>Ranking engine</w:t>
            </w:r>
          </w:p>
        </w:tc>
        <w:tc>
          <w:tcPr>
            <w:tcW w:type="dxa" w:w="2448"/>
            <w:vAlign w:val="center"/>
            <w:shd w:fill="FBF9F8"/>
          </w:tcPr>
          <w:p>
            <w:pPr>
              <w:spacing w:after="40" w:line="264" w:lineRule="auto"/>
            </w:pPr>
            <w:r/>
            <w:r>
              <w:rPr>
                <w:rFonts w:ascii="Aptos" w:hAnsi="Aptos" w:eastAsia="Aptos"/>
                <w:b w:val="0"/>
                <w:sz w:val="18"/>
              </w:rPr>
              <w:t>Decision support</w:t>
            </w:r>
          </w:p>
        </w:tc>
        <w:tc>
          <w:tcPr>
            <w:tcW w:type="dxa" w:w="5472"/>
            <w:vAlign w:val="center"/>
            <w:shd w:fill="FBF9F8"/>
          </w:tcPr>
          <w:p>
            <w:pPr>
              <w:spacing w:after="40" w:line="264" w:lineRule="auto"/>
            </w:pPr>
            <w:r/>
            <w:r>
              <w:rPr>
                <w:rFonts w:ascii="Aptos" w:hAnsi="Aptos" w:eastAsia="Aptos"/>
                <w:b w:val="0"/>
                <w:sz w:val="18"/>
              </w:rPr>
              <w:t>Opportunity score, investor strategy profiles, and risk-adjusted ranks.</w:t>
            </w:r>
          </w:p>
        </w:tc>
      </w:tr>
      <w:tr>
        <w:tc>
          <w:tcPr>
            <w:tcW w:type="dxa" w:w="2592"/>
            <w:vAlign w:val="center"/>
          </w:tcPr>
          <w:p>
            <w:pPr>
              <w:spacing w:after="40" w:line="264" w:lineRule="auto"/>
            </w:pPr>
            <w:r/>
            <w:r>
              <w:rPr>
                <w:rFonts w:ascii="Aptos" w:hAnsi="Aptos" w:eastAsia="Aptos"/>
                <w:b w:val="0"/>
                <w:sz w:val="18"/>
              </w:rPr>
              <w:t>Admin console</w:t>
            </w:r>
          </w:p>
        </w:tc>
        <w:tc>
          <w:tcPr>
            <w:tcW w:type="dxa" w:w="2448"/>
            <w:vAlign w:val="center"/>
          </w:tcPr>
          <w:p>
            <w:pPr>
              <w:spacing w:after="40" w:line="264" w:lineRule="auto"/>
            </w:pPr>
            <w:r/>
            <w:r>
              <w:rPr>
                <w:rFonts w:ascii="Aptos" w:hAnsi="Aptos" w:eastAsia="Aptos"/>
                <w:b w:val="0"/>
                <w:sz w:val="18"/>
              </w:rPr>
              <w:t>Operations</w:t>
            </w:r>
          </w:p>
        </w:tc>
        <w:tc>
          <w:tcPr>
            <w:tcW w:type="dxa" w:w="5472"/>
            <w:vAlign w:val="center"/>
          </w:tcPr>
          <w:p>
            <w:pPr>
              <w:spacing w:after="40" w:line="264" w:lineRule="auto"/>
            </w:pPr>
            <w:r/>
            <w:r>
              <w:rPr>
                <w:rFonts w:ascii="Aptos" w:hAnsi="Aptos" w:eastAsia="Aptos"/>
                <w:b w:val="0"/>
                <w:sz w:val="18"/>
              </w:rPr>
              <w:t>Ingestion runs, failed rows, source audits, manual overrides, and model-run history.</w:t>
            </w:r>
          </w:p>
        </w:tc>
      </w:tr>
    </w:tbl>
    <w:p>
      <w:pPr>
        <w:pStyle w:val="Heading1"/>
        <w:spacing w:after="80" w:line="276" w:lineRule="auto"/>
      </w:pPr>
      <w:r>
        <w:t>6. Database and Schema Design</w:t>
      </w:r>
    </w:p>
    <w:p>
      <w:pPr>
        <w:pStyle w:val="Heading2"/>
        <w:spacing w:after="40" w:line="276" w:lineRule="auto"/>
      </w:pPr>
      <w:r>
        <w:t>Canonical grain</w:t>
      </w:r>
    </w:p>
    <w:p>
      <w:pPr>
        <w:spacing w:after="40" w:line="264" w:lineRule="auto"/>
        <w:ind w:left="283" w:hanging="198"/>
      </w:pPr>
      <w:r>
        <w:rPr>
          <w:b/>
        </w:rPr>
        <w:t xml:space="preserve">• </w:t>
      </w:r>
      <w:r>
        <w:t>Primary public grain: municipality (comune) using the ISTAT municipality code.</w:t>
      </w:r>
    </w:p>
    <w:p>
      <w:pPr>
        <w:spacing w:after="40" w:line="264" w:lineRule="auto"/>
        <w:ind w:left="283" w:hanging="198"/>
      </w:pPr>
      <w:r>
        <w:rPr>
          <w:b/>
        </w:rPr>
        <w:t xml:space="preserve">• </w:t>
      </w:r>
      <w:r>
        <w:t>Secondary drilldown grain: OMI zone, stored now so the map can support future zone-level analysis.</w:t>
      </w:r>
    </w:p>
    <w:p>
      <w:pPr>
        <w:spacing w:after="40" w:line="264" w:lineRule="auto"/>
        <w:ind w:left="283" w:hanging="198"/>
      </w:pPr>
      <w:r>
        <w:rPr>
          <w:b/>
        </w:rPr>
        <w:t xml:space="preserve">• </w:t>
      </w:r>
      <w:r>
        <w:t>Time support: month, year, and semester periods, because values and transactions are semestral, tourism is monthly, and demographics are annual.</w:t>
      </w:r>
    </w:p>
    <w:p>
      <w:pPr>
        <w:pStyle w:val="Heading2"/>
        <w:spacing w:after="40" w:line="276" w:lineRule="auto"/>
      </w:pPr>
      <w:r>
        <w:t>Core schemas</w:t>
      </w:r>
    </w:p>
    <w:tbl>
      <w:tblPr>
        <w:tblW w:type="auto" w:w="0"/>
        <w:jc w:val="center"/>
        <w:tblLayout w:type="fixed"/>
        <w:tblLook w:firstColumn="1" w:firstRow="1" w:lastColumn="0" w:lastRow="0" w:noHBand="0" w:noVBand="1" w:val="04A0"/>
      </w:tblPr>
      <w:tblGrid>
        <w:gridCol w:w="1728"/>
        <w:gridCol w:w="2592"/>
        <w:gridCol w:w="6192"/>
      </w:tblGrid>
      <w:tr>
        <w:tc>
          <w:tcPr>
            <w:tcW w:type="dxa" w:w="3324"/>
            <w:vAlign w:val="center"/>
            <w:shd w:fill="A14E2A"/>
          </w:tcPr>
          <w:p>
            <w:pPr>
              <w:spacing w:after="40" w:line="264" w:lineRule="auto"/>
            </w:pPr>
            <w:r/>
            <w:r>
              <w:rPr>
                <w:rFonts w:ascii="Aptos" w:hAnsi="Aptos" w:eastAsia="Aptos"/>
                <w:b/>
                <w:color w:val="FFFFFF"/>
                <w:sz w:val="20"/>
              </w:rPr>
              <w:t>Schema</w:t>
            </w:r>
          </w:p>
        </w:tc>
        <w:tc>
          <w:tcPr>
            <w:tcW w:type="dxa" w:w="3324"/>
            <w:vAlign w:val="center"/>
            <w:shd w:fill="A14E2A"/>
          </w:tcPr>
          <w:p>
            <w:pPr>
              <w:spacing w:after="40" w:line="264" w:lineRule="auto"/>
            </w:pPr>
            <w:r/>
            <w:r>
              <w:rPr>
                <w:rFonts w:ascii="Aptos" w:hAnsi="Aptos" w:eastAsia="Aptos"/>
                <w:b/>
                <w:color w:val="FFFFFF"/>
                <w:sz w:val="20"/>
              </w:rPr>
              <w:t>Purpose</w:t>
            </w:r>
          </w:p>
        </w:tc>
        <w:tc>
          <w:tcPr>
            <w:tcW w:type="dxa" w:w="3324"/>
            <w:vAlign w:val="center"/>
            <w:shd w:fill="A14E2A"/>
          </w:tcPr>
          <w:p>
            <w:pPr>
              <w:spacing w:after="40" w:line="264" w:lineRule="auto"/>
            </w:pPr>
            <w:r/>
            <w:r>
              <w:rPr>
                <w:rFonts w:ascii="Aptos" w:hAnsi="Aptos" w:eastAsia="Aptos"/>
                <w:b/>
                <w:color w:val="FFFFFF"/>
                <w:sz w:val="20"/>
              </w:rPr>
              <w:t>Representative tables</w:t>
            </w:r>
          </w:p>
        </w:tc>
      </w:tr>
      <w:tr>
        <w:tc>
          <w:tcPr>
            <w:tcW w:type="dxa" w:w="1728"/>
            <w:vAlign w:val="center"/>
            <w:shd w:fill="FBF9F8"/>
          </w:tcPr>
          <w:p>
            <w:pPr>
              <w:spacing w:after="40" w:line="264" w:lineRule="auto"/>
            </w:pPr>
            <w:r/>
            <w:r>
              <w:rPr>
                <w:rFonts w:ascii="Aptos" w:hAnsi="Aptos" w:eastAsia="Aptos"/>
                <w:b w:val="0"/>
                <w:sz w:val="18"/>
              </w:rPr>
              <w:t>core</w:t>
            </w:r>
          </w:p>
        </w:tc>
        <w:tc>
          <w:tcPr>
            <w:tcW w:type="dxa" w:w="2592"/>
            <w:vAlign w:val="center"/>
            <w:shd w:fill="FBF9F8"/>
          </w:tcPr>
          <w:p>
            <w:pPr>
              <w:spacing w:after="40" w:line="264" w:lineRule="auto"/>
            </w:pPr>
            <w:r/>
            <w:r>
              <w:rPr>
                <w:rFonts w:ascii="Aptos" w:hAnsi="Aptos" w:eastAsia="Aptos"/>
                <w:b w:val="0"/>
                <w:sz w:val="18"/>
              </w:rPr>
              <w:t>Reference dimensions</w:t>
            </w:r>
          </w:p>
        </w:tc>
        <w:tc>
          <w:tcPr>
            <w:tcW w:type="dxa" w:w="6192"/>
            <w:vAlign w:val="center"/>
            <w:shd w:fill="FBF9F8"/>
          </w:tcPr>
          <w:p>
            <w:pPr>
              <w:spacing w:after="40" w:line="264" w:lineRule="auto"/>
            </w:pPr>
            <w:r/>
            <w:r>
              <w:rPr>
                <w:rFonts w:ascii="Aptos" w:hAnsi="Aptos" w:eastAsia="Aptos"/>
                <w:b w:val="0"/>
                <w:sz w:val="18"/>
              </w:rPr>
              <w:t>regions, provinces, municipalities, municipality_neighbors, omi_zones, time_periods</w:t>
            </w:r>
          </w:p>
        </w:tc>
      </w:tr>
      <w:tr>
        <w:tc>
          <w:tcPr>
            <w:tcW w:type="dxa" w:w="1728"/>
            <w:vAlign w:val="center"/>
          </w:tcPr>
          <w:p>
            <w:pPr>
              <w:spacing w:after="40" w:line="264" w:lineRule="auto"/>
            </w:pPr>
            <w:r/>
            <w:r>
              <w:rPr>
                <w:rFonts w:ascii="Aptos" w:hAnsi="Aptos" w:eastAsia="Aptos"/>
                <w:b w:val="0"/>
                <w:sz w:val="18"/>
              </w:rPr>
              <w:t>raw</w:t>
            </w:r>
          </w:p>
        </w:tc>
        <w:tc>
          <w:tcPr>
            <w:tcW w:type="dxa" w:w="2592"/>
            <w:vAlign w:val="center"/>
          </w:tcPr>
          <w:p>
            <w:pPr>
              <w:spacing w:after="40" w:line="264" w:lineRule="auto"/>
            </w:pPr>
            <w:r/>
            <w:r>
              <w:rPr>
                <w:rFonts w:ascii="Aptos" w:hAnsi="Aptos" w:eastAsia="Aptos"/>
                <w:b w:val="0"/>
                <w:sz w:val="18"/>
              </w:rPr>
              <w:t>Source fidelity</w:t>
            </w:r>
          </w:p>
        </w:tc>
        <w:tc>
          <w:tcPr>
            <w:tcW w:type="dxa" w:w="6192"/>
            <w:vAlign w:val="center"/>
          </w:tcPr>
          <w:p>
            <w:pPr>
              <w:spacing w:after="40" w:line="264" w:lineRule="auto"/>
            </w:pPr>
            <w:r/>
            <w:r>
              <w:rPr>
                <w:rFonts w:ascii="Aptos" w:hAnsi="Aptos" w:eastAsia="Aptos"/>
                <w:b w:val="0"/>
                <w:sz w:val="18"/>
              </w:rPr>
              <w:t>omi_property_values, omi_transactions, istat_population, istat_tourism, rental_long_term, rental_short_term, regulatory_notes</w:t>
            </w:r>
          </w:p>
        </w:tc>
      </w:tr>
      <w:tr>
        <w:tc>
          <w:tcPr>
            <w:tcW w:type="dxa" w:w="1728"/>
            <w:vAlign w:val="center"/>
            <w:shd w:fill="FBF9F8"/>
          </w:tcPr>
          <w:p>
            <w:pPr>
              <w:spacing w:after="40" w:line="264" w:lineRule="auto"/>
            </w:pPr>
            <w:r/>
            <w:r>
              <w:rPr>
                <w:rFonts w:ascii="Aptos" w:hAnsi="Aptos" w:eastAsia="Aptos"/>
                <w:b w:val="0"/>
                <w:sz w:val="18"/>
              </w:rPr>
              <w:t>mart</w:t>
            </w:r>
          </w:p>
        </w:tc>
        <w:tc>
          <w:tcPr>
            <w:tcW w:type="dxa" w:w="2592"/>
            <w:vAlign w:val="center"/>
            <w:shd w:fill="FBF9F8"/>
          </w:tcPr>
          <w:p>
            <w:pPr>
              <w:spacing w:after="40" w:line="264" w:lineRule="auto"/>
            </w:pPr>
            <w:r/>
            <w:r>
              <w:rPr>
                <w:rFonts w:ascii="Aptos" w:hAnsi="Aptos" w:eastAsia="Aptos"/>
                <w:b w:val="0"/>
                <w:sz w:val="18"/>
              </w:rPr>
              <w:t>Curated analytics marts</w:t>
            </w:r>
          </w:p>
        </w:tc>
        <w:tc>
          <w:tcPr>
            <w:tcW w:type="dxa" w:w="6192"/>
            <w:vAlign w:val="center"/>
            <w:shd w:fill="FBF9F8"/>
          </w:tcPr>
          <w:p>
            <w:pPr>
              <w:spacing w:after="40" w:line="264" w:lineRule="auto"/>
            </w:pPr>
            <w:r/>
            <w:r>
              <w:rPr>
                <w:rFonts w:ascii="Aptos" w:hAnsi="Aptos" w:eastAsia="Aptos"/>
                <w:b w:val="0"/>
                <w:sz w:val="18"/>
              </w:rPr>
              <w:t>municipality_values_semester, municipality_transactions_semester, municipality_demographics_year, municipality_tourism_month, municipality_rents_month</w:t>
            </w:r>
          </w:p>
        </w:tc>
      </w:tr>
      <w:tr>
        <w:tc>
          <w:tcPr>
            <w:tcW w:type="dxa" w:w="1728"/>
            <w:vAlign w:val="center"/>
          </w:tcPr>
          <w:p>
            <w:pPr>
              <w:spacing w:after="40" w:line="264" w:lineRule="auto"/>
            </w:pPr>
            <w:r/>
            <w:r>
              <w:rPr>
                <w:rFonts w:ascii="Aptos" w:hAnsi="Aptos" w:eastAsia="Aptos"/>
                <w:b w:val="0"/>
                <w:sz w:val="18"/>
              </w:rPr>
              <w:t>model</w:t>
            </w:r>
          </w:p>
        </w:tc>
        <w:tc>
          <w:tcPr>
            <w:tcW w:type="dxa" w:w="2592"/>
            <w:vAlign w:val="center"/>
          </w:tcPr>
          <w:p>
            <w:pPr>
              <w:spacing w:after="40" w:line="264" w:lineRule="auto"/>
            </w:pPr>
            <w:r/>
            <w:r>
              <w:rPr>
                <w:rFonts w:ascii="Aptos" w:hAnsi="Aptos" w:eastAsia="Aptos"/>
                <w:b w:val="0"/>
                <w:sz w:val="18"/>
              </w:rPr>
              <w:t>Feature store and forecasts</w:t>
            </w:r>
          </w:p>
        </w:tc>
        <w:tc>
          <w:tcPr>
            <w:tcW w:type="dxa" w:w="6192"/>
            <w:vAlign w:val="center"/>
          </w:tcPr>
          <w:p>
            <w:pPr>
              <w:spacing w:after="40" w:line="264" w:lineRule="auto"/>
            </w:pPr>
            <w:r/>
            <w:r>
              <w:rPr>
                <w:rFonts w:ascii="Aptos" w:hAnsi="Aptos" w:eastAsia="Aptos"/>
                <w:b w:val="0"/>
                <w:sz w:val="18"/>
              </w:rPr>
              <w:t>features_municipality_semester, forecasts_municipality</w:t>
            </w:r>
          </w:p>
        </w:tc>
      </w:tr>
      <w:tr>
        <w:tc>
          <w:tcPr>
            <w:tcW w:type="dxa" w:w="1728"/>
            <w:vAlign w:val="center"/>
            <w:shd w:fill="FBF9F8"/>
          </w:tcPr>
          <w:p>
            <w:pPr>
              <w:spacing w:after="40" w:line="264" w:lineRule="auto"/>
            </w:pPr>
            <w:r/>
            <w:r>
              <w:rPr>
                <w:rFonts w:ascii="Aptos" w:hAnsi="Aptos" w:eastAsia="Aptos"/>
                <w:b w:val="0"/>
                <w:sz w:val="18"/>
              </w:rPr>
              <w:t>admin</w:t>
            </w:r>
          </w:p>
        </w:tc>
        <w:tc>
          <w:tcPr>
            <w:tcW w:type="dxa" w:w="2592"/>
            <w:vAlign w:val="center"/>
            <w:shd w:fill="FBF9F8"/>
          </w:tcPr>
          <w:p>
            <w:pPr>
              <w:spacing w:after="40" w:line="264" w:lineRule="auto"/>
            </w:pPr>
            <w:r/>
            <w:r>
              <w:rPr>
                <w:rFonts w:ascii="Aptos" w:hAnsi="Aptos" w:eastAsia="Aptos"/>
                <w:b w:val="0"/>
                <w:sz w:val="18"/>
              </w:rPr>
              <w:t>Operational audit</w:t>
            </w:r>
          </w:p>
        </w:tc>
        <w:tc>
          <w:tcPr>
            <w:tcW w:type="dxa" w:w="6192"/>
            <w:vAlign w:val="center"/>
            <w:shd w:fill="FBF9F8"/>
          </w:tcPr>
          <w:p>
            <w:pPr>
              <w:spacing w:after="40" w:line="264" w:lineRule="auto"/>
            </w:pPr>
            <w:r/>
            <w:r>
              <w:rPr>
                <w:rFonts w:ascii="Aptos" w:hAnsi="Aptos" w:eastAsia="Aptos"/>
                <w:b w:val="0"/>
                <w:sz w:val="18"/>
              </w:rPr>
              <w:t>ingestion_runs, model_runs</w:t>
            </w:r>
          </w:p>
        </w:tc>
      </w:tr>
    </w:tbl>
    <w:p>
      <w:pPr>
        <w:pStyle w:val="Heading2"/>
        <w:spacing w:after="40" w:line="276" w:lineRule="auto"/>
      </w:pPr>
      <w:r>
        <w:t>Key table catalog</w:t>
      </w:r>
    </w:p>
    <w:p>
      <w:pPr>
        <w:spacing w:after="40" w:line="264" w:lineRule="auto"/>
        <w:ind w:left="283" w:hanging="198"/>
      </w:pPr>
      <w:r>
        <w:rPr>
          <w:b/>
        </w:rPr>
        <w:t xml:space="preserve">• </w:t>
      </w:r>
      <w:r>
        <w:t>core.municipalities: One row per municipality; stores ISTAT code, province, region, flags, and boundary geometries.</w:t>
      </w:r>
    </w:p>
    <w:p>
      <w:pPr>
        <w:spacing w:after="40" w:line="264" w:lineRule="auto"/>
        <w:ind w:left="283" w:hanging="198"/>
      </w:pPr>
      <w:r>
        <w:rPr>
          <w:b/>
        </w:rPr>
        <w:t xml:space="preserve">• </w:t>
      </w:r>
      <w:r>
        <w:t>core.municipality_neighbors: Stores contiguity and distance metrics for spatial features.</w:t>
      </w:r>
    </w:p>
    <w:p>
      <w:pPr>
        <w:spacing w:after="40" w:line="264" w:lineRule="auto"/>
        <w:ind w:left="283" w:hanging="198"/>
      </w:pPr>
      <w:r>
        <w:rPr>
          <w:b/>
        </w:rPr>
        <w:t xml:space="preserve">• </w:t>
      </w:r>
      <w:r>
        <w:t>core.omi_zones: Stores OMI zone identifiers and geometries for future drilldown.</w:t>
      </w:r>
    </w:p>
    <w:p>
      <w:pPr>
        <w:spacing w:after="40" w:line="264" w:lineRule="auto"/>
        <w:ind w:left="283" w:hanging="198"/>
      </w:pPr>
      <w:r>
        <w:rPr>
          <w:b/>
        </w:rPr>
        <w:t xml:space="preserve">• </w:t>
      </w:r>
      <w:r>
        <w:t>mart.municipality_values_semester: Curated semestral property values by municipality and property segment.</w:t>
      </w:r>
    </w:p>
    <w:p>
      <w:pPr>
        <w:spacing w:after="40" w:line="264" w:lineRule="auto"/>
        <w:ind w:left="283" w:hanging="198"/>
      </w:pPr>
      <w:r>
        <w:rPr>
          <w:b/>
        </w:rPr>
        <w:t xml:space="preserve">• </w:t>
      </w:r>
      <w:r>
        <w:t>mart.municipality_transactions_semester: Curated semestral transaction counts and turnover indicators.</w:t>
      </w:r>
    </w:p>
    <w:p>
      <w:pPr>
        <w:spacing w:after="40" w:line="264" w:lineRule="auto"/>
        <w:ind w:left="283" w:hanging="198"/>
      </w:pPr>
      <w:r>
        <w:rPr>
          <w:b/>
        </w:rPr>
        <w:t xml:space="preserve">• </w:t>
      </w:r>
      <w:r>
        <w:t>mart.municipality_demographics_year: Annual population and household indicators.</w:t>
      </w:r>
    </w:p>
    <w:p>
      <w:pPr>
        <w:spacing w:after="40" w:line="264" w:lineRule="auto"/>
        <w:ind w:left="283" w:hanging="198"/>
      </w:pPr>
      <w:r>
        <w:rPr>
          <w:b/>
        </w:rPr>
        <w:t xml:space="preserve">• </w:t>
      </w:r>
      <w:r>
        <w:t>mart.municipality_tourism_month: Monthly arrivals, presences, foreign share, and tourism intensity.</w:t>
      </w:r>
    </w:p>
    <w:p>
      <w:pPr>
        <w:spacing w:after="40" w:line="264" w:lineRule="auto"/>
        <w:ind w:left="283" w:hanging="198"/>
      </w:pPr>
      <w:r>
        <w:rPr>
          <w:b/>
        </w:rPr>
        <w:t xml:space="preserve">• </w:t>
      </w:r>
      <w:r>
        <w:t>mart.municipality_rents_month: Monthly long-term and optional short-term rental indicators.</w:t>
      </w:r>
    </w:p>
    <w:p>
      <w:pPr>
        <w:spacing w:after="40" w:line="264" w:lineRule="auto"/>
        <w:ind w:left="283" w:hanging="198"/>
      </w:pPr>
      <w:r>
        <w:rPr>
          <w:b/>
        </w:rPr>
        <w:t xml:space="preserve">• </w:t>
      </w:r>
      <w:r>
        <w:t>model.features_municipality_semester: Feature store used for training and scoring.</w:t>
      </w:r>
    </w:p>
    <w:p>
      <w:pPr>
        <w:spacing w:after="40" w:line="264" w:lineRule="auto"/>
        <w:ind w:left="283" w:hanging="198"/>
      </w:pPr>
      <w:r>
        <w:rPr>
          <w:b/>
        </w:rPr>
        <w:t xml:space="preserve">• </w:t>
      </w:r>
      <w:r>
        <w:t>model.forecasts_municipality: Published forecast outputs, scores, drivers, and risk flags.</w:t>
      </w:r>
    </w:p>
    <w:p>
      <w:pPr>
        <w:pStyle w:val="Heading2"/>
        <w:spacing w:after="40" w:line="276" w:lineRule="auto"/>
      </w:pPr>
      <w:r>
        <w:t>Representative schema fields</w:t>
      </w:r>
    </w:p>
    <w:tbl>
      <w:tblPr>
        <w:tblW w:type="auto" w:w="0"/>
        <w:jc w:val="center"/>
        <w:tblLayout w:type="fixed"/>
        <w:tblLook w:firstColumn="1" w:firstRow="1" w:lastColumn="0" w:lastRow="0" w:noHBand="0" w:noVBand="1" w:val="04A0"/>
      </w:tblPr>
      <w:tblGrid>
        <w:gridCol w:w="2592"/>
        <w:gridCol w:w="3024"/>
        <w:gridCol w:w="5328"/>
      </w:tblGrid>
      <w:tr>
        <w:tc>
          <w:tcPr>
            <w:tcW w:type="dxa" w:w="3324"/>
            <w:vAlign w:val="center"/>
            <w:shd w:fill="A14E2A"/>
          </w:tcPr>
          <w:p>
            <w:pPr>
              <w:spacing w:after="40" w:line="264" w:lineRule="auto"/>
            </w:pPr>
            <w:r/>
            <w:r>
              <w:rPr>
                <w:rFonts w:ascii="Aptos" w:hAnsi="Aptos" w:eastAsia="Aptos"/>
                <w:b/>
                <w:color w:val="FFFFFF"/>
                <w:sz w:val="20"/>
              </w:rPr>
              <w:t>Table</w:t>
            </w:r>
          </w:p>
        </w:tc>
        <w:tc>
          <w:tcPr>
            <w:tcW w:type="dxa" w:w="3324"/>
            <w:vAlign w:val="center"/>
            <w:shd w:fill="A14E2A"/>
          </w:tcPr>
          <w:p>
            <w:pPr>
              <w:spacing w:after="40" w:line="264" w:lineRule="auto"/>
            </w:pPr>
            <w:r/>
            <w:r>
              <w:rPr>
                <w:rFonts w:ascii="Aptos" w:hAnsi="Aptos" w:eastAsia="Aptos"/>
                <w:b/>
                <w:color w:val="FFFFFF"/>
                <w:sz w:val="20"/>
              </w:rPr>
              <w:t>Primary key</w:t>
            </w:r>
          </w:p>
        </w:tc>
        <w:tc>
          <w:tcPr>
            <w:tcW w:type="dxa" w:w="3324"/>
            <w:vAlign w:val="center"/>
            <w:shd w:fill="A14E2A"/>
          </w:tcPr>
          <w:p>
            <w:pPr>
              <w:spacing w:after="40" w:line="264" w:lineRule="auto"/>
            </w:pPr>
            <w:r/>
            <w:r>
              <w:rPr>
                <w:rFonts w:ascii="Aptos" w:hAnsi="Aptos" w:eastAsia="Aptos"/>
                <w:b/>
                <w:color w:val="FFFFFF"/>
                <w:sz w:val="20"/>
              </w:rPr>
              <w:t>Important fields</w:t>
            </w:r>
          </w:p>
        </w:tc>
      </w:tr>
      <w:tr>
        <w:tc>
          <w:tcPr>
            <w:tcW w:type="dxa" w:w="2592"/>
            <w:vAlign w:val="center"/>
            <w:shd w:fill="FBF9F8"/>
          </w:tcPr>
          <w:p>
            <w:pPr>
              <w:spacing w:after="40" w:line="264" w:lineRule="auto"/>
            </w:pPr>
            <w:r/>
            <w:r>
              <w:rPr>
                <w:rFonts w:ascii="Aptos" w:hAnsi="Aptos" w:eastAsia="Aptos"/>
                <w:b w:val="0"/>
                <w:sz w:val="18"/>
              </w:rPr>
              <w:t>core.municipalities</w:t>
            </w:r>
          </w:p>
        </w:tc>
        <w:tc>
          <w:tcPr>
            <w:tcW w:type="dxa" w:w="3024"/>
            <w:vAlign w:val="center"/>
            <w:shd w:fill="FBF9F8"/>
          </w:tcPr>
          <w:p>
            <w:pPr>
              <w:spacing w:after="40" w:line="264" w:lineRule="auto"/>
            </w:pPr>
            <w:r/>
            <w:r>
              <w:rPr>
                <w:rFonts w:ascii="Aptos" w:hAnsi="Aptos" w:eastAsia="Aptos"/>
                <w:b w:val="0"/>
                <w:sz w:val="18"/>
              </w:rPr>
              <w:t>municipality_id</w:t>
            </w:r>
          </w:p>
        </w:tc>
        <w:tc>
          <w:tcPr>
            <w:tcW w:type="dxa" w:w="5328"/>
            <w:vAlign w:val="center"/>
            <w:shd w:fill="FBF9F8"/>
          </w:tcPr>
          <w:p>
            <w:pPr>
              <w:spacing w:after="40" w:line="264" w:lineRule="auto"/>
            </w:pPr>
            <w:r/>
            <w:r>
              <w:rPr>
                <w:rFonts w:ascii="Aptos" w:hAnsi="Aptos" w:eastAsia="Aptos"/>
                <w:b w:val="0"/>
                <w:sz w:val="18"/>
              </w:rPr>
              <w:t>municipality_name, province_code, region_code, coastal_flag, mountain_flag, geom, geom_simplified</w:t>
            </w:r>
          </w:p>
        </w:tc>
      </w:tr>
      <w:tr>
        <w:tc>
          <w:tcPr>
            <w:tcW w:type="dxa" w:w="2592"/>
            <w:vAlign w:val="center"/>
          </w:tcPr>
          <w:p>
            <w:pPr>
              <w:spacing w:after="40" w:line="264" w:lineRule="auto"/>
            </w:pPr>
            <w:r/>
            <w:r>
              <w:rPr>
                <w:rFonts w:ascii="Aptos" w:hAnsi="Aptos" w:eastAsia="Aptos"/>
                <w:b w:val="0"/>
                <w:sz w:val="18"/>
              </w:rPr>
              <w:t>mart.municipality_values_semester</w:t>
            </w:r>
          </w:p>
        </w:tc>
        <w:tc>
          <w:tcPr>
            <w:tcW w:type="dxa" w:w="3024"/>
            <w:vAlign w:val="center"/>
          </w:tcPr>
          <w:p>
            <w:pPr>
              <w:spacing w:after="40" w:line="264" w:lineRule="auto"/>
            </w:pPr>
            <w:r/>
            <w:r>
              <w:rPr>
                <w:rFonts w:ascii="Aptos" w:hAnsi="Aptos" w:eastAsia="Aptos"/>
                <w:b w:val="0"/>
                <w:sz w:val="18"/>
              </w:rPr>
              <w:t>(municipality_id, semester_id, property_segment)</w:t>
            </w:r>
          </w:p>
        </w:tc>
        <w:tc>
          <w:tcPr>
            <w:tcW w:type="dxa" w:w="5328"/>
            <w:vAlign w:val="center"/>
          </w:tcPr>
          <w:p>
            <w:pPr>
              <w:spacing w:after="40" w:line="264" w:lineRule="auto"/>
            </w:pPr>
            <w:r/>
            <w:r>
              <w:rPr>
                <w:rFonts w:ascii="Aptos" w:hAnsi="Aptos" w:eastAsia="Aptos"/>
                <w:b w:val="0"/>
                <w:sz w:val="18"/>
              </w:rPr>
              <w:t>value_min_eur_sqm, value_max_eur_sqm, value_mid_eur_sqm, quality_grade</w:t>
            </w:r>
          </w:p>
        </w:tc>
      </w:tr>
      <w:tr>
        <w:tc>
          <w:tcPr>
            <w:tcW w:type="dxa" w:w="2592"/>
            <w:vAlign w:val="center"/>
            <w:shd w:fill="FBF9F8"/>
          </w:tcPr>
          <w:p>
            <w:pPr>
              <w:spacing w:after="40" w:line="264" w:lineRule="auto"/>
            </w:pPr>
            <w:r/>
            <w:r>
              <w:rPr>
                <w:rFonts w:ascii="Aptos" w:hAnsi="Aptos" w:eastAsia="Aptos"/>
                <w:b w:val="0"/>
                <w:sz w:val="18"/>
              </w:rPr>
              <w:t>mart.municipality_transactions_semester</w:t>
            </w:r>
          </w:p>
        </w:tc>
        <w:tc>
          <w:tcPr>
            <w:tcW w:type="dxa" w:w="3024"/>
            <w:vAlign w:val="center"/>
            <w:shd w:fill="FBF9F8"/>
          </w:tcPr>
          <w:p>
            <w:pPr>
              <w:spacing w:after="40" w:line="264" w:lineRule="auto"/>
            </w:pPr>
            <w:r/>
            <w:r>
              <w:rPr>
                <w:rFonts w:ascii="Aptos" w:hAnsi="Aptos" w:eastAsia="Aptos"/>
                <w:b w:val="0"/>
                <w:sz w:val="18"/>
              </w:rPr>
              <w:t>(municipality_id, semester_id, market_sector)</w:t>
            </w:r>
          </w:p>
        </w:tc>
        <w:tc>
          <w:tcPr>
            <w:tcW w:type="dxa" w:w="5328"/>
            <w:vAlign w:val="center"/>
            <w:shd w:fill="FBF9F8"/>
          </w:tcPr>
          <w:p>
            <w:pPr>
              <w:spacing w:after="40" w:line="264" w:lineRule="auto"/>
            </w:pPr>
            <w:r/>
            <w:r>
              <w:rPr>
                <w:rFonts w:ascii="Aptos" w:hAnsi="Aptos" w:eastAsia="Aptos"/>
                <w:b w:val="0"/>
                <w:sz w:val="18"/>
              </w:rPr>
              <w:t>transaction_count, turnover_rate, quality_grade</w:t>
            </w:r>
          </w:p>
        </w:tc>
      </w:tr>
      <w:tr>
        <w:tc>
          <w:tcPr>
            <w:tcW w:type="dxa" w:w="2592"/>
            <w:vAlign w:val="center"/>
          </w:tcPr>
          <w:p>
            <w:pPr>
              <w:spacing w:after="40" w:line="264" w:lineRule="auto"/>
            </w:pPr>
            <w:r/>
            <w:r>
              <w:rPr>
                <w:rFonts w:ascii="Aptos" w:hAnsi="Aptos" w:eastAsia="Aptos"/>
                <w:b w:val="0"/>
                <w:sz w:val="18"/>
              </w:rPr>
              <w:t>mart.municipality_tourism_month</w:t>
            </w:r>
          </w:p>
        </w:tc>
        <w:tc>
          <w:tcPr>
            <w:tcW w:type="dxa" w:w="3024"/>
            <w:vAlign w:val="center"/>
          </w:tcPr>
          <w:p>
            <w:pPr>
              <w:spacing w:after="40" w:line="264" w:lineRule="auto"/>
            </w:pPr>
            <w:r/>
            <w:r>
              <w:rPr>
                <w:rFonts w:ascii="Aptos" w:hAnsi="Aptos" w:eastAsia="Aptos"/>
                <w:b w:val="0"/>
                <w:sz w:val="18"/>
              </w:rPr>
              <w:t>(municipality_id, month_id)</w:t>
            </w:r>
          </w:p>
        </w:tc>
        <w:tc>
          <w:tcPr>
            <w:tcW w:type="dxa" w:w="5328"/>
            <w:vAlign w:val="center"/>
          </w:tcPr>
          <w:p>
            <w:pPr>
              <w:spacing w:after="40" w:line="264" w:lineRule="auto"/>
            </w:pPr>
            <w:r/>
            <w:r>
              <w:rPr>
                <w:rFonts w:ascii="Aptos" w:hAnsi="Aptos" w:eastAsia="Aptos"/>
                <w:b w:val="0"/>
                <w:sz w:val="18"/>
              </w:rPr>
              <w:t>arrivals_total, presences_total, tourism_intensity</w:t>
            </w:r>
          </w:p>
        </w:tc>
      </w:tr>
      <w:tr>
        <w:tc>
          <w:tcPr>
            <w:tcW w:type="dxa" w:w="2592"/>
            <w:vAlign w:val="center"/>
            <w:shd w:fill="FBF9F8"/>
          </w:tcPr>
          <w:p>
            <w:pPr>
              <w:spacing w:after="40" w:line="264" w:lineRule="auto"/>
            </w:pPr>
            <w:r/>
            <w:r>
              <w:rPr>
                <w:rFonts w:ascii="Aptos" w:hAnsi="Aptos" w:eastAsia="Aptos"/>
                <w:b w:val="0"/>
                <w:sz w:val="18"/>
              </w:rPr>
              <w:t>model.features_municipality_semester</w:t>
            </w:r>
          </w:p>
        </w:tc>
        <w:tc>
          <w:tcPr>
            <w:tcW w:type="dxa" w:w="3024"/>
            <w:vAlign w:val="center"/>
            <w:shd w:fill="FBF9F8"/>
          </w:tcPr>
          <w:p>
            <w:pPr>
              <w:spacing w:after="40" w:line="264" w:lineRule="auto"/>
            </w:pPr>
            <w:r/>
            <w:r>
              <w:rPr>
                <w:rFonts w:ascii="Aptos" w:hAnsi="Aptos" w:eastAsia="Aptos"/>
                <w:b w:val="0"/>
                <w:sz w:val="18"/>
              </w:rPr>
              <w:t>(municipality_id, semester_id, property_segment, feature_version)</w:t>
            </w:r>
          </w:p>
        </w:tc>
        <w:tc>
          <w:tcPr>
            <w:tcW w:type="dxa" w:w="5328"/>
            <w:vAlign w:val="center"/>
            <w:shd w:fill="FBF9F8"/>
          </w:tcPr>
          <w:p>
            <w:pPr>
              <w:spacing w:after="40" w:line="264" w:lineRule="auto"/>
            </w:pPr>
            <w:r/>
            <w:r>
              <w:rPr>
                <w:rFonts w:ascii="Aptos" w:hAnsi="Aptos" w:eastAsia="Aptos"/>
                <w:b w:val="0"/>
                <w:sz w:val="18"/>
              </w:rPr>
              <w:t>trend metrics, liquidity metrics, demographics, tourism, yields, spatial lags, risk scores, targets</w:t>
            </w:r>
          </w:p>
        </w:tc>
      </w:tr>
      <w:tr>
        <w:tc>
          <w:tcPr>
            <w:tcW w:type="dxa" w:w="2592"/>
            <w:vAlign w:val="center"/>
          </w:tcPr>
          <w:p>
            <w:pPr>
              <w:spacing w:after="40" w:line="264" w:lineRule="auto"/>
            </w:pPr>
            <w:r/>
            <w:r>
              <w:rPr>
                <w:rFonts w:ascii="Aptos" w:hAnsi="Aptos" w:eastAsia="Aptos"/>
                <w:b w:val="0"/>
                <w:sz w:val="18"/>
              </w:rPr>
              <w:t>model.forecasts_municipality</w:t>
            </w:r>
          </w:p>
        </w:tc>
        <w:tc>
          <w:tcPr>
            <w:tcW w:type="dxa" w:w="3024"/>
            <w:vAlign w:val="center"/>
          </w:tcPr>
          <w:p>
            <w:pPr>
              <w:spacing w:after="40" w:line="264" w:lineRule="auto"/>
            </w:pPr>
            <w:r/>
            <w:r>
              <w:rPr>
                <w:rFonts w:ascii="Aptos" w:hAnsi="Aptos" w:eastAsia="Aptos"/>
                <w:b w:val="0"/>
                <w:sz w:val="18"/>
              </w:rPr>
              <w:t>(municipality_id, forecast_date, horizon_months, property_segment, model_version)</w:t>
            </w:r>
          </w:p>
        </w:tc>
        <w:tc>
          <w:tcPr>
            <w:tcW w:type="dxa" w:w="5328"/>
            <w:vAlign w:val="center"/>
          </w:tcPr>
          <w:p>
            <w:pPr>
              <w:spacing w:after="40" w:line="264" w:lineRule="auto"/>
            </w:pPr>
            <w:r/>
            <w:r>
              <w:rPr>
                <w:rFonts w:ascii="Aptos" w:hAnsi="Aptos" w:eastAsia="Aptos"/>
                <w:b w:val="0"/>
                <w:sz w:val="18"/>
              </w:rPr>
              <w:t>forecast_appreciation_pct, forecast_gross_yield_pct, confidence bounds, opportunity_score, drivers, risks</w:t>
            </w:r>
          </w:p>
        </w:tc>
      </w:tr>
    </w:tbl>
    <w:p>
      <w:pPr>
        <w:pStyle w:val="Heading1"/>
        <w:spacing w:after="80" w:line="276" w:lineRule="auto"/>
      </w:pPr>
      <w:r>
        <w:t>7. Feature Store Design</w:t>
      </w:r>
    </w:p>
    <w:tbl>
      <w:tblPr>
        <w:tblW w:type="auto" w:w="0"/>
        <w:jc w:val="center"/>
        <w:tblLayout w:type="fixed"/>
        <w:tblLook w:firstColumn="1" w:firstRow="1" w:lastColumn="0" w:lastRow="0" w:noHBand="0" w:noVBand="1" w:val="04A0"/>
      </w:tblPr>
      <w:tblGrid>
        <w:gridCol w:w="2448"/>
        <w:gridCol w:w="8496"/>
      </w:tblGrid>
      <w:tr>
        <w:tc>
          <w:tcPr>
            <w:tcW w:type="dxa" w:w="4986"/>
            <w:vAlign w:val="center"/>
            <w:shd w:fill="A14E2A"/>
          </w:tcPr>
          <w:p>
            <w:pPr>
              <w:spacing w:after="40" w:line="264" w:lineRule="auto"/>
            </w:pPr>
            <w:r/>
            <w:r>
              <w:rPr>
                <w:rFonts w:ascii="Aptos" w:hAnsi="Aptos" w:eastAsia="Aptos"/>
                <w:b/>
                <w:color w:val="FFFFFF"/>
                <w:sz w:val="20"/>
              </w:rPr>
              <w:t>Feature family</w:t>
            </w:r>
          </w:p>
        </w:tc>
        <w:tc>
          <w:tcPr>
            <w:tcW w:type="dxa" w:w="4986"/>
            <w:vAlign w:val="center"/>
            <w:shd w:fill="A14E2A"/>
          </w:tcPr>
          <w:p>
            <w:pPr>
              <w:spacing w:after="40" w:line="264" w:lineRule="auto"/>
            </w:pPr>
            <w:r/>
            <w:r>
              <w:rPr>
                <w:rFonts w:ascii="Aptos" w:hAnsi="Aptos" w:eastAsia="Aptos"/>
                <w:b/>
                <w:color w:val="FFFFFF"/>
                <w:sz w:val="20"/>
              </w:rPr>
              <w:t>Representative features</w:t>
            </w:r>
          </w:p>
        </w:tc>
      </w:tr>
      <w:tr>
        <w:tc>
          <w:tcPr>
            <w:tcW w:type="dxa" w:w="2448"/>
            <w:vAlign w:val="center"/>
            <w:shd w:fill="FBF9F8"/>
          </w:tcPr>
          <w:p>
            <w:pPr>
              <w:spacing w:after="40" w:line="264" w:lineRule="auto"/>
            </w:pPr>
            <w:r/>
            <w:r>
              <w:rPr>
                <w:rFonts w:ascii="Aptos" w:hAnsi="Aptos" w:eastAsia="Aptos"/>
                <w:b w:val="0"/>
                <w:sz w:val="18"/>
              </w:rPr>
              <w:t>Valuation</w:t>
            </w:r>
          </w:p>
        </w:tc>
        <w:tc>
          <w:tcPr>
            <w:tcW w:type="dxa" w:w="8496"/>
            <w:vAlign w:val="center"/>
            <w:shd w:fill="FBF9F8"/>
          </w:tcPr>
          <w:p>
            <w:pPr>
              <w:spacing w:after="40" w:line="264" w:lineRule="auto"/>
            </w:pPr>
            <w:r/>
            <w:r>
              <w:rPr>
                <w:rFonts w:ascii="Aptos" w:hAnsi="Aptos" w:eastAsia="Aptos"/>
                <w:b w:val="0"/>
                <w:sz w:val="18"/>
              </w:rPr>
              <w:t>current_value_mid_eur_sqm, value_yoy_pct, value_2y_cagr, value_5y_cagr, value_volatility_8s, value_vs_peers</w:t>
            </w:r>
          </w:p>
        </w:tc>
      </w:tr>
      <w:tr>
        <w:tc>
          <w:tcPr>
            <w:tcW w:type="dxa" w:w="2448"/>
            <w:vAlign w:val="center"/>
          </w:tcPr>
          <w:p>
            <w:pPr>
              <w:spacing w:after="40" w:line="264" w:lineRule="auto"/>
            </w:pPr>
            <w:r/>
            <w:r>
              <w:rPr>
                <w:rFonts w:ascii="Aptos" w:hAnsi="Aptos" w:eastAsia="Aptos"/>
                <w:b w:val="0"/>
                <w:sz w:val="18"/>
              </w:rPr>
              <w:t>Liquidity and transactions</w:t>
            </w:r>
          </w:p>
        </w:tc>
        <w:tc>
          <w:tcPr>
            <w:tcW w:type="dxa" w:w="8496"/>
            <w:vAlign w:val="center"/>
          </w:tcPr>
          <w:p>
            <w:pPr>
              <w:spacing w:after="40" w:line="264" w:lineRule="auto"/>
            </w:pPr>
            <w:r/>
            <w:r>
              <w:rPr>
                <w:rFonts w:ascii="Aptos" w:hAnsi="Aptos" w:eastAsia="Aptos"/>
                <w:b w:val="0"/>
                <w:sz w:val="18"/>
              </w:rPr>
              <w:t>transactions_yoy_pct, transactions_per_1000_residents, turnover_rate, liquidity_score, thin_market_flag</w:t>
            </w:r>
          </w:p>
        </w:tc>
      </w:tr>
      <w:tr>
        <w:tc>
          <w:tcPr>
            <w:tcW w:type="dxa" w:w="2448"/>
            <w:vAlign w:val="center"/>
            <w:shd w:fill="FBF9F8"/>
          </w:tcPr>
          <w:p>
            <w:pPr>
              <w:spacing w:after="40" w:line="264" w:lineRule="auto"/>
            </w:pPr>
            <w:r/>
            <w:r>
              <w:rPr>
                <w:rFonts w:ascii="Aptos" w:hAnsi="Aptos" w:eastAsia="Aptos"/>
                <w:b w:val="0"/>
                <w:sz w:val="18"/>
              </w:rPr>
              <w:t>Demographics</w:t>
            </w:r>
          </w:p>
        </w:tc>
        <w:tc>
          <w:tcPr>
            <w:tcW w:type="dxa" w:w="8496"/>
            <w:vAlign w:val="center"/>
            <w:shd w:fill="FBF9F8"/>
          </w:tcPr>
          <w:p>
            <w:pPr>
              <w:spacing w:after="40" w:line="264" w:lineRule="auto"/>
            </w:pPr>
            <w:r/>
            <w:r>
              <w:rPr>
                <w:rFonts w:ascii="Aptos" w:hAnsi="Aptos" w:eastAsia="Aptos"/>
                <w:b w:val="0"/>
                <w:sz w:val="18"/>
              </w:rPr>
              <w:t>population_yoy_pct, population_5y_cagr, households_yoy_pct, working_age_share, old_age_index, foreign_resident_share</w:t>
            </w:r>
          </w:p>
        </w:tc>
      </w:tr>
      <w:tr>
        <w:tc>
          <w:tcPr>
            <w:tcW w:type="dxa" w:w="2448"/>
            <w:vAlign w:val="center"/>
          </w:tcPr>
          <w:p>
            <w:pPr>
              <w:spacing w:after="40" w:line="264" w:lineRule="auto"/>
            </w:pPr>
            <w:r/>
            <w:r>
              <w:rPr>
                <w:rFonts w:ascii="Aptos" w:hAnsi="Aptos" w:eastAsia="Aptos"/>
                <w:b w:val="0"/>
                <w:sz w:val="18"/>
              </w:rPr>
              <w:t>Tourism</w:t>
            </w:r>
          </w:p>
        </w:tc>
        <w:tc>
          <w:tcPr>
            <w:tcW w:type="dxa" w:w="8496"/>
            <w:vAlign w:val="center"/>
          </w:tcPr>
          <w:p>
            <w:pPr>
              <w:spacing w:after="40" w:line="264" w:lineRule="auto"/>
            </w:pPr>
            <w:r/>
            <w:r>
              <w:rPr>
                <w:rFonts w:ascii="Aptos" w:hAnsi="Aptos" w:eastAsia="Aptos"/>
                <w:b w:val="0"/>
                <w:sz w:val="18"/>
              </w:rPr>
              <w:t>tourism_intensity, tourism_yoy_pct, foreign_presences_share, seasonality_ratio, shoulder-season strength</w:t>
            </w:r>
          </w:p>
        </w:tc>
      </w:tr>
      <w:tr>
        <w:tc>
          <w:tcPr>
            <w:tcW w:type="dxa" w:w="2448"/>
            <w:vAlign w:val="center"/>
            <w:shd w:fill="FBF9F8"/>
          </w:tcPr>
          <w:p>
            <w:pPr>
              <w:spacing w:after="40" w:line="264" w:lineRule="auto"/>
            </w:pPr>
            <w:r/>
            <w:r>
              <w:rPr>
                <w:rFonts w:ascii="Aptos" w:hAnsi="Aptos" w:eastAsia="Aptos"/>
                <w:b w:val="0"/>
                <w:sz w:val="18"/>
              </w:rPr>
              <w:t>Rental</w:t>
            </w:r>
          </w:p>
        </w:tc>
        <w:tc>
          <w:tcPr>
            <w:tcW w:type="dxa" w:w="8496"/>
            <w:vAlign w:val="center"/>
            <w:shd w:fill="FBF9F8"/>
          </w:tcPr>
          <w:p>
            <w:pPr>
              <w:spacing w:after="40" w:line="264" w:lineRule="auto"/>
            </w:pPr>
            <w:r/>
            <w:r>
              <w:rPr>
                <w:rFonts w:ascii="Aptos" w:hAnsi="Aptos" w:eastAsia="Aptos"/>
                <w:b w:val="0"/>
                <w:sz w:val="18"/>
              </w:rPr>
              <w:t>long_term_rent_eur_sqm_month, rent_yoy_pct, gross_yield_long_term, short_term_adr_eur, occupancy_rate, gross_yield_short_term</w:t>
            </w:r>
          </w:p>
        </w:tc>
      </w:tr>
      <w:tr>
        <w:tc>
          <w:tcPr>
            <w:tcW w:type="dxa" w:w="2448"/>
            <w:vAlign w:val="center"/>
          </w:tcPr>
          <w:p>
            <w:pPr>
              <w:spacing w:after="40" w:line="264" w:lineRule="auto"/>
            </w:pPr>
            <w:r/>
            <w:r>
              <w:rPr>
                <w:rFonts w:ascii="Aptos" w:hAnsi="Aptos" w:eastAsia="Aptos"/>
                <w:b w:val="0"/>
                <w:sz w:val="18"/>
              </w:rPr>
              <w:t>Spatial</w:t>
            </w:r>
          </w:p>
        </w:tc>
        <w:tc>
          <w:tcPr>
            <w:tcW w:type="dxa" w:w="8496"/>
            <w:vAlign w:val="center"/>
          </w:tcPr>
          <w:p>
            <w:pPr>
              <w:spacing w:after="40" w:line="264" w:lineRule="auto"/>
            </w:pPr>
            <w:r/>
            <w:r>
              <w:rPr>
                <w:rFonts w:ascii="Aptos" w:hAnsi="Aptos" w:eastAsia="Aptos"/>
                <w:b w:val="0"/>
                <w:sz w:val="18"/>
              </w:rPr>
              <w:t>neighbor_mean_value, neighbor_mean_growth, travel-time/accessibility measures, coastal and mountain flags</w:t>
            </w:r>
          </w:p>
        </w:tc>
      </w:tr>
      <w:tr>
        <w:tc>
          <w:tcPr>
            <w:tcW w:type="dxa" w:w="2448"/>
            <w:vAlign w:val="center"/>
            <w:shd w:fill="FBF9F8"/>
          </w:tcPr>
          <w:p>
            <w:pPr>
              <w:spacing w:after="40" w:line="264" w:lineRule="auto"/>
            </w:pPr>
            <w:r/>
            <w:r>
              <w:rPr>
                <w:rFonts w:ascii="Aptos" w:hAnsi="Aptos" w:eastAsia="Aptos"/>
                <w:b w:val="0"/>
                <w:sz w:val="18"/>
              </w:rPr>
              <w:t>Risk and confidence</w:t>
            </w:r>
          </w:p>
        </w:tc>
        <w:tc>
          <w:tcPr>
            <w:tcW w:type="dxa" w:w="8496"/>
            <w:vAlign w:val="center"/>
            <w:shd w:fill="FBF9F8"/>
          </w:tcPr>
          <w:p>
            <w:pPr>
              <w:spacing w:after="40" w:line="264" w:lineRule="auto"/>
            </w:pPr>
            <w:r/>
            <w:r>
              <w:rPr>
                <w:rFonts w:ascii="Aptos" w:hAnsi="Aptos" w:eastAsia="Aptos"/>
                <w:b w:val="0"/>
                <w:sz w:val="18"/>
              </w:rPr>
              <w:t>regulatory_risk_score, seasonality_risk_score, demographic_risk_score, data_sparsity_score, confidence_input_score</w:t>
            </w:r>
          </w:p>
        </w:tc>
      </w:tr>
    </w:tbl>
    <w:p>
      <w:pPr>
        <w:pStyle w:val="Heading2"/>
        <w:spacing w:after="40" w:line="276" w:lineRule="auto"/>
      </w:pPr>
      <w:r>
        <w:t>Targets</w:t>
      </w:r>
    </w:p>
    <w:p>
      <w:pPr>
        <w:spacing w:after="40" w:line="264" w:lineRule="auto"/>
        <w:ind w:left="283" w:hanging="198"/>
      </w:pPr>
      <w:r>
        <w:rPr>
          <w:b/>
        </w:rPr>
        <w:t xml:space="preserve">• </w:t>
      </w:r>
      <w:r>
        <w:t>Appreciation target: 12-month percentage change in municipality residential euro per square meter.</w:t>
      </w:r>
    </w:p>
    <w:p>
      <w:pPr>
        <w:spacing w:after="40" w:line="264" w:lineRule="auto"/>
        <w:ind w:left="283" w:hanging="198"/>
      </w:pPr>
      <w:r>
        <w:rPr>
          <w:b/>
        </w:rPr>
        <w:t xml:space="preserve">• </w:t>
      </w:r>
      <w:r>
        <w:t>Rental target: forecast gross long-term rental yield over the next 12 months, with optional net yield after cost assumptions.</w:t>
      </w:r>
    </w:p>
    <w:p>
      <w:pPr>
        <w:spacing w:after="40" w:line="264" w:lineRule="auto"/>
        <w:ind w:left="283" w:hanging="198"/>
      </w:pPr>
      <w:r>
        <w:rPr>
          <w:b/>
        </w:rPr>
        <w:t xml:space="preserve">• </w:t>
      </w:r>
      <w:r>
        <w:t>Optional later target: short-term-rental yield where destination data is sufficiently strong.</w:t>
      </w:r>
    </w:p>
    <w:p>
      <w:pPr>
        <w:pStyle w:val="Heading1"/>
        <w:spacing w:after="80" w:line="276" w:lineRule="auto"/>
      </w:pPr>
      <w:r>
        <w:t>8. API Specification</w:t>
      </w:r>
    </w:p>
    <w:tbl>
      <w:tblPr>
        <w:tblW w:type="auto" w:w="0"/>
        <w:jc w:val="center"/>
        <w:tblLayout w:type="fixed"/>
        <w:tblLook w:firstColumn="1" w:firstRow="1" w:lastColumn="0" w:lastRow="0" w:noHBand="0" w:noVBand="1" w:val="04A0"/>
      </w:tblPr>
      <w:tblGrid>
        <w:gridCol w:w="3168"/>
        <w:gridCol w:w="1296"/>
        <w:gridCol w:w="6624"/>
      </w:tblGrid>
      <w:tr>
        <w:tc>
          <w:tcPr>
            <w:tcW w:type="dxa" w:w="3324"/>
            <w:vAlign w:val="center"/>
            <w:shd w:fill="A14E2A"/>
          </w:tcPr>
          <w:p>
            <w:pPr>
              <w:spacing w:after="40" w:line="264" w:lineRule="auto"/>
            </w:pPr>
            <w:r/>
            <w:r>
              <w:rPr>
                <w:rFonts w:ascii="Aptos" w:hAnsi="Aptos" w:eastAsia="Aptos"/>
                <w:b/>
                <w:color w:val="FFFFFF"/>
                <w:sz w:val="20"/>
              </w:rPr>
              <w:t>Endpoint</w:t>
            </w:r>
          </w:p>
        </w:tc>
        <w:tc>
          <w:tcPr>
            <w:tcW w:type="dxa" w:w="3324"/>
            <w:vAlign w:val="center"/>
            <w:shd w:fill="A14E2A"/>
          </w:tcPr>
          <w:p>
            <w:pPr>
              <w:spacing w:after="40" w:line="264" w:lineRule="auto"/>
            </w:pPr>
            <w:r/>
            <w:r>
              <w:rPr>
                <w:rFonts w:ascii="Aptos" w:hAnsi="Aptos" w:eastAsia="Aptos"/>
                <w:b/>
                <w:color w:val="FFFFFF"/>
                <w:sz w:val="20"/>
              </w:rPr>
              <w:t>Method</w:t>
            </w:r>
          </w:p>
        </w:tc>
        <w:tc>
          <w:tcPr>
            <w:tcW w:type="dxa" w:w="3324"/>
            <w:vAlign w:val="center"/>
            <w:shd w:fill="A14E2A"/>
          </w:tcPr>
          <w:p>
            <w:pPr>
              <w:spacing w:after="40" w:line="264" w:lineRule="auto"/>
            </w:pPr>
            <w:r/>
            <w:r>
              <w:rPr>
                <w:rFonts w:ascii="Aptos" w:hAnsi="Aptos" w:eastAsia="Aptos"/>
                <w:b/>
                <w:color w:val="FFFFFF"/>
                <w:sz w:val="20"/>
              </w:rPr>
              <w:t>Purpose</w:t>
            </w:r>
          </w:p>
        </w:tc>
      </w:tr>
      <w:tr>
        <w:tc>
          <w:tcPr>
            <w:tcW w:type="dxa" w:w="3168"/>
            <w:vAlign w:val="center"/>
            <w:shd w:fill="FBF9F8"/>
          </w:tcPr>
          <w:p>
            <w:pPr>
              <w:spacing w:after="40" w:line="264" w:lineRule="auto"/>
            </w:pPr>
            <w:r/>
            <w:r>
              <w:rPr>
                <w:rFonts w:ascii="Aptos" w:hAnsi="Aptos" w:eastAsia="Aptos"/>
                <w:b w:val="0"/>
                <w:sz w:val="18"/>
              </w:rPr>
              <w:t>/api/map/layer</w:t>
            </w:r>
          </w:p>
        </w:tc>
        <w:tc>
          <w:tcPr>
            <w:tcW w:type="dxa" w:w="1296"/>
            <w:vAlign w:val="center"/>
            <w:shd w:fill="FBF9F8"/>
          </w:tcPr>
          <w:p>
            <w:pPr>
              <w:spacing w:after="40" w:line="264" w:lineRule="auto"/>
            </w:pPr>
            <w:r/>
            <w:r>
              <w:rPr>
                <w:rFonts w:ascii="Aptos" w:hAnsi="Aptos" w:eastAsia="Aptos"/>
                <w:b w:val="0"/>
                <w:sz w:val="18"/>
              </w:rPr>
              <w:t>GET</w:t>
            </w:r>
          </w:p>
        </w:tc>
        <w:tc>
          <w:tcPr>
            <w:tcW w:type="dxa" w:w="6624"/>
            <w:vAlign w:val="center"/>
            <w:shd w:fill="FBF9F8"/>
          </w:tcPr>
          <w:p>
            <w:pPr>
              <w:spacing w:after="40" w:line="264" w:lineRule="auto"/>
            </w:pPr>
            <w:r/>
            <w:r>
              <w:rPr>
                <w:rFonts w:ascii="Aptos" w:hAnsi="Aptos" w:eastAsia="Aptos"/>
                <w:b w:val="0"/>
                <w:sz w:val="18"/>
              </w:rPr>
              <w:t>Returns choropleth values by selected metric, horizon, segment, and filters.</w:t>
            </w:r>
          </w:p>
        </w:tc>
      </w:tr>
      <w:tr>
        <w:tc>
          <w:tcPr>
            <w:tcW w:type="dxa" w:w="3168"/>
            <w:vAlign w:val="center"/>
          </w:tcPr>
          <w:p>
            <w:pPr>
              <w:spacing w:after="40" w:line="264" w:lineRule="auto"/>
            </w:pPr>
            <w:r/>
            <w:r>
              <w:rPr>
                <w:rFonts w:ascii="Aptos" w:hAnsi="Aptos" w:eastAsia="Aptos"/>
                <w:b w:val="0"/>
                <w:sz w:val="18"/>
              </w:rPr>
              <w:t>/api/municipality/[istatCode]</w:t>
            </w:r>
          </w:p>
        </w:tc>
        <w:tc>
          <w:tcPr>
            <w:tcW w:type="dxa" w:w="1296"/>
            <w:vAlign w:val="center"/>
          </w:tcPr>
          <w:p>
            <w:pPr>
              <w:spacing w:after="40" w:line="264" w:lineRule="auto"/>
            </w:pPr>
            <w:r/>
            <w:r>
              <w:rPr>
                <w:rFonts w:ascii="Aptos" w:hAnsi="Aptos" w:eastAsia="Aptos"/>
                <w:b w:val="0"/>
                <w:sz w:val="18"/>
              </w:rPr>
              <w:t>GET</w:t>
            </w:r>
          </w:p>
        </w:tc>
        <w:tc>
          <w:tcPr>
            <w:tcW w:type="dxa" w:w="6624"/>
            <w:vAlign w:val="center"/>
          </w:tcPr>
          <w:p>
            <w:pPr>
              <w:spacing w:after="40" w:line="264" w:lineRule="auto"/>
            </w:pPr>
            <w:r/>
            <w:r>
              <w:rPr>
                <w:rFonts w:ascii="Aptos" w:hAnsi="Aptos" w:eastAsia="Aptos"/>
                <w:b w:val="0"/>
                <w:sz w:val="18"/>
              </w:rPr>
              <w:t>Returns municipality detail with current values, forecasts, trends, scores, drivers, and risk flags.</w:t>
            </w:r>
          </w:p>
        </w:tc>
      </w:tr>
      <w:tr>
        <w:tc>
          <w:tcPr>
            <w:tcW w:type="dxa" w:w="3168"/>
            <w:vAlign w:val="center"/>
            <w:shd w:fill="FBF9F8"/>
          </w:tcPr>
          <w:p>
            <w:pPr>
              <w:spacing w:after="40" w:line="264" w:lineRule="auto"/>
            </w:pPr>
            <w:r/>
            <w:r>
              <w:rPr>
                <w:rFonts w:ascii="Aptos" w:hAnsi="Aptos" w:eastAsia="Aptos"/>
                <w:b w:val="0"/>
                <w:sz w:val="18"/>
              </w:rPr>
              <w:t>/api/rankings</w:t>
            </w:r>
          </w:p>
        </w:tc>
        <w:tc>
          <w:tcPr>
            <w:tcW w:type="dxa" w:w="1296"/>
            <w:vAlign w:val="center"/>
            <w:shd w:fill="FBF9F8"/>
          </w:tcPr>
          <w:p>
            <w:pPr>
              <w:spacing w:after="40" w:line="264" w:lineRule="auto"/>
            </w:pPr>
            <w:r/>
            <w:r>
              <w:rPr>
                <w:rFonts w:ascii="Aptos" w:hAnsi="Aptos" w:eastAsia="Aptos"/>
                <w:b w:val="0"/>
                <w:sz w:val="18"/>
              </w:rPr>
              <w:t>GET</w:t>
            </w:r>
          </w:p>
        </w:tc>
        <w:tc>
          <w:tcPr>
            <w:tcW w:type="dxa" w:w="6624"/>
            <w:vAlign w:val="center"/>
            <w:shd w:fill="FBF9F8"/>
          </w:tcPr>
          <w:p>
            <w:pPr>
              <w:spacing w:after="40" w:line="264" w:lineRule="auto"/>
            </w:pPr>
            <w:r/>
            <w:r>
              <w:rPr>
                <w:rFonts w:ascii="Aptos" w:hAnsi="Aptos" w:eastAsia="Aptos"/>
                <w:b w:val="0"/>
                <w:sz w:val="18"/>
              </w:rPr>
              <w:t>Returns filtered ranking tables by strategy, region, confidence, risk, and liquidity thresholds.</w:t>
            </w:r>
          </w:p>
        </w:tc>
      </w:tr>
      <w:tr>
        <w:tc>
          <w:tcPr>
            <w:tcW w:type="dxa" w:w="3168"/>
            <w:vAlign w:val="center"/>
          </w:tcPr>
          <w:p>
            <w:pPr>
              <w:spacing w:after="40" w:line="264" w:lineRule="auto"/>
            </w:pPr>
            <w:r/>
            <w:r>
              <w:rPr>
                <w:rFonts w:ascii="Aptos" w:hAnsi="Aptos" w:eastAsia="Aptos"/>
                <w:b w:val="0"/>
                <w:sz w:val="18"/>
              </w:rPr>
              <w:t>/api/compare</w:t>
            </w:r>
          </w:p>
        </w:tc>
        <w:tc>
          <w:tcPr>
            <w:tcW w:type="dxa" w:w="1296"/>
            <w:vAlign w:val="center"/>
          </w:tcPr>
          <w:p>
            <w:pPr>
              <w:spacing w:after="40" w:line="264" w:lineRule="auto"/>
            </w:pPr>
            <w:r/>
            <w:r>
              <w:rPr>
                <w:rFonts w:ascii="Aptos" w:hAnsi="Aptos" w:eastAsia="Aptos"/>
                <w:b w:val="0"/>
                <w:sz w:val="18"/>
              </w:rPr>
              <w:t>GET</w:t>
            </w:r>
          </w:p>
        </w:tc>
        <w:tc>
          <w:tcPr>
            <w:tcW w:type="dxa" w:w="6624"/>
            <w:vAlign w:val="center"/>
          </w:tcPr>
          <w:p>
            <w:pPr>
              <w:spacing w:after="40" w:line="264" w:lineRule="auto"/>
            </w:pPr>
            <w:r/>
            <w:r>
              <w:rPr>
                <w:rFonts w:ascii="Aptos" w:hAnsi="Aptos" w:eastAsia="Aptos"/>
                <w:b w:val="0"/>
                <w:sz w:val="18"/>
              </w:rPr>
              <w:t>Returns side-by-side comparisons for selected municipalities.</w:t>
            </w:r>
          </w:p>
        </w:tc>
      </w:tr>
      <w:tr>
        <w:tc>
          <w:tcPr>
            <w:tcW w:type="dxa" w:w="3168"/>
            <w:vAlign w:val="center"/>
            <w:shd w:fill="FBF9F8"/>
          </w:tcPr>
          <w:p>
            <w:pPr>
              <w:spacing w:after="40" w:line="264" w:lineRule="auto"/>
            </w:pPr>
            <w:r/>
            <w:r>
              <w:rPr>
                <w:rFonts w:ascii="Aptos" w:hAnsi="Aptos" w:eastAsia="Aptos"/>
                <w:b w:val="0"/>
                <w:sz w:val="18"/>
              </w:rPr>
              <w:t>/api/filters</w:t>
            </w:r>
          </w:p>
        </w:tc>
        <w:tc>
          <w:tcPr>
            <w:tcW w:type="dxa" w:w="1296"/>
            <w:vAlign w:val="center"/>
            <w:shd w:fill="FBF9F8"/>
          </w:tcPr>
          <w:p>
            <w:pPr>
              <w:spacing w:after="40" w:line="264" w:lineRule="auto"/>
            </w:pPr>
            <w:r/>
            <w:r>
              <w:rPr>
                <w:rFonts w:ascii="Aptos" w:hAnsi="Aptos" w:eastAsia="Aptos"/>
                <w:b w:val="0"/>
                <w:sz w:val="18"/>
              </w:rPr>
              <w:t>GET</w:t>
            </w:r>
          </w:p>
        </w:tc>
        <w:tc>
          <w:tcPr>
            <w:tcW w:type="dxa" w:w="6624"/>
            <w:vAlign w:val="center"/>
            <w:shd w:fill="FBF9F8"/>
          </w:tcPr>
          <w:p>
            <w:pPr>
              <w:spacing w:after="40" w:line="264" w:lineRule="auto"/>
            </w:pPr>
            <w:r/>
            <w:r>
              <w:rPr>
                <w:rFonts w:ascii="Aptos" w:hAnsi="Aptos" w:eastAsia="Aptos"/>
                <w:b w:val="0"/>
                <w:sz w:val="18"/>
              </w:rPr>
              <w:t>Returns valid regions, provinces, strategies, and property segments for UI filters.</w:t>
            </w:r>
          </w:p>
        </w:tc>
      </w:tr>
      <w:tr>
        <w:tc>
          <w:tcPr>
            <w:tcW w:type="dxa" w:w="3168"/>
            <w:vAlign w:val="center"/>
          </w:tcPr>
          <w:p>
            <w:pPr>
              <w:spacing w:after="40" w:line="264" w:lineRule="auto"/>
            </w:pPr>
            <w:r/>
            <w:r>
              <w:rPr>
                <w:rFonts w:ascii="Aptos" w:hAnsi="Aptos" w:eastAsia="Aptos"/>
                <w:b w:val="0"/>
                <w:sz w:val="18"/>
              </w:rPr>
              <w:t>/api/admin/ingest/*</w:t>
            </w:r>
          </w:p>
        </w:tc>
        <w:tc>
          <w:tcPr>
            <w:tcW w:type="dxa" w:w="1296"/>
            <w:vAlign w:val="center"/>
          </w:tcPr>
          <w:p>
            <w:pPr>
              <w:spacing w:after="40" w:line="264" w:lineRule="auto"/>
            </w:pPr>
            <w:r/>
            <w:r>
              <w:rPr>
                <w:rFonts w:ascii="Aptos" w:hAnsi="Aptos" w:eastAsia="Aptos"/>
                <w:b w:val="0"/>
                <w:sz w:val="18"/>
              </w:rPr>
              <w:t>POST</w:t>
            </w:r>
          </w:p>
        </w:tc>
        <w:tc>
          <w:tcPr>
            <w:tcW w:type="dxa" w:w="6624"/>
            <w:vAlign w:val="center"/>
          </w:tcPr>
          <w:p>
            <w:pPr>
              <w:spacing w:after="40" w:line="264" w:lineRule="auto"/>
            </w:pPr>
            <w:r/>
            <w:r>
              <w:rPr>
                <w:rFonts w:ascii="Aptos" w:hAnsi="Aptos" w:eastAsia="Aptos"/>
                <w:b w:val="0"/>
                <w:sz w:val="18"/>
              </w:rPr>
              <w:t>Protected endpoints to trigger ingestion jobs.</w:t>
            </w:r>
          </w:p>
        </w:tc>
      </w:tr>
      <w:tr>
        <w:tc>
          <w:tcPr>
            <w:tcW w:type="dxa" w:w="3168"/>
            <w:vAlign w:val="center"/>
            <w:shd w:fill="FBF9F8"/>
          </w:tcPr>
          <w:p>
            <w:pPr>
              <w:spacing w:after="40" w:line="264" w:lineRule="auto"/>
            </w:pPr>
            <w:r/>
            <w:r>
              <w:rPr>
                <w:rFonts w:ascii="Aptos" w:hAnsi="Aptos" w:eastAsia="Aptos"/>
                <w:b w:val="0"/>
                <w:sz w:val="18"/>
              </w:rPr>
              <w:t>/api/admin/model/*</w:t>
            </w:r>
          </w:p>
        </w:tc>
        <w:tc>
          <w:tcPr>
            <w:tcW w:type="dxa" w:w="1296"/>
            <w:vAlign w:val="center"/>
            <w:shd w:fill="FBF9F8"/>
          </w:tcPr>
          <w:p>
            <w:pPr>
              <w:spacing w:after="40" w:line="264" w:lineRule="auto"/>
            </w:pPr>
            <w:r/>
            <w:r>
              <w:rPr>
                <w:rFonts w:ascii="Aptos" w:hAnsi="Aptos" w:eastAsia="Aptos"/>
                <w:b w:val="0"/>
                <w:sz w:val="18"/>
              </w:rPr>
              <w:t>POST</w:t>
            </w:r>
          </w:p>
        </w:tc>
        <w:tc>
          <w:tcPr>
            <w:tcW w:type="dxa" w:w="6624"/>
            <w:vAlign w:val="center"/>
            <w:shd w:fill="FBF9F8"/>
          </w:tcPr>
          <w:p>
            <w:pPr>
              <w:spacing w:after="40" w:line="264" w:lineRule="auto"/>
            </w:pPr>
            <w:r/>
            <w:r>
              <w:rPr>
                <w:rFonts w:ascii="Aptos" w:hAnsi="Aptos" w:eastAsia="Aptos"/>
                <w:b w:val="0"/>
                <w:sz w:val="18"/>
              </w:rPr>
              <w:t>Protected endpoints to build features, train models, and publish scoring runs.</w:t>
            </w:r>
          </w:p>
        </w:tc>
      </w:tr>
    </w:tbl>
    <w:p>
      <w:pPr>
        <w:pStyle w:val="Heading1"/>
        <w:spacing w:after="80" w:line="276" w:lineRule="auto"/>
      </w:pPr>
      <w:r>
        <w:t>9. Front-End Application Structure</w:t>
      </w:r>
    </w:p>
    <w:p>
      <w:pPr>
        <w:spacing w:after="40" w:line="264" w:lineRule="auto"/>
        <w:ind w:left="283" w:hanging="198"/>
      </w:pPr>
      <w:r>
        <w:rPr>
          <w:b/>
        </w:rPr>
        <w:t xml:space="preserve">• </w:t>
      </w:r>
      <w:r>
        <w:t>Homepage: map preview, top municipalities, and methodology teaser.</w:t>
      </w:r>
    </w:p>
    <w:p>
      <w:pPr>
        <w:spacing w:after="40" w:line="264" w:lineRule="auto"/>
        <w:ind w:left="283" w:hanging="198"/>
      </w:pPr>
      <w:r>
        <w:rPr>
          <w:b/>
        </w:rPr>
        <w:t xml:space="preserve">• </w:t>
      </w:r>
      <w:r>
        <w:t>Map page: full-screen choropleth with filters, metric toggle, and municipality drawer.</w:t>
      </w:r>
    </w:p>
    <w:p>
      <w:pPr>
        <w:spacing w:after="40" w:line="264" w:lineRule="auto"/>
        <w:ind w:left="283" w:hanging="198"/>
      </w:pPr>
      <w:r>
        <w:rPr>
          <w:b/>
        </w:rPr>
        <w:t xml:space="preserve">• </w:t>
      </w:r>
      <w:r>
        <w:t>Municipality detail page: trend charts for values, transactions, tourism, demographics, and rental signals.</w:t>
      </w:r>
    </w:p>
    <w:p>
      <w:pPr>
        <w:spacing w:after="40" w:line="264" w:lineRule="auto"/>
        <w:ind w:left="283" w:hanging="198"/>
      </w:pPr>
      <w:r>
        <w:rPr>
          <w:b/>
        </w:rPr>
        <w:t xml:space="preserve">• </w:t>
      </w:r>
      <w:r>
        <w:t>Rankings page: sortable, filterable ranking table.</w:t>
      </w:r>
    </w:p>
    <w:p>
      <w:pPr>
        <w:spacing w:after="40" w:line="264" w:lineRule="auto"/>
        <w:ind w:left="283" w:hanging="198"/>
      </w:pPr>
      <w:r>
        <w:rPr>
          <w:b/>
        </w:rPr>
        <w:t xml:space="preserve">• </w:t>
      </w:r>
      <w:r>
        <w:t>Compare page: side-by-side municipality comparisons.</w:t>
      </w:r>
    </w:p>
    <w:p>
      <w:pPr>
        <w:spacing w:after="40" w:line="264" w:lineRule="auto"/>
        <w:ind w:left="283" w:hanging="198"/>
      </w:pPr>
      <w:r>
        <w:rPr>
          <w:b/>
        </w:rPr>
        <w:t xml:space="preserve">• </w:t>
      </w:r>
      <w:r>
        <w:t>Methodology page: plain-language explanation of sources, features, model logic, and limitations.</w:t>
      </w:r>
    </w:p>
    <w:p>
      <w:pPr>
        <w:spacing w:after="40" w:line="264" w:lineRule="auto"/>
        <w:ind w:left="283" w:hanging="198"/>
      </w:pPr>
      <w:r>
        <w:rPr>
          <w:b/>
        </w:rPr>
        <w:t xml:space="preserve">• </w:t>
      </w:r>
      <w:r>
        <w:t>Admin page: ingestion status, failed rows, model runs, and manual overrides.</w:t>
      </w:r>
    </w:p>
    <w:p>
      <w:pPr>
        <w:pStyle w:val="Heading2"/>
        <w:spacing w:after="40" w:line="276" w:lineRule="auto"/>
      </w:pPr>
      <w:r>
        <w:t>Component groups</w:t>
      </w:r>
    </w:p>
    <w:p>
      <w:pPr>
        <w:spacing w:after="40" w:line="264" w:lineRule="auto"/>
        <w:ind w:left="283" w:hanging="198"/>
      </w:pPr>
      <w:r>
        <w:rPr>
          <w:b/>
        </w:rPr>
        <w:t xml:space="preserve">• </w:t>
      </w:r>
      <w:r>
        <w:t>Map components: ChoroplethMap, MapLegend, MetricToggle, FilterSidebar, MunicipalityDrawer.</w:t>
      </w:r>
    </w:p>
    <w:p>
      <w:pPr>
        <w:spacing w:after="40" w:line="264" w:lineRule="auto"/>
        <w:ind w:left="283" w:hanging="198"/>
      </w:pPr>
      <w:r>
        <w:rPr>
          <w:b/>
        </w:rPr>
        <w:t xml:space="preserve">• </w:t>
      </w:r>
      <w:r>
        <w:t>Municipality components: MunicipalityHeader, ScoreCards, DriversAndRisks, TrendChart, PeerComparison.</w:t>
      </w:r>
    </w:p>
    <w:p>
      <w:pPr>
        <w:spacing w:after="40" w:line="264" w:lineRule="auto"/>
        <w:ind w:left="283" w:hanging="198"/>
      </w:pPr>
      <w:r>
        <w:rPr>
          <w:b/>
        </w:rPr>
        <w:t xml:space="preserve">• </w:t>
      </w:r>
      <w:r>
        <w:t>Shared UI: Badge, StatCard, SegmentedControl, and export controls.</w:t>
      </w:r>
    </w:p>
    <w:p>
      <w:pPr>
        <w:pStyle w:val="Heading1"/>
        <w:spacing w:after="80" w:line="276" w:lineRule="auto"/>
      </w:pPr>
      <w:r>
        <w:t>10. Ingestion and Refresh Architecture</w:t>
      </w:r>
    </w:p>
    <w:p>
      <w:pPr>
        <w:spacing w:after="40" w:line="264" w:lineRule="auto"/>
        <w:ind w:left="283" w:hanging="198"/>
      </w:pPr>
      <w:r>
        <w:rPr>
          <w:b/>
        </w:rPr>
        <w:t xml:space="preserve">• </w:t>
      </w:r>
      <w:r>
        <w:t>TypeScript ingestion package with common utilities for logging, CSV parsing, Excel parsing, geospatial normalization, and upsert behavior.</w:t>
      </w:r>
    </w:p>
    <w:p>
      <w:pPr>
        <w:spacing w:after="40" w:line="264" w:lineRule="auto"/>
        <w:ind w:left="283" w:hanging="198"/>
      </w:pPr>
      <w:r>
        <w:rPr>
          <w:b/>
        </w:rPr>
        <w:t xml:space="preserve">• </w:t>
      </w:r>
      <w:r>
        <w:t>Source loaders grouped by domain: omi, istat, rents, regulations, and scheduled jobs.</w:t>
      </w:r>
    </w:p>
    <w:p>
      <w:pPr>
        <w:spacing w:after="40" w:line="264" w:lineRule="auto"/>
        <w:ind w:left="283" w:hanging="198"/>
      </w:pPr>
      <w:r>
        <w:rPr>
          <w:b/>
        </w:rPr>
        <w:t xml:space="preserve">• </w:t>
      </w:r>
      <w:r>
        <w:t>All runs written to admin.ingestion_runs with source version, rows loaded, rows rejected, and error notes.</w:t>
      </w:r>
    </w:p>
    <w:p>
      <w:pPr>
        <w:pStyle w:val="Heading2"/>
        <w:spacing w:after="40" w:line="276" w:lineRule="auto"/>
      </w:pPr>
      <w:r>
        <w:t>Refresh cadence</w:t>
      </w:r>
    </w:p>
    <w:tbl>
      <w:tblPr>
        <w:tblW w:type="auto" w:w="0"/>
        <w:jc w:val="center"/>
        <w:tblLayout w:type="fixed"/>
        <w:tblLook w:firstColumn="1" w:firstRow="1" w:lastColumn="0" w:lastRow="0" w:noHBand="0" w:noVBand="1" w:val="04A0"/>
      </w:tblPr>
      <w:tblGrid>
        <w:gridCol w:w="1440"/>
        <w:gridCol w:w="2880"/>
        <w:gridCol w:w="6768"/>
      </w:tblGrid>
      <w:tr>
        <w:tc>
          <w:tcPr>
            <w:tcW w:type="dxa" w:w="3324"/>
            <w:vAlign w:val="center"/>
            <w:shd w:fill="A14E2A"/>
          </w:tcPr>
          <w:p>
            <w:pPr>
              <w:spacing w:after="40" w:line="264" w:lineRule="auto"/>
            </w:pPr>
            <w:r/>
            <w:r>
              <w:rPr>
                <w:rFonts w:ascii="Aptos" w:hAnsi="Aptos" w:eastAsia="Aptos"/>
                <w:b/>
                <w:color w:val="FFFFFF"/>
                <w:sz w:val="20"/>
              </w:rPr>
              <w:t>Cadence</w:t>
            </w:r>
          </w:p>
        </w:tc>
        <w:tc>
          <w:tcPr>
            <w:tcW w:type="dxa" w:w="3324"/>
            <w:vAlign w:val="center"/>
            <w:shd w:fill="A14E2A"/>
          </w:tcPr>
          <w:p>
            <w:pPr>
              <w:spacing w:after="40" w:line="264" w:lineRule="auto"/>
            </w:pPr>
            <w:r/>
            <w:r>
              <w:rPr>
                <w:rFonts w:ascii="Aptos" w:hAnsi="Aptos" w:eastAsia="Aptos"/>
                <w:b/>
                <w:color w:val="FFFFFF"/>
                <w:sz w:val="20"/>
              </w:rPr>
              <w:t>Sources</w:t>
            </w:r>
          </w:p>
        </w:tc>
        <w:tc>
          <w:tcPr>
            <w:tcW w:type="dxa" w:w="3324"/>
            <w:vAlign w:val="center"/>
            <w:shd w:fill="A14E2A"/>
          </w:tcPr>
          <w:p>
            <w:pPr>
              <w:spacing w:after="40" w:line="264" w:lineRule="auto"/>
            </w:pPr>
            <w:r/>
            <w:r>
              <w:rPr>
                <w:rFonts w:ascii="Aptos" w:hAnsi="Aptos" w:eastAsia="Aptos"/>
                <w:b/>
                <w:color w:val="FFFFFF"/>
                <w:sz w:val="20"/>
              </w:rPr>
              <w:t>Typical tasks</w:t>
            </w:r>
          </w:p>
        </w:tc>
      </w:tr>
      <w:tr>
        <w:tc>
          <w:tcPr>
            <w:tcW w:type="dxa" w:w="1440"/>
            <w:vAlign w:val="center"/>
            <w:shd w:fill="FBF9F8"/>
          </w:tcPr>
          <w:p>
            <w:pPr>
              <w:spacing w:after="40" w:line="264" w:lineRule="auto"/>
            </w:pPr>
            <w:r/>
            <w:r>
              <w:rPr>
                <w:rFonts w:ascii="Aptos" w:hAnsi="Aptos" w:eastAsia="Aptos"/>
                <w:b w:val="0"/>
                <w:sz w:val="18"/>
              </w:rPr>
              <w:t>Daily</w:t>
            </w:r>
          </w:p>
        </w:tc>
        <w:tc>
          <w:tcPr>
            <w:tcW w:type="dxa" w:w="2880"/>
            <w:vAlign w:val="center"/>
            <w:shd w:fill="FBF9F8"/>
          </w:tcPr>
          <w:p>
            <w:pPr>
              <w:spacing w:after="40" w:line="264" w:lineRule="auto"/>
            </w:pPr>
            <w:r/>
            <w:r>
              <w:rPr>
                <w:rFonts w:ascii="Aptos" w:hAnsi="Aptos" w:eastAsia="Aptos"/>
                <w:b w:val="0"/>
                <w:sz w:val="18"/>
              </w:rPr>
              <w:t>Rental feeds, regulation notes</w:t>
            </w:r>
          </w:p>
        </w:tc>
        <w:tc>
          <w:tcPr>
            <w:tcW w:type="dxa" w:w="6768"/>
            <w:vAlign w:val="center"/>
            <w:shd w:fill="FBF9F8"/>
          </w:tcPr>
          <w:p>
            <w:pPr>
              <w:spacing w:after="40" w:line="264" w:lineRule="auto"/>
            </w:pPr>
            <w:r/>
            <w:r>
              <w:rPr>
                <w:rFonts w:ascii="Aptos" w:hAnsi="Aptos" w:eastAsia="Aptos"/>
                <w:b w:val="0"/>
                <w:sz w:val="18"/>
              </w:rPr>
              <w:t>Load new rental observations, refresh regulation snapshots, and validate changes.</w:t>
            </w:r>
          </w:p>
        </w:tc>
      </w:tr>
      <w:tr>
        <w:tc>
          <w:tcPr>
            <w:tcW w:type="dxa" w:w="1440"/>
            <w:vAlign w:val="center"/>
          </w:tcPr>
          <w:p>
            <w:pPr>
              <w:spacing w:after="40" w:line="264" w:lineRule="auto"/>
            </w:pPr>
            <w:r/>
            <w:r>
              <w:rPr>
                <w:rFonts w:ascii="Aptos" w:hAnsi="Aptos" w:eastAsia="Aptos"/>
                <w:b w:val="0"/>
                <w:sz w:val="18"/>
              </w:rPr>
              <w:t>Monthly</w:t>
            </w:r>
          </w:p>
        </w:tc>
        <w:tc>
          <w:tcPr>
            <w:tcW w:type="dxa" w:w="2880"/>
            <w:vAlign w:val="center"/>
          </w:tcPr>
          <w:p>
            <w:pPr>
              <w:spacing w:after="40" w:line="264" w:lineRule="auto"/>
            </w:pPr>
            <w:r/>
            <w:r>
              <w:rPr>
                <w:rFonts w:ascii="Aptos" w:hAnsi="Aptos" w:eastAsia="Aptos"/>
                <w:b w:val="0"/>
                <w:sz w:val="18"/>
              </w:rPr>
              <w:t>Tourism, rents</w:t>
            </w:r>
          </w:p>
        </w:tc>
        <w:tc>
          <w:tcPr>
            <w:tcW w:type="dxa" w:w="6768"/>
            <w:vAlign w:val="center"/>
          </w:tcPr>
          <w:p>
            <w:pPr>
              <w:spacing w:after="40" w:line="264" w:lineRule="auto"/>
            </w:pPr>
            <w:r/>
            <w:r>
              <w:rPr>
                <w:rFonts w:ascii="Aptos" w:hAnsi="Aptos" w:eastAsia="Aptos"/>
                <w:b w:val="0"/>
                <w:sz w:val="18"/>
              </w:rPr>
              <w:t>Rebuild tourism and rental marts, refresh rankings, and republish cached map layers.</w:t>
            </w:r>
          </w:p>
        </w:tc>
      </w:tr>
      <w:tr>
        <w:tc>
          <w:tcPr>
            <w:tcW w:type="dxa" w:w="1440"/>
            <w:vAlign w:val="center"/>
            <w:shd w:fill="FBF9F8"/>
          </w:tcPr>
          <w:p>
            <w:pPr>
              <w:spacing w:after="40" w:line="264" w:lineRule="auto"/>
            </w:pPr>
            <w:r/>
            <w:r>
              <w:rPr>
                <w:rFonts w:ascii="Aptos" w:hAnsi="Aptos" w:eastAsia="Aptos"/>
                <w:b w:val="0"/>
                <w:sz w:val="18"/>
              </w:rPr>
              <w:t>Semester</w:t>
            </w:r>
          </w:p>
        </w:tc>
        <w:tc>
          <w:tcPr>
            <w:tcW w:type="dxa" w:w="2880"/>
            <w:vAlign w:val="center"/>
            <w:shd w:fill="FBF9F8"/>
          </w:tcPr>
          <w:p>
            <w:pPr>
              <w:spacing w:after="40" w:line="264" w:lineRule="auto"/>
            </w:pPr>
            <w:r/>
            <w:r>
              <w:rPr>
                <w:rFonts w:ascii="Aptos" w:hAnsi="Aptos" w:eastAsia="Aptos"/>
                <w:b w:val="0"/>
                <w:sz w:val="18"/>
              </w:rPr>
              <w:t>OMI values and transactions</w:t>
            </w:r>
          </w:p>
        </w:tc>
        <w:tc>
          <w:tcPr>
            <w:tcW w:type="dxa" w:w="6768"/>
            <w:vAlign w:val="center"/>
            <w:shd w:fill="FBF9F8"/>
          </w:tcPr>
          <w:p>
            <w:pPr>
              <w:spacing w:after="40" w:line="264" w:lineRule="auto"/>
            </w:pPr>
            <w:r/>
            <w:r>
              <w:rPr>
                <w:rFonts w:ascii="Aptos" w:hAnsi="Aptos" w:eastAsia="Aptos"/>
                <w:b w:val="0"/>
                <w:sz w:val="18"/>
              </w:rPr>
              <w:t>Load new semestral value and transaction data, rebuild features, retrain models, and score all municipalities.</w:t>
            </w:r>
          </w:p>
        </w:tc>
      </w:tr>
    </w:tbl>
    <w:p>
      <w:pPr>
        <w:pStyle w:val="Heading1"/>
        <w:spacing w:after="80" w:line="276" w:lineRule="auto"/>
      </w:pPr>
      <w:r>
        <w:t>11. Modeling and Forecasting Architecture</w:t>
      </w:r>
    </w:p>
    <w:p>
      <w:pPr>
        <w:spacing w:after="40" w:line="264" w:lineRule="auto"/>
        <w:ind w:left="283" w:hanging="198"/>
      </w:pPr>
      <w:r>
        <w:rPr>
          <w:b/>
        </w:rPr>
        <w:t xml:space="preserve">• </w:t>
      </w:r>
      <w:r>
        <w:t>Use Python batch jobs for feature engineering, model training, backtesting, diagnostics, and scoring.</w:t>
      </w:r>
    </w:p>
    <w:p>
      <w:pPr>
        <w:spacing w:after="40" w:line="264" w:lineRule="auto"/>
        <w:ind w:left="283" w:hanging="198"/>
      </w:pPr>
      <w:r>
        <w:rPr>
          <w:b/>
        </w:rPr>
        <w:t xml:space="preserve">• </w:t>
      </w:r>
      <w:r>
        <w:t>Recommended MVP models: LightGBM or CatBoost regressors for appreciation and rental yield.</w:t>
      </w:r>
    </w:p>
    <w:p>
      <w:pPr>
        <w:spacing w:after="40" w:line="264" w:lineRule="auto"/>
        <w:ind w:left="283" w:hanging="198"/>
      </w:pPr>
      <w:r>
        <w:rPr>
          <w:b/>
        </w:rPr>
        <w:t xml:space="preserve">• </w:t>
      </w:r>
      <w:r>
        <w:t>Store model metadata and metrics in admin.model_runs.</w:t>
      </w:r>
    </w:p>
    <w:p>
      <w:pPr>
        <w:spacing w:after="40" w:line="264" w:lineRule="auto"/>
        <w:ind w:left="283" w:hanging="198"/>
      </w:pPr>
      <w:r>
        <w:rPr>
          <w:b/>
        </w:rPr>
        <w:t xml:space="preserve">• </w:t>
      </w:r>
      <w:r>
        <w:t>Write scored outputs into model.forecasts_municipality and publish the latest approved snapshot through a stable mart view.</w:t>
      </w:r>
    </w:p>
    <w:p>
      <w:pPr>
        <w:pStyle w:val="Heading2"/>
        <w:spacing w:after="40" w:line="276" w:lineRule="auto"/>
      </w:pPr>
      <w:r>
        <w:t>Forecasting workflow</w:t>
      </w:r>
    </w:p>
    <w:p>
      <w:pPr>
        <w:spacing w:after="40" w:line="264" w:lineRule="auto"/>
        <w:ind w:left="283" w:hanging="198"/>
      </w:pPr>
      <w:r>
        <w:rPr>
          <w:b/>
        </w:rPr>
        <w:t xml:space="preserve">• </w:t>
      </w:r>
      <w:r>
        <w:t>Step 1: ingest raw source files into raw tables.</w:t>
      </w:r>
    </w:p>
    <w:p>
      <w:pPr>
        <w:spacing w:after="40" w:line="264" w:lineRule="auto"/>
        <w:ind w:left="283" w:hanging="198"/>
      </w:pPr>
      <w:r>
        <w:rPr>
          <w:b/>
        </w:rPr>
        <w:t xml:space="preserve">• </w:t>
      </w:r>
      <w:r>
        <w:t>Step 2: normalize and curate source data into mart tables.</w:t>
      </w:r>
    </w:p>
    <w:p>
      <w:pPr>
        <w:spacing w:after="40" w:line="264" w:lineRule="auto"/>
        <w:ind w:left="283" w:hanging="198"/>
      </w:pPr>
      <w:r>
        <w:rPr>
          <w:b/>
        </w:rPr>
        <w:t xml:space="preserve">• </w:t>
      </w:r>
      <w:r>
        <w:t>Step 3: build municipality-semester features in model.features_municipality_semester.</w:t>
      </w:r>
    </w:p>
    <w:p>
      <w:pPr>
        <w:spacing w:after="40" w:line="264" w:lineRule="auto"/>
        <w:ind w:left="283" w:hanging="198"/>
      </w:pPr>
      <w:r>
        <w:rPr>
          <w:b/>
        </w:rPr>
        <w:t xml:space="preserve">• </w:t>
      </w:r>
      <w:r>
        <w:t>Step 4: train or update model versions and record metrics.</w:t>
      </w:r>
    </w:p>
    <w:p>
      <w:pPr>
        <w:spacing w:after="40" w:line="264" w:lineRule="auto"/>
        <w:ind w:left="283" w:hanging="198"/>
      </w:pPr>
      <w:r>
        <w:rPr>
          <w:b/>
        </w:rPr>
        <w:t xml:space="preserve">• </w:t>
      </w:r>
      <w:r>
        <w:t>Step 5: score all municipalities for the target horizon.</w:t>
      </w:r>
    </w:p>
    <w:p>
      <w:pPr>
        <w:spacing w:after="40" w:line="264" w:lineRule="auto"/>
        <w:ind w:left="283" w:hanging="198"/>
      </w:pPr>
      <w:r>
        <w:rPr>
          <w:b/>
        </w:rPr>
        <w:t xml:space="preserve">• </w:t>
      </w:r>
      <w:r>
        <w:t>Step 6: publish the latest approved forecast snapshot for the application.</w:t>
      </w:r>
    </w:p>
    <w:p>
      <w:pPr>
        <w:pStyle w:val="Heading1"/>
        <w:spacing w:after="80" w:line="276" w:lineRule="auto"/>
      </w:pPr>
      <w:r>
        <w:t>12. Security, Permissions, and Publication Controls</w:t>
      </w:r>
    </w:p>
    <w:p>
      <w:pPr>
        <w:spacing w:after="40" w:line="264" w:lineRule="auto"/>
        <w:ind w:left="283" w:hanging="198"/>
      </w:pPr>
      <w:r>
        <w:rPr>
          <w:b/>
        </w:rPr>
        <w:t xml:space="preserve">• </w:t>
      </w:r>
      <w:r>
        <w:t>Use Supabase Auth for internal users with roles such as admin, analyst, and editor.</w:t>
      </w:r>
    </w:p>
    <w:p>
      <w:pPr>
        <w:spacing w:after="40" w:line="264" w:lineRule="auto"/>
        <w:ind w:left="283" w:hanging="198"/>
      </w:pPr>
      <w:r>
        <w:rPr>
          <w:b/>
        </w:rPr>
        <w:t xml:space="preserve">• </w:t>
      </w:r>
      <w:r>
        <w:t>Keep raw, model, and admin tables private; expose only approved views or API endpoints.</w:t>
      </w:r>
    </w:p>
    <w:p>
      <w:pPr>
        <w:spacing w:after="40" w:line="264" w:lineRule="auto"/>
        <w:ind w:left="283" w:hanging="198"/>
      </w:pPr>
      <w:r>
        <w:rPr>
          <w:b/>
        </w:rPr>
        <w:t xml:space="preserve">• </w:t>
      </w:r>
      <w:r>
        <w:t>Protect ingestion and model-run actions behind internal admin routes.</w:t>
      </w:r>
    </w:p>
    <w:p>
      <w:pPr>
        <w:spacing w:after="40" w:line="264" w:lineRule="auto"/>
        <w:ind w:left="283" w:hanging="198"/>
      </w:pPr>
      <w:r>
        <w:rPr>
          <w:b/>
        </w:rPr>
        <w:t xml:space="preserve">• </w:t>
      </w:r>
      <w:r>
        <w:t>Use publication controls such as publishable_flag, quality_grade, and manual_review_flag before any forecast is surfaced publicly.</w:t>
      </w:r>
    </w:p>
    <w:p>
      <w:pPr>
        <w:pStyle w:val="Heading1"/>
        <w:spacing w:after="80" w:line="276" w:lineRule="auto"/>
      </w:pPr>
      <w:r>
        <w:t>13. Map Rendering and Performance Strategy</w:t>
      </w:r>
    </w:p>
    <w:p>
      <w:pPr>
        <w:spacing w:after="40" w:line="264" w:lineRule="auto"/>
        <w:ind w:left="283" w:hanging="198"/>
      </w:pPr>
      <w:r>
        <w:rPr>
          <w:b/>
        </w:rPr>
        <w:t xml:space="preserve">• </w:t>
      </w:r>
      <w:r>
        <w:t>Keep Leaflet for the MVP and serve simplified municipality GeoJSON.</w:t>
      </w:r>
    </w:p>
    <w:p>
      <w:pPr>
        <w:spacing w:after="40" w:line="264" w:lineRule="auto"/>
        <w:ind w:left="283" w:hanging="198"/>
      </w:pPr>
      <w:r>
        <w:rPr>
          <w:b/>
        </w:rPr>
        <w:t xml:space="preserve">• </w:t>
      </w:r>
      <w:r>
        <w:t>Use region-level chunking or cached map layers so the browser does not load unnecessary full-detail geometry.</w:t>
      </w:r>
    </w:p>
    <w:p>
      <w:pPr>
        <w:spacing w:after="40" w:line="264" w:lineRule="auto"/>
        <w:ind w:left="283" w:hanging="198"/>
      </w:pPr>
      <w:r>
        <w:rPr>
          <w:b/>
        </w:rPr>
        <w:t xml:space="preserve">• </w:t>
      </w:r>
      <w:r>
        <w:t>Precompute simplified boundaries and map metrics to reduce server work per request.</w:t>
      </w:r>
    </w:p>
    <w:p>
      <w:pPr>
        <w:spacing w:after="40" w:line="264" w:lineRule="auto"/>
        <w:ind w:left="283" w:hanging="198"/>
      </w:pPr>
      <w:r>
        <w:rPr>
          <w:b/>
        </w:rPr>
        <w:t xml:space="preserve">• </w:t>
      </w:r>
      <w:r>
        <w:t>If the map later becomes too heavy, move to vector tiles; this is not required for the first release.</w:t>
      </w:r>
    </w:p>
    <w:p>
      <w:pPr>
        <w:pStyle w:val="Heading1"/>
        <w:spacing w:after="80" w:line="276" w:lineRule="auto"/>
      </w:pPr>
      <w:r>
        <w:t>14. Quality Assurance and Data Governance</w:t>
      </w:r>
    </w:p>
    <w:p>
      <w:pPr>
        <w:spacing w:after="40" w:line="264" w:lineRule="auto"/>
        <w:ind w:left="283" w:hanging="198"/>
      </w:pPr>
      <w:r>
        <w:rPr>
          <w:b/>
        </w:rPr>
        <w:t xml:space="preserve">• </w:t>
      </w:r>
      <w:r>
        <w:t>Validate municipality identifiers against canonical ISTAT codes.</w:t>
      </w:r>
    </w:p>
    <w:p>
      <w:pPr>
        <w:spacing w:after="40" w:line="264" w:lineRule="auto"/>
        <w:ind w:left="283" w:hanging="198"/>
      </w:pPr>
      <w:r>
        <w:rPr>
          <w:b/>
        </w:rPr>
        <w:t xml:space="preserve">• </w:t>
      </w:r>
      <w:r>
        <w:t>Reject duplicate municipality-period-segment rows.</w:t>
      </w:r>
    </w:p>
    <w:p>
      <w:pPr>
        <w:spacing w:after="40" w:line="264" w:lineRule="auto"/>
        <w:ind w:left="283" w:hanging="198"/>
      </w:pPr>
      <w:r>
        <w:rPr>
          <w:b/>
        </w:rPr>
        <w:t xml:space="preserve">• </w:t>
      </w:r>
      <w:r>
        <w:t>Flag implausible jumps in euro per square meter or yield values.</w:t>
      </w:r>
    </w:p>
    <w:p>
      <w:pPr>
        <w:spacing w:after="40" w:line="264" w:lineRule="auto"/>
        <w:ind w:left="283" w:hanging="198"/>
      </w:pPr>
      <w:r>
        <w:rPr>
          <w:b/>
        </w:rPr>
        <w:t xml:space="preserve">• </w:t>
      </w:r>
      <w:r>
        <w:t>Suppress forecasts where data depth is below the minimum threshold.</w:t>
      </w:r>
    </w:p>
    <w:p>
      <w:pPr>
        <w:spacing w:after="40" w:line="264" w:lineRule="auto"/>
        <w:ind w:left="283" w:hanging="198"/>
      </w:pPr>
      <w:r>
        <w:rPr>
          <w:b/>
        </w:rPr>
        <w:t xml:space="preserve">• </w:t>
      </w:r>
      <w:r>
        <w:t>Widen confidence intervals for thin-liquidity municipalities.</w:t>
      </w:r>
    </w:p>
    <w:p>
      <w:pPr>
        <w:spacing w:after="40" w:line="264" w:lineRule="auto"/>
        <w:ind w:left="283" w:hanging="198"/>
      </w:pPr>
      <w:r>
        <w:rPr>
          <w:b/>
        </w:rPr>
        <w:t xml:space="preserve">• </w:t>
      </w:r>
      <w:r>
        <w:t>Maintain data quality fields such as quality_grade, data_sparsity_score, publishable_flag, and manual_review_flag.</w:t>
      </w:r>
    </w:p>
    <w:p>
      <w:pPr>
        <w:pStyle w:val="Heading1"/>
        <w:spacing w:after="80" w:line="276" w:lineRule="auto"/>
      </w:pPr>
      <w:r>
        <w:t>15. Deployment Architecture</w:t>
      </w:r>
    </w:p>
    <w:tbl>
      <w:tblPr>
        <w:tblW w:type="auto" w:w="0"/>
        <w:jc w:val="center"/>
        <w:tblLayout w:type="fixed"/>
        <w:tblLook w:firstColumn="1" w:firstRow="1" w:lastColumn="0" w:lastRow="0" w:noHBand="0" w:noVBand="1" w:val="04A0"/>
      </w:tblPr>
      <w:tblGrid>
        <w:gridCol w:w="1728"/>
        <w:gridCol w:w="2880"/>
        <w:gridCol w:w="6480"/>
      </w:tblGrid>
      <w:tr>
        <w:tc>
          <w:tcPr>
            <w:tcW w:type="dxa" w:w="3324"/>
            <w:vAlign w:val="center"/>
            <w:shd w:fill="A14E2A"/>
          </w:tcPr>
          <w:p>
            <w:pPr>
              <w:spacing w:after="40" w:line="264" w:lineRule="auto"/>
            </w:pPr>
            <w:r/>
            <w:r>
              <w:rPr>
                <w:rFonts w:ascii="Aptos" w:hAnsi="Aptos" w:eastAsia="Aptos"/>
                <w:b/>
                <w:color w:val="FFFFFF"/>
                <w:sz w:val="20"/>
              </w:rPr>
              <w:t>Layer</w:t>
            </w:r>
          </w:p>
        </w:tc>
        <w:tc>
          <w:tcPr>
            <w:tcW w:type="dxa" w:w="3324"/>
            <w:vAlign w:val="center"/>
            <w:shd w:fill="A14E2A"/>
          </w:tcPr>
          <w:p>
            <w:pPr>
              <w:spacing w:after="40" w:line="264" w:lineRule="auto"/>
            </w:pPr>
            <w:r/>
            <w:r>
              <w:rPr>
                <w:rFonts w:ascii="Aptos" w:hAnsi="Aptos" w:eastAsia="Aptos"/>
                <w:b/>
                <w:color w:val="FFFFFF"/>
                <w:sz w:val="20"/>
              </w:rPr>
              <w:t>Service</w:t>
            </w:r>
          </w:p>
        </w:tc>
        <w:tc>
          <w:tcPr>
            <w:tcW w:type="dxa" w:w="3324"/>
            <w:vAlign w:val="center"/>
            <w:shd w:fill="A14E2A"/>
          </w:tcPr>
          <w:p>
            <w:pPr>
              <w:spacing w:after="40" w:line="264" w:lineRule="auto"/>
            </w:pPr>
            <w:r/>
            <w:r>
              <w:rPr>
                <w:rFonts w:ascii="Aptos" w:hAnsi="Aptos" w:eastAsia="Aptos"/>
                <w:b/>
                <w:color w:val="FFFFFF"/>
                <w:sz w:val="20"/>
              </w:rPr>
              <w:t>Notes</w:t>
            </w:r>
          </w:p>
        </w:tc>
      </w:tr>
      <w:tr>
        <w:tc>
          <w:tcPr>
            <w:tcW w:type="dxa" w:w="1728"/>
            <w:vAlign w:val="center"/>
            <w:shd w:fill="FBF9F8"/>
          </w:tcPr>
          <w:p>
            <w:pPr>
              <w:spacing w:after="40" w:line="264" w:lineRule="auto"/>
            </w:pPr>
            <w:r/>
            <w:r>
              <w:rPr>
                <w:rFonts w:ascii="Aptos" w:hAnsi="Aptos" w:eastAsia="Aptos"/>
                <w:b w:val="0"/>
                <w:sz w:val="18"/>
              </w:rPr>
              <w:t>Front end</w:t>
            </w:r>
          </w:p>
        </w:tc>
        <w:tc>
          <w:tcPr>
            <w:tcW w:type="dxa" w:w="2880"/>
            <w:vAlign w:val="center"/>
            <w:shd w:fill="FBF9F8"/>
          </w:tcPr>
          <w:p>
            <w:pPr>
              <w:spacing w:after="40" w:line="264" w:lineRule="auto"/>
            </w:pPr>
            <w:r/>
            <w:r>
              <w:rPr>
                <w:rFonts w:ascii="Aptos" w:hAnsi="Aptos" w:eastAsia="Aptos"/>
                <w:b w:val="0"/>
                <w:sz w:val="18"/>
              </w:rPr>
              <w:t>Vercel</w:t>
            </w:r>
          </w:p>
        </w:tc>
        <w:tc>
          <w:tcPr>
            <w:tcW w:type="dxa" w:w="6480"/>
            <w:vAlign w:val="center"/>
            <w:shd w:fill="FBF9F8"/>
          </w:tcPr>
          <w:p>
            <w:pPr>
              <w:spacing w:after="40" w:line="264" w:lineRule="auto"/>
            </w:pPr>
            <w:r/>
            <w:r>
              <w:rPr>
                <w:rFonts w:ascii="Aptos" w:hAnsi="Aptos" w:eastAsia="Aptos"/>
                <w:b w:val="0"/>
                <w:sz w:val="18"/>
              </w:rPr>
              <w:t>Hosts the Next.js application and public pages.</w:t>
            </w:r>
          </w:p>
        </w:tc>
      </w:tr>
      <w:tr>
        <w:tc>
          <w:tcPr>
            <w:tcW w:type="dxa" w:w="1728"/>
            <w:vAlign w:val="center"/>
          </w:tcPr>
          <w:p>
            <w:pPr>
              <w:spacing w:after="40" w:line="264" w:lineRule="auto"/>
            </w:pPr>
            <w:r/>
            <w:r>
              <w:rPr>
                <w:rFonts w:ascii="Aptos" w:hAnsi="Aptos" w:eastAsia="Aptos"/>
                <w:b w:val="0"/>
                <w:sz w:val="18"/>
              </w:rPr>
              <w:t>Database</w:t>
            </w:r>
          </w:p>
        </w:tc>
        <w:tc>
          <w:tcPr>
            <w:tcW w:type="dxa" w:w="2880"/>
            <w:vAlign w:val="center"/>
          </w:tcPr>
          <w:p>
            <w:pPr>
              <w:spacing w:after="40" w:line="264" w:lineRule="auto"/>
            </w:pPr>
            <w:r/>
            <w:r>
              <w:rPr>
                <w:rFonts w:ascii="Aptos" w:hAnsi="Aptos" w:eastAsia="Aptos"/>
                <w:b w:val="0"/>
                <w:sz w:val="18"/>
              </w:rPr>
              <w:t>Supabase Postgres + PostGIS</w:t>
            </w:r>
          </w:p>
        </w:tc>
        <w:tc>
          <w:tcPr>
            <w:tcW w:type="dxa" w:w="6480"/>
            <w:vAlign w:val="center"/>
          </w:tcPr>
          <w:p>
            <w:pPr>
              <w:spacing w:after="40" w:line="264" w:lineRule="auto"/>
            </w:pPr>
            <w:r/>
            <w:r>
              <w:rPr>
                <w:rFonts w:ascii="Aptos" w:hAnsi="Aptos" w:eastAsia="Aptos"/>
                <w:b w:val="0"/>
                <w:sz w:val="18"/>
              </w:rPr>
              <w:t>Stores reference, mart, feature, and forecast data.</w:t>
            </w:r>
          </w:p>
        </w:tc>
      </w:tr>
      <w:tr>
        <w:tc>
          <w:tcPr>
            <w:tcW w:type="dxa" w:w="1728"/>
            <w:vAlign w:val="center"/>
            <w:shd w:fill="FBF9F8"/>
          </w:tcPr>
          <w:p>
            <w:pPr>
              <w:spacing w:after="40" w:line="264" w:lineRule="auto"/>
            </w:pPr>
            <w:r/>
            <w:r>
              <w:rPr>
                <w:rFonts w:ascii="Aptos" w:hAnsi="Aptos" w:eastAsia="Aptos"/>
                <w:b w:val="0"/>
                <w:sz w:val="18"/>
              </w:rPr>
              <w:t>Workers</w:t>
            </w:r>
          </w:p>
        </w:tc>
        <w:tc>
          <w:tcPr>
            <w:tcW w:type="dxa" w:w="2880"/>
            <w:vAlign w:val="center"/>
            <w:shd w:fill="FBF9F8"/>
          </w:tcPr>
          <w:p>
            <w:pPr>
              <w:spacing w:after="40" w:line="264" w:lineRule="auto"/>
            </w:pPr>
            <w:r/>
            <w:r>
              <w:rPr>
                <w:rFonts w:ascii="Aptos" w:hAnsi="Aptos" w:eastAsia="Aptos"/>
                <w:b w:val="0"/>
                <w:sz w:val="18"/>
              </w:rPr>
              <w:t>Railway, Render, or GitHub Actions</w:t>
            </w:r>
          </w:p>
        </w:tc>
        <w:tc>
          <w:tcPr>
            <w:tcW w:type="dxa" w:w="6480"/>
            <w:vAlign w:val="center"/>
            <w:shd w:fill="FBF9F8"/>
          </w:tcPr>
          <w:p>
            <w:pPr>
              <w:spacing w:after="40" w:line="264" w:lineRule="auto"/>
            </w:pPr>
            <w:r/>
            <w:r>
              <w:rPr>
                <w:rFonts w:ascii="Aptos" w:hAnsi="Aptos" w:eastAsia="Aptos"/>
                <w:b w:val="0"/>
                <w:sz w:val="18"/>
              </w:rPr>
              <w:t>Runs scheduled ingestion and Python model jobs.</w:t>
            </w:r>
          </w:p>
        </w:tc>
      </w:tr>
      <w:tr>
        <w:tc>
          <w:tcPr>
            <w:tcW w:type="dxa" w:w="1728"/>
            <w:vAlign w:val="center"/>
          </w:tcPr>
          <w:p>
            <w:pPr>
              <w:spacing w:after="40" w:line="264" w:lineRule="auto"/>
            </w:pPr>
            <w:r/>
            <w:r>
              <w:rPr>
                <w:rFonts w:ascii="Aptos" w:hAnsi="Aptos" w:eastAsia="Aptos"/>
                <w:b w:val="0"/>
                <w:sz w:val="18"/>
              </w:rPr>
              <w:t>Blob storage</w:t>
            </w:r>
          </w:p>
        </w:tc>
        <w:tc>
          <w:tcPr>
            <w:tcW w:type="dxa" w:w="2880"/>
            <w:vAlign w:val="center"/>
          </w:tcPr>
          <w:p>
            <w:pPr>
              <w:spacing w:after="40" w:line="264" w:lineRule="auto"/>
            </w:pPr>
            <w:r/>
            <w:r>
              <w:rPr>
                <w:rFonts w:ascii="Aptos" w:hAnsi="Aptos" w:eastAsia="Aptos"/>
                <w:b w:val="0"/>
                <w:sz w:val="18"/>
              </w:rPr>
              <w:t>Vercel Blob</w:t>
            </w:r>
          </w:p>
        </w:tc>
        <w:tc>
          <w:tcPr>
            <w:tcW w:type="dxa" w:w="6480"/>
            <w:vAlign w:val="center"/>
          </w:tcPr>
          <w:p>
            <w:pPr>
              <w:spacing w:after="40" w:line="264" w:lineRule="auto"/>
            </w:pPr>
            <w:r/>
            <w:r>
              <w:rPr>
                <w:rFonts w:ascii="Aptos" w:hAnsi="Aptos" w:eastAsia="Aptos"/>
                <w:b w:val="0"/>
                <w:sz w:val="18"/>
              </w:rPr>
              <w:t>Stores map cache files, exports, and print artifacts.</w:t>
            </w:r>
          </w:p>
        </w:tc>
      </w:tr>
    </w:tbl>
    <w:p>
      <w:pPr>
        <w:pStyle w:val="Heading1"/>
        <w:spacing w:after="80" w:line="276" w:lineRule="auto"/>
      </w:pPr>
      <w:r>
        <w:t>16. Delivery Roadmap</w:t>
      </w:r>
    </w:p>
    <w:tbl>
      <w:tblPr>
        <w:tblW w:type="auto" w:w="0"/>
        <w:jc w:val="center"/>
        <w:tblLayout w:type="fixed"/>
        <w:tblLook w:firstColumn="1" w:firstRow="1" w:lastColumn="0" w:lastRow="0" w:noHBand="0" w:noVBand="1" w:val="04A0"/>
      </w:tblPr>
      <w:tblGrid>
        <w:gridCol w:w="1152"/>
        <w:gridCol w:w="2448"/>
        <w:gridCol w:w="7488"/>
      </w:tblGrid>
      <w:tr>
        <w:tc>
          <w:tcPr>
            <w:tcW w:type="dxa" w:w="3324"/>
            <w:vAlign w:val="center"/>
            <w:shd w:fill="A14E2A"/>
          </w:tcPr>
          <w:p>
            <w:pPr>
              <w:spacing w:after="40" w:line="264" w:lineRule="auto"/>
            </w:pPr>
            <w:r/>
            <w:r>
              <w:rPr>
                <w:rFonts w:ascii="Aptos" w:hAnsi="Aptos" w:eastAsia="Aptos"/>
                <w:b/>
                <w:color w:val="FFFFFF"/>
                <w:sz w:val="20"/>
              </w:rPr>
              <w:t>Phase</w:t>
            </w:r>
          </w:p>
        </w:tc>
        <w:tc>
          <w:tcPr>
            <w:tcW w:type="dxa" w:w="3324"/>
            <w:vAlign w:val="center"/>
            <w:shd w:fill="A14E2A"/>
          </w:tcPr>
          <w:p>
            <w:pPr>
              <w:spacing w:after="40" w:line="264" w:lineRule="auto"/>
            </w:pPr>
            <w:r/>
            <w:r>
              <w:rPr>
                <w:rFonts w:ascii="Aptos" w:hAnsi="Aptos" w:eastAsia="Aptos"/>
                <w:b/>
                <w:color w:val="FFFFFF"/>
                <w:sz w:val="20"/>
              </w:rPr>
              <w:t>Objective</w:t>
            </w:r>
          </w:p>
        </w:tc>
        <w:tc>
          <w:tcPr>
            <w:tcW w:type="dxa" w:w="3324"/>
            <w:vAlign w:val="center"/>
            <w:shd w:fill="A14E2A"/>
          </w:tcPr>
          <w:p>
            <w:pPr>
              <w:spacing w:after="40" w:line="264" w:lineRule="auto"/>
            </w:pPr>
            <w:r/>
            <w:r>
              <w:rPr>
                <w:rFonts w:ascii="Aptos" w:hAnsi="Aptos" w:eastAsia="Aptos"/>
                <w:b/>
                <w:color w:val="FFFFFF"/>
                <w:sz w:val="20"/>
              </w:rPr>
              <w:t>Main deliverables</w:t>
            </w:r>
          </w:p>
        </w:tc>
      </w:tr>
      <w:tr>
        <w:tc>
          <w:tcPr>
            <w:tcW w:type="dxa" w:w="1152"/>
            <w:vAlign w:val="center"/>
            <w:shd w:fill="FBF9F8"/>
          </w:tcPr>
          <w:p>
            <w:pPr>
              <w:spacing w:after="40" w:line="264" w:lineRule="auto"/>
            </w:pPr>
            <w:r/>
            <w:r>
              <w:rPr>
                <w:rFonts w:ascii="Aptos" w:hAnsi="Aptos" w:eastAsia="Aptos"/>
                <w:b w:val="0"/>
                <w:sz w:val="18"/>
              </w:rPr>
              <w:t>1</w:t>
            </w:r>
          </w:p>
        </w:tc>
        <w:tc>
          <w:tcPr>
            <w:tcW w:type="dxa" w:w="2448"/>
            <w:vAlign w:val="center"/>
            <w:shd w:fill="FBF9F8"/>
          </w:tcPr>
          <w:p>
            <w:pPr>
              <w:spacing w:after="40" w:line="264" w:lineRule="auto"/>
            </w:pPr>
            <w:r/>
            <w:r>
              <w:rPr>
                <w:rFonts w:ascii="Aptos" w:hAnsi="Aptos" w:eastAsia="Aptos"/>
                <w:b w:val="0"/>
                <w:sz w:val="18"/>
              </w:rPr>
              <w:t>Foundation</w:t>
            </w:r>
          </w:p>
        </w:tc>
        <w:tc>
          <w:tcPr>
            <w:tcW w:type="dxa" w:w="7488"/>
            <w:vAlign w:val="center"/>
            <w:shd w:fill="FBF9F8"/>
          </w:tcPr>
          <w:p>
            <w:pPr>
              <w:spacing w:after="40" w:line="264" w:lineRule="auto"/>
            </w:pPr>
            <w:r/>
            <w:r>
              <w:rPr>
                <w:rFonts w:ascii="Aptos" w:hAnsi="Aptos" w:eastAsia="Aptos"/>
                <w:b w:val="0"/>
                <w:sz w:val="18"/>
              </w:rPr>
              <w:t>Enable PostGIS, load municipal boundaries, OMI values, OMI transactions, and core ISTAT datasets.</w:t>
            </w:r>
          </w:p>
        </w:tc>
      </w:tr>
      <w:tr>
        <w:tc>
          <w:tcPr>
            <w:tcW w:type="dxa" w:w="1152"/>
            <w:vAlign w:val="center"/>
          </w:tcPr>
          <w:p>
            <w:pPr>
              <w:spacing w:after="40" w:line="264" w:lineRule="auto"/>
            </w:pPr>
            <w:r/>
            <w:r>
              <w:rPr>
                <w:rFonts w:ascii="Aptos" w:hAnsi="Aptos" w:eastAsia="Aptos"/>
                <w:b w:val="0"/>
                <w:sz w:val="18"/>
              </w:rPr>
              <w:t>2</w:t>
            </w:r>
          </w:p>
        </w:tc>
        <w:tc>
          <w:tcPr>
            <w:tcW w:type="dxa" w:w="2448"/>
            <w:vAlign w:val="center"/>
          </w:tcPr>
          <w:p>
            <w:pPr>
              <w:spacing w:after="40" w:line="264" w:lineRule="auto"/>
            </w:pPr>
            <w:r/>
            <w:r>
              <w:rPr>
                <w:rFonts w:ascii="Aptos" w:hAnsi="Aptos" w:eastAsia="Aptos"/>
                <w:b w:val="0"/>
                <w:sz w:val="18"/>
              </w:rPr>
              <w:t>Analytics MVP</w:t>
            </w:r>
          </w:p>
        </w:tc>
        <w:tc>
          <w:tcPr>
            <w:tcW w:type="dxa" w:w="7488"/>
            <w:vAlign w:val="center"/>
          </w:tcPr>
          <w:p>
            <w:pPr>
              <w:spacing w:after="40" w:line="264" w:lineRule="auto"/>
            </w:pPr>
            <w:r/>
            <w:r>
              <w:rPr>
                <w:rFonts w:ascii="Aptos" w:hAnsi="Aptos" w:eastAsia="Aptos"/>
                <w:b w:val="0"/>
                <w:sz w:val="18"/>
              </w:rPr>
              <w:t>Build feature store, appreciation model, current valuation map, rankings, and municipality detail pages.</w:t>
            </w:r>
          </w:p>
        </w:tc>
      </w:tr>
      <w:tr>
        <w:tc>
          <w:tcPr>
            <w:tcW w:type="dxa" w:w="1152"/>
            <w:vAlign w:val="center"/>
            <w:shd w:fill="FBF9F8"/>
          </w:tcPr>
          <w:p>
            <w:pPr>
              <w:spacing w:after="40" w:line="264" w:lineRule="auto"/>
            </w:pPr>
            <w:r/>
            <w:r>
              <w:rPr>
                <w:rFonts w:ascii="Aptos" w:hAnsi="Aptos" w:eastAsia="Aptos"/>
                <w:b w:val="0"/>
                <w:sz w:val="18"/>
              </w:rPr>
              <w:t>3</w:t>
            </w:r>
          </w:p>
        </w:tc>
        <w:tc>
          <w:tcPr>
            <w:tcW w:type="dxa" w:w="2448"/>
            <w:vAlign w:val="center"/>
            <w:shd w:fill="FBF9F8"/>
          </w:tcPr>
          <w:p>
            <w:pPr>
              <w:spacing w:after="40" w:line="264" w:lineRule="auto"/>
            </w:pPr>
            <w:r/>
            <w:r>
              <w:rPr>
                <w:rFonts w:ascii="Aptos" w:hAnsi="Aptos" w:eastAsia="Aptos"/>
                <w:b w:val="0"/>
                <w:sz w:val="18"/>
              </w:rPr>
              <w:t>ROI MVP</w:t>
            </w:r>
          </w:p>
        </w:tc>
        <w:tc>
          <w:tcPr>
            <w:tcW w:type="dxa" w:w="7488"/>
            <w:vAlign w:val="center"/>
            <w:shd w:fill="FBF9F8"/>
          </w:tcPr>
          <w:p>
            <w:pPr>
              <w:spacing w:after="40" w:line="264" w:lineRule="auto"/>
            </w:pPr>
            <w:r/>
            <w:r>
              <w:rPr>
                <w:rFonts w:ascii="Aptos" w:hAnsi="Aptos" w:eastAsia="Aptos"/>
                <w:b w:val="0"/>
                <w:sz w:val="18"/>
              </w:rPr>
              <w:t>Add long-term rental layer, rental yield forecast, compare page, and analyst tools.</w:t>
            </w:r>
          </w:p>
        </w:tc>
      </w:tr>
      <w:tr>
        <w:tc>
          <w:tcPr>
            <w:tcW w:type="dxa" w:w="1152"/>
            <w:vAlign w:val="center"/>
          </w:tcPr>
          <w:p>
            <w:pPr>
              <w:spacing w:after="40" w:line="264" w:lineRule="auto"/>
            </w:pPr>
            <w:r/>
            <w:r>
              <w:rPr>
                <w:rFonts w:ascii="Aptos" w:hAnsi="Aptos" w:eastAsia="Aptos"/>
                <w:b w:val="0"/>
                <w:sz w:val="18"/>
              </w:rPr>
              <w:t>4</w:t>
            </w:r>
          </w:p>
        </w:tc>
        <w:tc>
          <w:tcPr>
            <w:tcW w:type="dxa" w:w="2448"/>
            <w:vAlign w:val="center"/>
          </w:tcPr>
          <w:p>
            <w:pPr>
              <w:spacing w:after="40" w:line="264" w:lineRule="auto"/>
            </w:pPr>
            <w:r/>
            <w:r>
              <w:rPr>
                <w:rFonts w:ascii="Aptos" w:hAnsi="Aptos" w:eastAsia="Aptos"/>
                <w:b w:val="0"/>
                <w:sz w:val="18"/>
              </w:rPr>
              <w:t>Advanced expansion</w:t>
            </w:r>
          </w:p>
        </w:tc>
        <w:tc>
          <w:tcPr>
            <w:tcW w:type="dxa" w:w="7488"/>
            <w:vAlign w:val="center"/>
          </w:tcPr>
          <w:p>
            <w:pPr>
              <w:spacing w:after="40" w:line="264" w:lineRule="auto"/>
            </w:pPr>
            <w:r/>
            <w:r>
              <w:rPr>
                <w:rFonts w:ascii="Aptos" w:hAnsi="Aptos" w:eastAsia="Aptos"/>
                <w:b w:val="0"/>
                <w:sz w:val="18"/>
              </w:rPr>
              <w:t>Add short-term rental modeling, regulation scoring, and OMI-zone drilldown.</w:t>
            </w:r>
          </w:p>
        </w:tc>
      </w:tr>
    </w:tbl>
    <w:p>
      <w:pPr>
        <w:pStyle w:val="Heading1"/>
        <w:spacing w:after="80" w:line="276" w:lineRule="auto"/>
      </w:pPr>
      <w:r>
        <w:t>17. Final Recommendation</w:t>
      </w:r>
    </w:p>
    <w:p>
      <w:pPr>
        <w:spacing w:after="100" w:line="276" w:lineRule="auto"/>
      </w:pPr>
      <w:r>
        <w:t>Build this as a new analytics product on top of the existing Italian Properties platform patterns, rather than as a separate greenfield stack. Reusing Next.js, TypeScript, Supabase, Leaflet, and Vercel keeps delivery fast and coherent, while adding PostGIS and Python model jobs gives the project the analytical depth it needs. The MVP should launch municipality-level current valuations, appreciation forecasts, and long-term rental ROI, with OMI-zone drilldown and short-term-rental intelligence reserved for later phases.</w:t>
      </w:r>
    </w:p>
    <w:p>
      <w:pPr>
        <w:pStyle w:val="Heading2"/>
        <w:spacing w:after="40" w:line="276" w:lineRule="auto"/>
      </w:pPr>
      <w:r>
        <w:t>Appendix: Suggested project structure</w:t>
      </w:r>
    </w:p>
    <w:p>
      <w:pPr>
        <w:spacing w:after="40" w:line="264" w:lineRule="auto"/>
        <w:ind w:left="283" w:hanging="198"/>
      </w:pPr>
      <w:r>
        <w:rPr>
          <w:b/>
        </w:rPr>
        <w:t xml:space="preserve">• </w:t>
      </w:r>
      <w:r>
        <w:t>src/app, src/components, src/lib, src/types</w:t>
      </w:r>
    </w:p>
    <w:p>
      <w:pPr>
        <w:spacing w:after="40" w:line="264" w:lineRule="auto"/>
        <w:ind w:left="283" w:hanging="198"/>
      </w:pPr>
      <w:r>
        <w:rPr>
          <w:b/>
        </w:rPr>
        <w:t xml:space="preserve">• </w:t>
      </w:r>
      <w:r>
        <w:t>database/migrations, database/seeds, database/views</w:t>
      </w:r>
    </w:p>
    <w:p>
      <w:pPr>
        <w:spacing w:after="40" w:line="264" w:lineRule="auto"/>
        <w:ind w:left="283" w:hanging="198"/>
      </w:pPr>
      <w:r>
        <w:rPr>
          <w:b/>
        </w:rPr>
        <w:t xml:space="preserve">• </w:t>
      </w:r>
      <w:r>
        <w:t>ingestion/common, ingestion/omi, ingestion/istat, ingestion/rents, ingestion/regulations, ingestion/jobs</w:t>
      </w:r>
    </w:p>
    <w:p>
      <w:pPr>
        <w:spacing w:after="40" w:line="264" w:lineRule="auto"/>
        <w:ind w:left="283" w:hanging="198"/>
      </w:pPr>
      <w:r>
        <w:rPr>
          <w:b/>
        </w:rPr>
        <w:t xml:space="preserve">• </w:t>
      </w:r>
      <w:r>
        <w:t>ml/config, ml/features, ml/train, ml/score, ml/eval</w:t>
      </w:r>
    </w:p>
    <w:p>
      <w:pPr>
        <w:spacing w:after="40" w:line="264" w:lineRule="auto"/>
        <w:ind w:left="283" w:hanging="198"/>
      </w:pPr>
      <w:r>
        <w:rPr>
          <w:b/>
        </w:rPr>
        <w:t xml:space="preserve">• </w:t>
      </w:r>
      <w:r>
        <w:t>scripts/backfill, publish-map-cache, rebuild-rankings</w:t>
      </w:r>
    </w:p>
    <w:p>
      <w:r>
        <w:br w:type="page"/>
      </w:r>
    </w:p>
    <w:p>
      <w:pPr>
        <w:pStyle w:val="Heading1"/>
      </w:pPr>
      <w:r>
        <w:t>Appendix B: Data Sources to Use for This Project</w:t>
      </w:r>
    </w:p>
    <w:p>
      <w:r>
        <w:t>This appendix adds a practical source catalog for the municipality heat-map project. Use official Italian public data as the backbone of the MVP, then layer in portal or commercial rental datasets where public coverage is weak. For every source, store the source name, refresh cadence, access notes, source URL, and exact geographic grain used in the pipeline.</w:t>
      </w:r>
    </w:p>
    <w:p>
      <w:pPr>
        <w:pStyle w:val="Heading2"/>
      </w:pPr>
      <w:r>
        <w:t>Core public and essential feeds</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728"/>
            <w:shd w:fill="D9EAF7"/>
            <w:tcMar>
              <w:top w:w="80" w:type="dxa"/>
              <w:start w:w="80" w:type="dxa"/>
              <w:bottom w:w="80" w:type="dxa"/>
              <w:end w:w="80" w:type="dxa"/>
            </w:tcMar>
            <w:vAlign w:val="center"/>
          </w:tcPr>
          <w:p>
            <w:pPr>
              <w:jc w:val="center"/>
            </w:pPr>
            <w:r>
              <w:rPr>
                <w:b/>
                <w:sz w:val="17"/>
              </w:rPr>
              <w:t>Source</w:t>
            </w:r>
          </w:p>
        </w:tc>
        <w:tc>
          <w:tcPr>
            <w:tcW w:type="dxa" w:w="2592"/>
            <w:shd w:fill="D9EAF7"/>
            <w:tcMar>
              <w:top w:w="80" w:type="dxa"/>
              <w:start w:w="80" w:type="dxa"/>
              <w:bottom w:w="80" w:type="dxa"/>
              <w:end w:w="80" w:type="dxa"/>
            </w:tcMar>
            <w:vAlign w:val="center"/>
          </w:tcPr>
          <w:p>
            <w:pPr>
              <w:jc w:val="center"/>
            </w:pPr>
            <w:r>
              <w:rPr>
                <w:b/>
                <w:sz w:val="17"/>
              </w:rPr>
              <w:t>Key data</w:t>
            </w:r>
          </w:p>
        </w:tc>
        <w:tc>
          <w:tcPr>
            <w:tcW w:type="dxa" w:w="1440"/>
            <w:shd w:fill="D9EAF7"/>
            <w:tcMar>
              <w:top w:w="80" w:type="dxa"/>
              <w:start w:w="80" w:type="dxa"/>
              <w:bottom w:w="80" w:type="dxa"/>
              <w:end w:w="80" w:type="dxa"/>
            </w:tcMar>
            <w:vAlign w:val="center"/>
          </w:tcPr>
          <w:p>
            <w:pPr>
              <w:jc w:val="center"/>
            </w:pPr>
            <w:r>
              <w:rPr>
                <w:b/>
                <w:sz w:val="17"/>
              </w:rPr>
              <w:t>Grain</w:t>
            </w:r>
          </w:p>
        </w:tc>
        <w:tc>
          <w:tcPr>
            <w:tcW w:type="dxa" w:w="1224"/>
            <w:shd w:fill="D9EAF7"/>
            <w:tcMar>
              <w:top w:w="80" w:type="dxa"/>
              <w:start w:w="80" w:type="dxa"/>
              <w:bottom w:w="80" w:type="dxa"/>
              <w:end w:w="80" w:type="dxa"/>
            </w:tcMar>
            <w:vAlign w:val="center"/>
          </w:tcPr>
          <w:p>
            <w:pPr>
              <w:jc w:val="center"/>
            </w:pPr>
            <w:r>
              <w:rPr>
                <w:b/>
                <w:sz w:val="17"/>
              </w:rPr>
              <w:t>Cadence</w:t>
            </w:r>
          </w:p>
        </w:tc>
        <w:tc>
          <w:tcPr>
            <w:tcW w:type="dxa" w:w="1368"/>
            <w:shd w:fill="D9EAF7"/>
            <w:tcMar>
              <w:top w:w="80" w:type="dxa"/>
              <w:start w:w="80" w:type="dxa"/>
              <w:bottom w:w="80" w:type="dxa"/>
              <w:end w:w="80" w:type="dxa"/>
            </w:tcMar>
            <w:vAlign w:val="center"/>
          </w:tcPr>
          <w:p>
            <w:pPr>
              <w:jc w:val="center"/>
            </w:pPr>
            <w:r>
              <w:rPr>
                <w:b/>
                <w:sz w:val="17"/>
              </w:rPr>
              <w:t>Access</w:t>
            </w:r>
          </w:p>
        </w:tc>
        <w:tc>
          <w:tcPr>
            <w:tcW w:type="dxa" w:w="2592"/>
            <w:shd w:fill="D9EAF7"/>
            <w:tcMar>
              <w:top w:w="80" w:type="dxa"/>
              <w:start w:w="80" w:type="dxa"/>
              <w:bottom w:w="80" w:type="dxa"/>
              <w:end w:w="80" w:type="dxa"/>
            </w:tcMar>
            <w:vAlign w:val="center"/>
          </w:tcPr>
          <w:p>
            <w:pPr>
              <w:jc w:val="center"/>
            </w:pPr>
            <w:r>
              <w:rPr>
                <w:b/>
                <w:sz w:val="17"/>
              </w:rPr>
              <w:t>Primary use</w:t>
            </w:r>
          </w:p>
        </w:tc>
        <w:tc>
          <w:tcPr>
            <w:tcW w:type="dxa" w:w="1008"/>
            <w:shd w:fill="D9EAF7"/>
            <w:tcMar>
              <w:top w:w="80" w:type="dxa"/>
              <w:start w:w="80" w:type="dxa"/>
              <w:bottom w:w="80" w:type="dxa"/>
              <w:end w:w="80" w:type="dxa"/>
            </w:tcMar>
            <w:vAlign w:val="center"/>
          </w:tcPr>
          <w:p>
            <w:pPr>
              <w:jc w:val="center"/>
            </w:pPr>
            <w:r>
              <w:rPr>
                <w:b/>
                <w:sz w:val="17"/>
              </w:rPr>
              <w:t>Priority</w:t>
            </w:r>
          </w:p>
        </w:tc>
      </w:tr>
      <w:tr>
        <w:tc>
          <w:tcPr>
            <w:tcW w:type="dxa" w:w="1728"/>
            <w:tcMar>
              <w:top w:w="80" w:type="dxa"/>
              <w:start w:w="80" w:type="dxa"/>
              <w:bottom w:w="80" w:type="dxa"/>
              <w:end w:w="80" w:type="dxa"/>
            </w:tcMar>
            <w:vAlign w:val="center"/>
          </w:tcPr>
          <w:p>
            <w:pPr>
              <w:jc w:val="left"/>
            </w:pPr>
            <w:r>
              <w:rPr>
                <w:sz w:val="16"/>
              </w:rPr>
              <w:t>OMI (Osservatorio Mercato Immobiliare)</w:t>
            </w:r>
          </w:p>
        </w:tc>
        <w:tc>
          <w:tcPr>
            <w:tcW w:type="dxa" w:w="2592"/>
            <w:tcMar>
              <w:top w:w="80" w:type="dxa"/>
              <w:start w:w="80" w:type="dxa"/>
              <w:bottom w:w="80" w:type="dxa"/>
              <w:end w:w="80" w:type="dxa"/>
            </w:tcMar>
            <w:vAlign w:val="center"/>
          </w:tcPr>
          <w:p>
            <w:pPr>
              <w:jc w:val="left"/>
            </w:pPr>
            <w:r>
              <w:rPr>
                <w:sz w:val="16"/>
              </w:rPr>
              <w:t>Official min/max EUR/sqm ranges by property type, OMI micro-zones, and long historical series.</w:t>
            </w:r>
          </w:p>
        </w:tc>
        <w:tc>
          <w:tcPr>
            <w:tcW w:type="dxa" w:w="1440"/>
            <w:tcMar>
              <w:top w:w="80" w:type="dxa"/>
              <w:start w:w="80" w:type="dxa"/>
              <w:bottom w:w="80" w:type="dxa"/>
              <w:end w:w="80" w:type="dxa"/>
            </w:tcMar>
            <w:vAlign w:val="center"/>
          </w:tcPr>
          <w:p>
            <w:pPr>
              <w:jc w:val="left"/>
            </w:pPr>
            <w:r>
              <w:rPr>
                <w:sz w:val="16"/>
              </w:rPr>
              <w:t>Zona OMI, municipality</w:t>
            </w:r>
          </w:p>
        </w:tc>
        <w:tc>
          <w:tcPr>
            <w:tcW w:type="dxa" w:w="1224"/>
            <w:tcMar>
              <w:top w:w="80" w:type="dxa"/>
              <w:start w:w="80" w:type="dxa"/>
              <w:bottom w:w="80" w:type="dxa"/>
              <w:end w:w="80" w:type="dxa"/>
            </w:tcMar>
            <w:vAlign w:val="center"/>
          </w:tcPr>
          <w:p>
            <w:pPr>
              <w:jc w:val="left"/>
            </w:pPr>
            <w:r>
              <w:rPr>
                <w:sz w:val="16"/>
              </w:rPr>
              <w:t>Semi-annual</w:t>
            </w:r>
          </w:p>
        </w:tc>
        <w:tc>
          <w:tcPr>
            <w:tcW w:type="dxa" w:w="1368"/>
            <w:tcMar>
              <w:top w:w="80" w:type="dxa"/>
              <w:start w:w="80" w:type="dxa"/>
              <w:bottom w:w="80" w:type="dxa"/>
              <w:end w:w="80" w:type="dxa"/>
            </w:tcMar>
            <w:vAlign w:val="center"/>
          </w:tcPr>
          <w:p>
            <w:pPr>
              <w:jc w:val="left"/>
            </w:pPr>
            <w:r>
              <w:rPr>
                <w:sz w:val="16"/>
              </w:rPr>
              <w:t>Free public downloads</w:t>
            </w:r>
          </w:p>
        </w:tc>
        <w:tc>
          <w:tcPr>
            <w:tcW w:type="dxa" w:w="2592"/>
            <w:tcMar>
              <w:top w:w="80" w:type="dxa"/>
              <w:start w:w="80" w:type="dxa"/>
              <w:bottom w:w="80" w:type="dxa"/>
              <w:end w:w="80" w:type="dxa"/>
            </w:tcMar>
            <w:vAlign w:val="center"/>
          </w:tcPr>
          <w:p>
            <w:pPr>
              <w:jc w:val="left"/>
            </w:pPr>
            <w:r>
              <w:rPr>
                <w:sz w:val="16"/>
              </w:rPr>
              <w:t>Baseline valuations, appreciation history, peer comparisons, and future OMI-zone drilldown.</w:t>
            </w:r>
          </w:p>
        </w:tc>
        <w:tc>
          <w:tcPr>
            <w:tcW w:type="dxa" w:w="1008"/>
            <w:tcMar>
              <w:top w:w="80" w:type="dxa"/>
              <w:start w:w="80" w:type="dxa"/>
              <w:bottom w:w="80" w:type="dxa"/>
              <w:end w:w="80" w:type="dxa"/>
            </w:tcMar>
            <w:vAlign w:val="center"/>
          </w:tcPr>
          <w:p>
            <w:pPr>
              <w:jc w:val="center"/>
            </w:pPr>
            <w:r>
              <w:rPr>
                <w:sz w:val="16"/>
              </w:rPr>
              <w:t>Critical</w:t>
            </w:r>
          </w:p>
        </w:tc>
      </w:tr>
      <w:tr>
        <w:tc>
          <w:tcPr>
            <w:tcW w:type="dxa" w:w="1728"/>
            <w:tcMar>
              <w:top w:w="80" w:type="dxa"/>
              <w:start w:w="80" w:type="dxa"/>
              <w:bottom w:w="80" w:type="dxa"/>
              <w:end w:w="80" w:type="dxa"/>
            </w:tcMar>
            <w:vAlign w:val="center"/>
          </w:tcPr>
          <w:p>
            <w:pPr>
              <w:jc w:val="left"/>
            </w:pPr>
            <w:r>
              <w:rPr>
                <w:sz w:val="16"/>
              </w:rPr>
              <w:t>Agenzia delle Entrate - OMI transaction volumes</w:t>
            </w:r>
          </w:p>
        </w:tc>
        <w:tc>
          <w:tcPr>
            <w:tcW w:type="dxa" w:w="2592"/>
            <w:tcMar>
              <w:top w:w="80" w:type="dxa"/>
              <w:start w:w="80" w:type="dxa"/>
              <w:bottom w:w="80" w:type="dxa"/>
              <w:end w:w="80" w:type="dxa"/>
            </w:tcMar>
            <w:vAlign w:val="center"/>
          </w:tcPr>
          <w:p>
            <w:pPr>
              <w:jc w:val="left"/>
            </w:pPr>
            <w:r>
              <w:rPr>
                <w:sz w:val="16"/>
              </w:rPr>
              <w:t>Residential and market-sector transaction counts / activity by municipality and period.</w:t>
            </w:r>
          </w:p>
        </w:tc>
        <w:tc>
          <w:tcPr>
            <w:tcW w:type="dxa" w:w="1440"/>
            <w:tcMar>
              <w:top w:w="80" w:type="dxa"/>
              <w:start w:w="80" w:type="dxa"/>
              <w:bottom w:w="80" w:type="dxa"/>
              <w:end w:w="80" w:type="dxa"/>
            </w:tcMar>
            <w:vAlign w:val="center"/>
          </w:tcPr>
          <w:p>
            <w:pPr>
              <w:jc w:val="left"/>
            </w:pPr>
            <w:r>
              <w:rPr>
                <w:sz w:val="16"/>
              </w:rPr>
              <w:t>Municipality</w:t>
            </w:r>
          </w:p>
        </w:tc>
        <w:tc>
          <w:tcPr>
            <w:tcW w:type="dxa" w:w="1224"/>
            <w:tcMar>
              <w:top w:w="80" w:type="dxa"/>
              <w:start w:w="80" w:type="dxa"/>
              <w:bottom w:w="80" w:type="dxa"/>
              <w:end w:w="80" w:type="dxa"/>
            </w:tcMar>
            <w:vAlign w:val="center"/>
          </w:tcPr>
          <w:p>
            <w:pPr>
              <w:jc w:val="left"/>
            </w:pPr>
            <w:r>
              <w:rPr>
                <w:sz w:val="16"/>
              </w:rPr>
              <w:t>Semi-annual</w:t>
            </w:r>
          </w:p>
        </w:tc>
        <w:tc>
          <w:tcPr>
            <w:tcW w:type="dxa" w:w="1368"/>
            <w:tcMar>
              <w:top w:w="80" w:type="dxa"/>
              <w:start w:w="80" w:type="dxa"/>
              <w:bottom w:w="80" w:type="dxa"/>
              <w:end w:w="80" w:type="dxa"/>
            </w:tcMar>
            <w:vAlign w:val="center"/>
          </w:tcPr>
          <w:p>
            <w:pPr>
              <w:jc w:val="left"/>
            </w:pPr>
            <w:r>
              <w:rPr>
                <w:sz w:val="16"/>
              </w:rPr>
              <w:t>Free public downloads</w:t>
            </w:r>
          </w:p>
        </w:tc>
        <w:tc>
          <w:tcPr>
            <w:tcW w:type="dxa" w:w="2592"/>
            <w:tcMar>
              <w:top w:w="80" w:type="dxa"/>
              <w:start w:w="80" w:type="dxa"/>
              <w:bottom w:w="80" w:type="dxa"/>
              <w:end w:w="80" w:type="dxa"/>
            </w:tcMar>
            <w:vAlign w:val="center"/>
          </w:tcPr>
          <w:p>
            <w:pPr>
              <w:jc w:val="left"/>
            </w:pPr>
            <w:r>
              <w:rPr>
                <w:sz w:val="16"/>
              </w:rPr>
              <w:t>Liquidity, turnover, market depth, and price-versus-volume momentum features.</w:t>
            </w:r>
          </w:p>
        </w:tc>
        <w:tc>
          <w:tcPr>
            <w:tcW w:type="dxa" w:w="1008"/>
            <w:tcMar>
              <w:top w:w="80" w:type="dxa"/>
              <w:start w:w="80" w:type="dxa"/>
              <w:bottom w:w="80" w:type="dxa"/>
              <w:end w:w="80" w:type="dxa"/>
            </w:tcMar>
            <w:vAlign w:val="center"/>
          </w:tcPr>
          <w:p>
            <w:pPr>
              <w:jc w:val="center"/>
            </w:pPr>
            <w:r>
              <w:rPr>
                <w:sz w:val="16"/>
              </w:rPr>
              <w:t>Critical</w:t>
            </w:r>
          </w:p>
        </w:tc>
      </w:tr>
      <w:tr>
        <w:tc>
          <w:tcPr>
            <w:tcW w:type="dxa" w:w="1728"/>
            <w:tcMar>
              <w:top w:w="80" w:type="dxa"/>
              <w:start w:w="80" w:type="dxa"/>
              <w:bottom w:w="80" w:type="dxa"/>
              <w:end w:w="80" w:type="dxa"/>
            </w:tcMar>
            <w:vAlign w:val="center"/>
          </w:tcPr>
          <w:p>
            <w:pPr>
              <w:jc w:val="left"/>
            </w:pPr>
            <w:r>
              <w:rPr>
                <w:sz w:val="16"/>
              </w:rPr>
              <w:t>ISTAT resident population and census datasets</w:t>
            </w:r>
          </w:p>
        </w:tc>
        <w:tc>
          <w:tcPr>
            <w:tcW w:type="dxa" w:w="2592"/>
            <w:tcMar>
              <w:top w:w="80" w:type="dxa"/>
              <w:start w:w="80" w:type="dxa"/>
              <w:bottom w:w="80" w:type="dxa"/>
              <w:end w:w="80" w:type="dxa"/>
            </w:tcMar>
            <w:vAlign w:val="center"/>
          </w:tcPr>
          <w:p>
            <w:pPr>
              <w:jc w:val="left"/>
            </w:pPr>
            <w:r>
              <w:rPr>
                <w:sz w:val="16"/>
              </w:rPr>
              <w:t>Population, households, age structure, density, foreign share, and demographic structure.</w:t>
            </w:r>
          </w:p>
        </w:tc>
        <w:tc>
          <w:tcPr>
            <w:tcW w:type="dxa" w:w="1440"/>
            <w:tcMar>
              <w:top w:w="80" w:type="dxa"/>
              <w:start w:w="80" w:type="dxa"/>
              <w:bottom w:w="80" w:type="dxa"/>
              <w:end w:w="80" w:type="dxa"/>
            </w:tcMar>
            <w:vAlign w:val="center"/>
          </w:tcPr>
          <w:p>
            <w:pPr>
              <w:jc w:val="left"/>
            </w:pPr>
            <w:r>
              <w:rPr>
                <w:sz w:val="16"/>
              </w:rPr>
              <w:t>Municipality, year</w:t>
            </w:r>
          </w:p>
        </w:tc>
        <w:tc>
          <w:tcPr>
            <w:tcW w:type="dxa" w:w="1224"/>
            <w:tcMar>
              <w:top w:w="80" w:type="dxa"/>
              <w:start w:w="80" w:type="dxa"/>
              <w:bottom w:w="80" w:type="dxa"/>
              <w:end w:w="80" w:type="dxa"/>
            </w:tcMar>
            <w:vAlign w:val="center"/>
          </w:tcPr>
          <w:p>
            <w:pPr>
              <w:jc w:val="left"/>
            </w:pPr>
            <w:r>
              <w:rPr>
                <w:sz w:val="16"/>
              </w:rPr>
              <w:t>Annual</w:t>
            </w:r>
          </w:p>
        </w:tc>
        <w:tc>
          <w:tcPr>
            <w:tcW w:type="dxa" w:w="1368"/>
            <w:tcMar>
              <w:top w:w="80" w:type="dxa"/>
              <w:start w:w="80" w:type="dxa"/>
              <w:bottom w:w="80" w:type="dxa"/>
              <w:end w:w="80" w:type="dxa"/>
            </w:tcMar>
            <w:vAlign w:val="center"/>
          </w:tcPr>
          <w:p>
            <w:pPr>
              <w:jc w:val="left"/>
            </w:pPr>
            <w:r>
              <w:rPr>
                <w:sz w:val="16"/>
              </w:rPr>
              <w:t>Public datasets</w:t>
            </w:r>
          </w:p>
        </w:tc>
        <w:tc>
          <w:tcPr>
            <w:tcW w:type="dxa" w:w="2592"/>
            <w:tcMar>
              <w:top w:w="80" w:type="dxa"/>
              <w:start w:w="80" w:type="dxa"/>
              <w:bottom w:w="80" w:type="dxa"/>
              <w:end w:w="80" w:type="dxa"/>
            </w:tcMar>
            <w:vAlign w:val="center"/>
          </w:tcPr>
          <w:p>
            <w:pPr>
              <w:jc w:val="left"/>
            </w:pPr>
            <w:r>
              <w:rPr>
                <w:sz w:val="16"/>
              </w:rPr>
              <w:t>Population growth, household formation, demographic stability, and affordability context.</w:t>
            </w:r>
          </w:p>
        </w:tc>
        <w:tc>
          <w:tcPr>
            <w:tcW w:type="dxa" w:w="1008"/>
            <w:tcMar>
              <w:top w:w="80" w:type="dxa"/>
              <w:start w:w="80" w:type="dxa"/>
              <w:bottom w:w="80" w:type="dxa"/>
              <w:end w:w="80" w:type="dxa"/>
            </w:tcMar>
            <w:vAlign w:val="center"/>
          </w:tcPr>
          <w:p>
            <w:pPr>
              <w:jc w:val="center"/>
            </w:pPr>
            <w:r>
              <w:rPr>
                <w:sz w:val="16"/>
              </w:rPr>
              <w:t>Critical</w:t>
            </w:r>
          </w:p>
        </w:tc>
      </w:tr>
      <w:tr>
        <w:tc>
          <w:tcPr>
            <w:tcW w:type="dxa" w:w="1728"/>
            <w:tcMar>
              <w:top w:w="80" w:type="dxa"/>
              <w:start w:w="80" w:type="dxa"/>
              <w:bottom w:w="80" w:type="dxa"/>
              <w:end w:w="80" w:type="dxa"/>
            </w:tcMar>
            <w:vAlign w:val="center"/>
          </w:tcPr>
          <w:p>
            <w:pPr>
              <w:jc w:val="left"/>
            </w:pPr>
            <w:r>
              <w:rPr>
                <w:sz w:val="16"/>
              </w:rPr>
              <w:t>ISTAT tourism survey</w:t>
            </w:r>
          </w:p>
        </w:tc>
        <w:tc>
          <w:tcPr>
            <w:tcW w:type="dxa" w:w="2592"/>
            <w:tcMar>
              <w:top w:w="80" w:type="dxa"/>
              <w:start w:w="80" w:type="dxa"/>
              <w:bottom w:w="80" w:type="dxa"/>
              <w:end w:w="80" w:type="dxa"/>
            </w:tcMar>
            <w:vAlign w:val="center"/>
          </w:tcPr>
          <w:p>
            <w:pPr>
              <w:jc w:val="left"/>
            </w:pPr>
            <w:r>
              <w:rPr>
                <w:sz w:val="16"/>
              </w:rPr>
              <w:t>Monthly arrivals, presences, foreign share, and seasonality indicators.</w:t>
            </w:r>
          </w:p>
        </w:tc>
        <w:tc>
          <w:tcPr>
            <w:tcW w:type="dxa" w:w="1440"/>
            <w:tcMar>
              <w:top w:w="80" w:type="dxa"/>
              <w:start w:w="80" w:type="dxa"/>
              <w:bottom w:w="80" w:type="dxa"/>
              <w:end w:w="80" w:type="dxa"/>
            </w:tcMar>
            <w:vAlign w:val="center"/>
          </w:tcPr>
          <w:p>
            <w:pPr>
              <w:jc w:val="left"/>
            </w:pPr>
            <w:r>
              <w:rPr>
                <w:sz w:val="16"/>
              </w:rPr>
              <w:t>Municipality, month</w:t>
            </w:r>
          </w:p>
        </w:tc>
        <w:tc>
          <w:tcPr>
            <w:tcW w:type="dxa" w:w="1224"/>
            <w:tcMar>
              <w:top w:w="80" w:type="dxa"/>
              <w:start w:w="80" w:type="dxa"/>
              <w:bottom w:w="80" w:type="dxa"/>
              <w:end w:w="80" w:type="dxa"/>
            </w:tcMar>
            <w:vAlign w:val="center"/>
          </w:tcPr>
          <w:p>
            <w:pPr>
              <w:jc w:val="left"/>
            </w:pPr>
            <w:r>
              <w:rPr>
                <w:sz w:val="16"/>
              </w:rPr>
              <w:t>Monthly</w:t>
            </w:r>
          </w:p>
        </w:tc>
        <w:tc>
          <w:tcPr>
            <w:tcW w:type="dxa" w:w="1368"/>
            <w:tcMar>
              <w:top w:w="80" w:type="dxa"/>
              <w:start w:w="80" w:type="dxa"/>
              <w:bottom w:w="80" w:type="dxa"/>
              <w:end w:w="80" w:type="dxa"/>
            </w:tcMar>
            <w:vAlign w:val="center"/>
          </w:tcPr>
          <w:p>
            <w:pPr>
              <w:jc w:val="left"/>
            </w:pPr>
            <w:r>
              <w:rPr>
                <w:sz w:val="16"/>
              </w:rPr>
              <w:t>Public datasets</w:t>
            </w:r>
          </w:p>
        </w:tc>
        <w:tc>
          <w:tcPr>
            <w:tcW w:type="dxa" w:w="2592"/>
            <w:tcMar>
              <w:top w:w="80" w:type="dxa"/>
              <w:start w:w="80" w:type="dxa"/>
              <w:bottom w:w="80" w:type="dxa"/>
              <w:end w:w="80" w:type="dxa"/>
            </w:tcMar>
            <w:vAlign w:val="center"/>
          </w:tcPr>
          <w:p>
            <w:pPr>
              <w:jc w:val="left"/>
            </w:pPr>
            <w:r>
              <w:rPr>
                <w:sz w:val="16"/>
              </w:rPr>
              <w:t>Tourism intensity, seasonality, vacation-market demand, and STR demand signals.</w:t>
            </w:r>
          </w:p>
        </w:tc>
        <w:tc>
          <w:tcPr>
            <w:tcW w:type="dxa" w:w="1008"/>
            <w:tcMar>
              <w:top w:w="80" w:type="dxa"/>
              <w:start w:w="80" w:type="dxa"/>
              <w:bottom w:w="80" w:type="dxa"/>
              <w:end w:w="80" w:type="dxa"/>
            </w:tcMar>
            <w:vAlign w:val="center"/>
          </w:tcPr>
          <w:p>
            <w:pPr>
              <w:jc w:val="center"/>
            </w:pPr>
            <w:r>
              <w:rPr>
                <w:sz w:val="16"/>
              </w:rPr>
              <w:t>High</w:t>
            </w:r>
          </w:p>
        </w:tc>
      </w:tr>
      <w:tr>
        <w:tc>
          <w:tcPr>
            <w:tcW w:type="dxa" w:w="1728"/>
            <w:tcMar>
              <w:top w:w="80" w:type="dxa"/>
              <w:start w:w="80" w:type="dxa"/>
              <w:bottom w:w="80" w:type="dxa"/>
              <w:end w:w="80" w:type="dxa"/>
            </w:tcMar>
            <w:vAlign w:val="center"/>
          </w:tcPr>
          <w:p>
            <w:pPr>
              <w:jc w:val="left"/>
            </w:pPr>
            <w:r>
              <w:rPr>
                <w:sz w:val="16"/>
              </w:rPr>
              <w:t>ISTAT territorial bases and commuting matrices</w:t>
            </w:r>
          </w:p>
        </w:tc>
        <w:tc>
          <w:tcPr>
            <w:tcW w:type="dxa" w:w="2592"/>
            <w:tcMar>
              <w:top w:w="80" w:type="dxa"/>
              <w:start w:w="80" w:type="dxa"/>
              <w:bottom w:w="80" w:type="dxa"/>
              <w:end w:w="80" w:type="dxa"/>
            </w:tcMar>
            <w:vAlign w:val="center"/>
          </w:tcPr>
          <w:p>
            <w:pPr>
              <w:jc w:val="left"/>
            </w:pPr>
            <w:r>
              <w:rPr>
                <w:sz w:val="16"/>
              </w:rPr>
              <w:t>Boundaries, contiguity, commuting flows, travel-time, and spatial context inputs.</w:t>
            </w:r>
          </w:p>
        </w:tc>
        <w:tc>
          <w:tcPr>
            <w:tcW w:type="dxa" w:w="1440"/>
            <w:tcMar>
              <w:top w:w="80" w:type="dxa"/>
              <w:start w:w="80" w:type="dxa"/>
              <w:bottom w:w="80" w:type="dxa"/>
              <w:end w:w="80" w:type="dxa"/>
            </w:tcMar>
            <w:vAlign w:val="center"/>
          </w:tcPr>
          <w:p>
            <w:pPr>
              <w:jc w:val="left"/>
            </w:pPr>
            <w:r>
              <w:rPr>
                <w:sz w:val="16"/>
              </w:rPr>
              <w:t>Municipality, geometry</w:t>
            </w:r>
          </w:p>
        </w:tc>
        <w:tc>
          <w:tcPr>
            <w:tcW w:type="dxa" w:w="1224"/>
            <w:tcMar>
              <w:top w:w="80" w:type="dxa"/>
              <w:start w:w="80" w:type="dxa"/>
              <w:bottom w:w="80" w:type="dxa"/>
              <w:end w:w="80" w:type="dxa"/>
            </w:tcMar>
            <w:vAlign w:val="center"/>
          </w:tcPr>
          <w:p>
            <w:pPr>
              <w:jc w:val="left"/>
            </w:pPr>
            <w:r>
              <w:rPr>
                <w:sz w:val="16"/>
              </w:rPr>
              <w:t>Periodic / annual</w:t>
            </w:r>
          </w:p>
        </w:tc>
        <w:tc>
          <w:tcPr>
            <w:tcW w:type="dxa" w:w="1368"/>
            <w:tcMar>
              <w:top w:w="80" w:type="dxa"/>
              <w:start w:w="80" w:type="dxa"/>
              <w:bottom w:w="80" w:type="dxa"/>
              <w:end w:w="80" w:type="dxa"/>
            </w:tcMar>
            <w:vAlign w:val="center"/>
          </w:tcPr>
          <w:p>
            <w:pPr>
              <w:jc w:val="left"/>
            </w:pPr>
            <w:r>
              <w:rPr>
                <w:sz w:val="16"/>
              </w:rPr>
              <w:t>Public datasets</w:t>
            </w:r>
          </w:p>
        </w:tc>
        <w:tc>
          <w:tcPr>
            <w:tcW w:type="dxa" w:w="2592"/>
            <w:tcMar>
              <w:top w:w="80" w:type="dxa"/>
              <w:start w:w="80" w:type="dxa"/>
              <w:bottom w:w="80" w:type="dxa"/>
              <w:end w:w="80" w:type="dxa"/>
            </w:tcMar>
            <w:vAlign w:val="center"/>
          </w:tcPr>
          <w:p>
            <w:pPr>
              <w:jc w:val="left"/>
            </w:pPr>
            <w:r>
              <w:rPr>
                <w:sz w:val="16"/>
              </w:rPr>
              <w:t>Map geometries, neighbor features, commuter integration, and accessibility scores.</w:t>
            </w:r>
          </w:p>
        </w:tc>
        <w:tc>
          <w:tcPr>
            <w:tcW w:type="dxa" w:w="1008"/>
            <w:tcMar>
              <w:top w:w="80" w:type="dxa"/>
              <w:start w:w="80" w:type="dxa"/>
              <w:bottom w:w="80" w:type="dxa"/>
              <w:end w:w="80" w:type="dxa"/>
            </w:tcMar>
            <w:vAlign w:val="center"/>
          </w:tcPr>
          <w:p>
            <w:pPr>
              <w:jc w:val="center"/>
            </w:pPr>
            <w:r>
              <w:rPr>
                <w:sz w:val="16"/>
              </w:rPr>
              <w:t>High</w:t>
            </w:r>
          </w:p>
        </w:tc>
      </w:tr>
    </w:tbl>
    <w:p>
      <w:pPr>
        <w:pStyle w:val="Heading2"/>
      </w:pPr>
      <w:r>
        <w:t>Secondary and optional feeds</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728"/>
            <w:shd w:fill="D9EAF7"/>
            <w:tcMar>
              <w:top w:w="80" w:type="dxa"/>
              <w:start w:w="80" w:type="dxa"/>
              <w:bottom w:w="80" w:type="dxa"/>
              <w:end w:w="80" w:type="dxa"/>
            </w:tcMar>
            <w:vAlign w:val="center"/>
          </w:tcPr>
          <w:p>
            <w:pPr>
              <w:jc w:val="center"/>
            </w:pPr>
            <w:r>
              <w:rPr>
                <w:b/>
                <w:sz w:val="17"/>
              </w:rPr>
              <w:t>Source</w:t>
            </w:r>
          </w:p>
        </w:tc>
        <w:tc>
          <w:tcPr>
            <w:tcW w:type="dxa" w:w="2592"/>
            <w:shd w:fill="D9EAF7"/>
            <w:tcMar>
              <w:top w:w="80" w:type="dxa"/>
              <w:start w:w="80" w:type="dxa"/>
              <w:bottom w:w="80" w:type="dxa"/>
              <w:end w:w="80" w:type="dxa"/>
            </w:tcMar>
            <w:vAlign w:val="center"/>
          </w:tcPr>
          <w:p>
            <w:pPr>
              <w:jc w:val="center"/>
            </w:pPr>
            <w:r>
              <w:rPr>
                <w:b/>
                <w:sz w:val="17"/>
              </w:rPr>
              <w:t>Key data</w:t>
            </w:r>
          </w:p>
        </w:tc>
        <w:tc>
          <w:tcPr>
            <w:tcW w:type="dxa" w:w="1440"/>
            <w:shd w:fill="D9EAF7"/>
            <w:tcMar>
              <w:top w:w="80" w:type="dxa"/>
              <w:start w:w="80" w:type="dxa"/>
              <w:bottom w:w="80" w:type="dxa"/>
              <w:end w:w="80" w:type="dxa"/>
            </w:tcMar>
            <w:vAlign w:val="center"/>
          </w:tcPr>
          <w:p>
            <w:pPr>
              <w:jc w:val="center"/>
            </w:pPr>
            <w:r>
              <w:rPr>
                <w:b/>
                <w:sz w:val="17"/>
              </w:rPr>
              <w:t>Grain</w:t>
            </w:r>
          </w:p>
        </w:tc>
        <w:tc>
          <w:tcPr>
            <w:tcW w:type="dxa" w:w="1224"/>
            <w:shd w:fill="D9EAF7"/>
            <w:tcMar>
              <w:top w:w="80" w:type="dxa"/>
              <w:start w:w="80" w:type="dxa"/>
              <w:bottom w:w="80" w:type="dxa"/>
              <w:end w:w="80" w:type="dxa"/>
            </w:tcMar>
            <w:vAlign w:val="center"/>
          </w:tcPr>
          <w:p>
            <w:pPr>
              <w:jc w:val="center"/>
            </w:pPr>
            <w:r>
              <w:rPr>
                <w:b/>
                <w:sz w:val="17"/>
              </w:rPr>
              <w:t>Cadence</w:t>
            </w:r>
          </w:p>
        </w:tc>
        <w:tc>
          <w:tcPr>
            <w:tcW w:type="dxa" w:w="1368"/>
            <w:shd w:fill="D9EAF7"/>
            <w:tcMar>
              <w:top w:w="80" w:type="dxa"/>
              <w:start w:w="80" w:type="dxa"/>
              <w:bottom w:w="80" w:type="dxa"/>
              <w:end w:w="80" w:type="dxa"/>
            </w:tcMar>
            <w:vAlign w:val="center"/>
          </w:tcPr>
          <w:p>
            <w:pPr>
              <w:jc w:val="center"/>
            </w:pPr>
            <w:r>
              <w:rPr>
                <w:b/>
                <w:sz w:val="17"/>
              </w:rPr>
              <w:t>Access</w:t>
            </w:r>
          </w:p>
        </w:tc>
        <w:tc>
          <w:tcPr>
            <w:tcW w:type="dxa" w:w="2592"/>
            <w:shd w:fill="D9EAF7"/>
            <w:tcMar>
              <w:top w:w="80" w:type="dxa"/>
              <w:start w:w="80" w:type="dxa"/>
              <w:bottom w:w="80" w:type="dxa"/>
              <w:end w:w="80" w:type="dxa"/>
            </w:tcMar>
            <w:vAlign w:val="center"/>
          </w:tcPr>
          <w:p>
            <w:pPr>
              <w:jc w:val="center"/>
            </w:pPr>
            <w:r>
              <w:rPr>
                <w:b/>
                <w:sz w:val="17"/>
              </w:rPr>
              <w:t>Primary use</w:t>
            </w:r>
          </w:p>
        </w:tc>
        <w:tc>
          <w:tcPr>
            <w:tcW w:type="dxa" w:w="1008"/>
            <w:shd w:fill="D9EAF7"/>
            <w:tcMar>
              <w:top w:w="80" w:type="dxa"/>
              <w:start w:w="80" w:type="dxa"/>
              <w:bottom w:w="80" w:type="dxa"/>
              <w:end w:w="80" w:type="dxa"/>
            </w:tcMar>
            <w:vAlign w:val="center"/>
          </w:tcPr>
          <w:p>
            <w:pPr>
              <w:jc w:val="center"/>
            </w:pPr>
            <w:r>
              <w:rPr>
                <w:b/>
                <w:sz w:val="17"/>
              </w:rPr>
              <w:t>Priority</w:t>
            </w:r>
          </w:p>
        </w:tc>
      </w:tr>
      <w:tr>
        <w:tc>
          <w:tcPr>
            <w:tcW w:type="dxa" w:w="1728"/>
            <w:tcMar>
              <w:top w:w="80" w:type="dxa"/>
              <w:start w:w="80" w:type="dxa"/>
              <w:bottom w:w="80" w:type="dxa"/>
              <w:end w:w="80" w:type="dxa"/>
            </w:tcMar>
            <w:vAlign w:val="center"/>
          </w:tcPr>
          <w:p>
            <w:pPr>
              <w:jc w:val="left"/>
            </w:pPr>
            <w:r>
              <w:rPr>
                <w:sz w:val="16"/>
              </w:rPr>
              <w:t>Agenzia delle Entrate - locazioni / market summaries</w:t>
            </w:r>
          </w:p>
        </w:tc>
        <w:tc>
          <w:tcPr>
            <w:tcW w:type="dxa" w:w="2592"/>
            <w:tcMar>
              <w:top w:w="80" w:type="dxa"/>
              <w:start w:w="80" w:type="dxa"/>
              <w:bottom w:w="80" w:type="dxa"/>
              <w:end w:w="80" w:type="dxa"/>
            </w:tcMar>
            <w:vAlign w:val="center"/>
          </w:tcPr>
          <w:p>
            <w:pPr>
              <w:jc w:val="left"/>
            </w:pPr>
            <w:r>
              <w:rPr>
                <w:sz w:val="16"/>
              </w:rPr>
              <w:t>Rental-market summaries, counts, surfaces, and canoni where available.</w:t>
            </w:r>
          </w:p>
        </w:tc>
        <w:tc>
          <w:tcPr>
            <w:tcW w:type="dxa" w:w="1440"/>
            <w:tcMar>
              <w:top w:w="80" w:type="dxa"/>
              <w:start w:w="80" w:type="dxa"/>
              <w:bottom w:w="80" w:type="dxa"/>
              <w:end w:w="80" w:type="dxa"/>
            </w:tcMar>
            <w:vAlign w:val="center"/>
          </w:tcPr>
          <w:p>
            <w:pPr>
              <w:jc w:val="left"/>
            </w:pPr>
            <w:r>
              <w:rPr>
                <w:sz w:val="16"/>
              </w:rPr>
              <w:t>Varies by release</w:t>
            </w:r>
          </w:p>
        </w:tc>
        <w:tc>
          <w:tcPr>
            <w:tcW w:type="dxa" w:w="1224"/>
            <w:tcMar>
              <w:top w:w="80" w:type="dxa"/>
              <w:start w:w="80" w:type="dxa"/>
              <w:bottom w:w="80" w:type="dxa"/>
              <w:end w:w="80" w:type="dxa"/>
            </w:tcMar>
            <w:vAlign w:val="center"/>
          </w:tcPr>
          <w:p>
            <w:pPr>
              <w:jc w:val="left"/>
            </w:pPr>
            <w:r>
              <w:rPr>
                <w:sz w:val="16"/>
              </w:rPr>
              <w:t>Periodic</w:t>
            </w:r>
          </w:p>
        </w:tc>
        <w:tc>
          <w:tcPr>
            <w:tcW w:type="dxa" w:w="1368"/>
            <w:tcMar>
              <w:top w:w="80" w:type="dxa"/>
              <w:start w:w="80" w:type="dxa"/>
              <w:bottom w:w="80" w:type="dxa"/>
              <w:end w:w="80" w:type="dxa"/>
            </w:tcMar>
            <w:vAlign w:val="center"/>
          </w:tcPr>
          <w:p>
            <w:pPr>
              <w:jc w:val="left"/>
            </w:pPr>
            <w:r>
              <w:rPr>
                <w:sz w:val="16"/>
              </w:rPr>
              <w:t>Public datasets</w:t>
            </w:r>
          </w:p>
        </w:tc>
        <w:tc>
          <w:tcPr>
            <w:tcW w:type="dxa" w:w="2592"/>
            <w:tcMar>
              <w:top w:w="80" w:type="dxa"/>
              <w:start w:w="80" w:type="dxa"/>
              <w:bottom w:w="80" w:type="dxa"/>
              <w:end w:w="80" w:type="dxa"/>
            </w:tcMar>
            <w:vAlign w:val="center"/>
          </w:tcPr>
          <w:p>
            <w:pPr>
              <w:jc w:val="left"/>
            </w:pPr>
            <w:r>
              <w:rPr>
                <w:sz w:val="16"/>
              </w:rPr>
              <w:t>Cross-check rental assumptions and enrich long-term rental modeling where coverage exists.</w:t>
            </w:r>
          </w:p>
        </w:tc>
        <w:tc>
          <w:tcPr>
            <w:tcW w:type="dxa" w:w="1008"/>
            <w:tcMar>
              <w:top w:w="80" w:type="dxa"/>
              <w:start w:w="80" w:type="dxa"/>
              <w:bottom w:w="80" w:type="dxa"/>
              <w:end w:w="80" w:type="dxa"/>
            </w:tcMar>
            <w:vAlign w:val="center"/>
          </w:tcPr>
          <w:p>
            <w:pPr>
              <w:jc w:val="center"/>
            </w:pPr>
            <w:r>
              <w:rPr>
                <w:sz w:val="16"/>
              </w:rPr>
              <w:t>Medium</w:t>
            </w:r>
          </w:p>
        </w:tc>
      </w:tr>
      <w:tr>
        <w:tc>
          <w:tcPr>
            <w:tcW w:type="dxa" w:w="1728"/>
            <w:tcMar>
              <w:top w:w="80" w:type="dxa"/>
              <w:start w:w="80" w:type="dxa"/>
              <w:bottom w:w="80" w:type="dxa"/>
              <w:end w:w="80" w:type="dxa"/>
            </w:tcMar>
            <w:vAlign w:val="center"/>
          </w:tcPr>
          <w:p>
            <w:pPr>
              <w:jc w:val="left"/>
            </w:pPr>
            <w:r>
              <w:rPr>
                <w:sz w:val="16"/>
              </w:rPr>
              <w:t>Long-term rental portal or licensed feed</w:t>
            </w:r>
          </w:p>
        </w:tc>
        <w:tc>
          <w:tcPr>
            <w:tcW w:type="dxa" w:w="2592"/>
            <w:tcMar>
              <w:top w:w="80" w:type="dxa"/>
              <w:start w:w="80" w:type="dxa"/>
              <w:bottom w:w="80" w:type="dxa"/>
              <w:end w:w="80" w:type="dxa"/>
            </w:tcMar>
            <w:vAlign w:val="center"/>
          </w:tcPr>
          <w:p>
            <w:pPr>
              <w:jc w:val="left"/>
            </w:pPr>
            <w:r>
              <w:rPr>
                <w:sz w:val="16"/>
              </w:rPr>
              <w:t>Asking rents, listing counts, property-type rent levels, and optional days on market.</w:t>
            </w:r>
          </w:p>
        </w:tc>
        <w:tc>
          <w:tcPr>
            <w:tcW w:type="dxa" w:w="1440"/>
            <w:tcMar>
              <w:top w:w="80" w:type="dxa"/>
              <w:start w:w="80" w:type="dxa"/>
              <w:bottom w:w="80" w:type="dxa"/>
              <w:end w:w="80" w:type="dxa"/>
            </w:tcMar>
            <w:vAlign w:val="center"/>
          </w:tcPr>
          <w:p>
            <w:pPr>
              <w:jc w:val="left"/>
            </w:pPr>
            <w:r>
              <w:rPr>
                <w:sz w:val="16"/>
              </w:rPr>
              <w:t>Municipality or geo-cluster, month</w:t>
            </w:r>
          </w:p>
        </w:tc>
        <w:tc>
          <w:tcPr>
            <w:tcW w:type="dxa" w:w="1224"/>
            <w:tcMar>
              <w:top w:w="80" w:type="dxa"/>
              <w:start w:w="80" w:type="dxa"/>
              <w:bottom w:w="80" w:type="dxa"/>
              <w:end w:w="80" w:type="dxa"/>
            </w:tcMar>
            <w:vAlign w:val="center"/>
          </w:tcPr>
          <w:p>
            <w:pPr>
              <w:jc w:val="left"/>
            </w:pPr>
            <w:r>
              <w:rPr>
                <w:sz w:val="16"/>
              </w:rPr>
              <w:t>Monthly or weekly</w:t>
            </w:r>
          </w:p>
        </w:tc>
        <w:tc>
          <w:tcPr>
            <w:tcW w:type="dxa" w:w="1368"/>
            <w:tcMar>
              <w:top w:w="80" w:type="dxa"/>
              <w:start w:w="80" w:type="dxa"/>
              <w:bottom w:w="80" w:type="dxa"/>
              <w:end w:w="80" w:type="dxa"/>
            </w:tcMar>
            <w:vAlign w:val="center"/>
          </w:tcPr>
          <w:p>
            <w:pPr>
              <w:jc w:val="left"/>
            </w:pPr>
            <w:r>
              <w:rPr>
                <w:sz w:val="16"/>
              </w:rPr>
              <w:t>Commercial / scraped / partner feed</w:t>
            </w:r>
          </w:p>
        </w:tc>
        <w:tc>
          <w:tcPr>
            <w:tcW w:type="dxa" w:w="2592"/>
            <w:tcMar>
              <w:top w:w="80" w:type="dxa"/>
              <w:start w:w="80" w:type="dxa"/>
              <w:bottom w:w="80" w:type="dxa"/>
              <w:end w:w="80" w:type="dxa"/>
            </w:tcMar>
            <w:vAlign w:val="center"/>
          </w:tcPr>
          <w:p>
            <w:pPr>
              <w:jc w:val="left"/>
            </w:pPr>
            <w:r>
              <w:rPr>
                <w:sz w:val="16"/>
              </w:rPr>
              <w:t>Gross yield estimation, rent trends, and long-term rental ROI forecasts.</w:t>
            </w:r>
          </w:p>
        </w:tc>
        <w:tc>
          <w:tcPr>
            <w:tcW w:type="dxa" w:w="1008"/>
            <w:tcMar>
              <w:top w:w="80" w:type="dxa"/>
              <w:start w:w="80" w:type="dxa"/>
              <w:bottom w:w="80" w:type="dxa"/>
              <w:end w:w="80" w:type="dxa"/>
            </w:tcMar>
            <w:vAlign w:val="center"/>
          </w:tcPr>
          <w:p>
            <w:pPr>
              <w:jc w:val="center"/>
            </w:pPr>
            <w:r>
              <w:rPr>
                <w:sz w:val="16"/>
              </w:rPr>
              <w:t>Critical</w:t>
            </w:r>
          </w:p>
        </w:tc>
      </w:tr>
      <w:tr>
        <w:tc>
          <w:tcPr>
            <w:tcW w:type="dxa" w:w="1728"/>
            <w:tcMar>
              <w:top w:w="80" w:type="dxa"/>
              <w:start w:w="80" w:type="dxa"/>
              <w:bottom w:w="80" w:type="dxa"/>
              <w:end w:w="80" w:type="dxa"/>
            </w:tcMar>
            <w:vAlign w:val="center"/>
          </w:tcPr>
          <w:p>
            <w:pPr>
              <w:jc w:val="left"/>
            </w:pPr>
            <w:r>
              <w:rPr>
                <w:sz w:val="16"/>
              </w:rPr>
              <w:t>Short-term rental provider</w:t>
            </w:r>
          </w:p>
        </w:tc>
        <w:tc>
          <w:tcPr>
            <w:tcW w:type="dxa" w:w="2592"/>
            <w:tcMar>
              <w:top w:w="80" w:type="dxa"/>
              <w:start w:w="80" w:type="dxa"/>
              <w:bottom w:w="80" w:type="dxa"/>
              <w:end w:w="80" w:type="dxa"/>
            </w:tcMar>
            <w:vAlign w:val="center"/>
          </w:tcPr>
          <w:p>
            <w:pPr>
              <w:jc w:val="left"/>
            </w:pPr>
            <w:r>
              <w:rPr>
                <w:sz w:val="16"/>
              </w:rPr>
              <w:t>ADR, occupancy, RevPAR, active listings, seasonality, and listing supply.</w:t>
            </w:r>
          </w:p>
        </w:tc>
        <w:tc>
          <w:tcPr>
            <w:tcW w:type="dxa" w:w="1440"/>
            <w:tcMar>
              <w:top w:w="80" w:type="dxa"/>
              <w:start w:w="80" w:type="dxa"/>
              <w:bottom w:w="80" w:type="dxa"/>
              <w:end w:w="80" w:type="dxa"/>
            </w:tcMar>
            <w:vAlign w:val="center"/>
          </w:tcPr>
          <w:p>
            <w:pPr>
              <w:jc w:val="left"/>
            </w:pPr>
            <w:r>
              <w:rPr>
                <w:sz w:val="16"/>
              </w:rPr>
              <w:t>Municipality or market cluster, month</w:t>
            </w:r>
          </w:p>
        </w:tc>
        <w:tc>
          <w:tcPr>
            <w:tcW w:type="dxa" w:w="1224"/>
            <w:tcMar>
              <w:top w:w="80" w:type="dxa"/>
              <w:start w:w="80" w:type="dxa"/>
              <w:bottom w:w="80" w:type="dxa"/>
              <w:end w:w="80" w:type="dxa"/>
            </w:tcMar>
            <w:vAlign w:val="center"/>
          </w:tcPr>
          <w:p>
            <w:pPr>
              <w:jc w:val="left"/>
            </w:pPr>
            <w:r>
              <w:rPr>
                <w:sz w:val="16"/>
              </w:rPr>
              <w:t>Monthly</w:t>
            </w:r>
          </w:p>
        </w:tc>
        <w:tc>
          <w:tcPr>
            <w:tcW w:type="dxa" w:w="1368"/>
            <w:tcMar>
              <w:top w:w="80" w:type="dxa"/>
              <w:start w:w="80" w:type="dxa"/>
              <w:bottom w:w="80" w:type="dxa"/>
              <w:end w:w="80" w:type="dxa"/>
            </w:tcMar>
            <w:vAlign w:val="center"/>
          </w:tcPr>
          <w:p>
            <w:pPr>
              <w:jc w:val="left"/>
            </w:pPr>
            <w:r>
              <w:rPr>
                <w:sz w:val="16"/>
              </w:rPr>
              <w:t>Commercial feed</w:t>
            </w:r>
          </w:p>
        </w:tc>
        <w:tc>
          <w:tcPr>
            <w:tcW w:type="dxa" w:w="2592"/>
            <w:tcMar>
              <w:top w:w="80" w:type="dxa"/>
              <w:start w:w="80" w:type="dxa"/>
              <w:bottom w:w="80" w:type="dxa"/>
              <w:end w:w="80" w:type="dxa"/>
            </w:tcMar>
            <w:vAlign w:val="center"/>
          </w:tcPr>
          <w:p>
            <w:pPr>
              <w:jc w:val="left"/>
            </w:pPr>
            <w:r>
              <w:rPr>
                <w:sz w:val="16"/>
              </w:rPr>
              <w:t>Vacation-rental ROI layer for tourism-heavy municipalities.</w:t>
            </w:r>
          </w:p>
        </w:tc>
        <w:tc>
          <w:tcPr>
            <w:tcW w:type="dxa" w:w="1008"/>
            <w:tcMar>
              <w:top w:w="80" w:type="dxa"/>
              <w:start w:w="80" w:type="dxa"/>
              <w:bottom w:w="80" w:type="dxa"/>
              <w:end w:w="80" w:type="dxa"/>
            </w:tcMar>
            <w:vAlign w:val="center"/>
          </w:tcPr>
          <w:p>
            <w:pPr>
              <w:jc w:val="center"/>
            </w:pPr>
            <w:r>
              <w:rPr>
                <w:sz w:val="16"/>
              </w:rPr>
              <w:t>Phase 2</w:t>
            </w:r>
          </w:p>
        </w:tc>
      </w:tr>
      <w:tr>
        <w:tc>
          <w:tcPr>
            <w:tcW w:type="dxa" w:w="1728"/>
            <w:tcMar>
              <w:top w:w="80" w:type="dxa"/>
              <w:start w:w="80" w:type="dxa"/>
              <w:bottom w:w="80" w:type="dxa"/>
              <w:end w:w="80" w:type="dxa"/>
            </w:tcMar>
            <w:vAlign w:val="center"/>
          </w:tcPr>
          <w:p>
            <w:pPr>
              <w:jc w:val="left"/>
            </w:pPr>
            <w:r>
              <w:rPr>
                <w:sz w:val="16"/>
              </w:rPr>
              <w:t>Manual / curated regulatory dataset</w:t>
            </w:r>
          </w:p>
        </w:tc>
        <w:tc>
          <w:tcPr>
            <w:tcW w:type="dxa" w:w="2592"/>
            <w:tcMar>
              <w:top w:w="80" w:type="dxa"/>
              <w:start w:w="80" w:type="dxa"/>
              <w:bottom w:w="80" w:type="dxa"/>
              <w:end w:w="80" w:type="dxa"/>
            </w:tcMar>
            <w:vAlign w:val="center"/>
          </w:tcPr>
          <w:p>
            <w:pPr>
              <w:jc w:val="left"/>
            </w:pPr>
            <w:r>
              <w:rPr>
                <w:sz w:val="16"/>
              </w:rPr>
              <w:t>Municipal STR restrictions, heritage rules, historic-center constraints, and local policy changes.</w:t>
            </w:r>
          </w:p>
        </w:tc>
        <w:tc>
          <w:tcPr>
            <w:tcW w:type="dxa" w:w="1440"/>
            <w:tcMar>
              <w:top w:w="80" w:type="dxa"/>
              <w:start w:w="80" w:type="dxa"/>
              <w:bottom w:w="80" w:type="dxa"/>
              <w:end w:w="80" w:type="dxa"/>
            </w:tcMar>
            <w:vAlign w:val="center"/>
          </w:tcPr>
          <w:p>
            <w:pPr>
              <w:jc w:val="left"/>
            </w:pPr>
            <w:r>
              <w:rPr>
                <w:sz w:val="16"/>
              </w:rPr>
              <w:t>Municipality, effective date</w:t>
            </w:r>
          </w:p>
        </w:tc>
        <w:tc>
          <w:tcPr>
            <w:tcW w:type="dxa" w:w="1224"/>
            <w:tcMar>
              <w:top w:w="80" w:type="dxa"/>
              <w:start w:w="80" w:type="dxa"/>
              <w:bottom w:w="80" w:type="dxa"/>
              <w:end w:w="80" w:type="dxa"/>
            </w:tcMar>
            <w:vAlign w:val="center"/>
          </w:tcPr>
          <w:p>
            <w:pPr>
              <w:jc w:val="left"/>
            </w:pPr>
            <w:r>
              <w:rPr>
                <w:sz w:val="16"/>
              </w:rPr>
              <w:t>As needed</w:t>
            </w:r>
          </w:p>
        </w:tc>
        <w:tc>
          <w:tcPr>
            <w:tcW w:type="dxa" w:w="1368"/>
            <w:tcMar>
              <w:top w:w="80" w:type="dxa"/>
              <w:start w:w="80" w:type="dxa"/>
              <w:bottom w:w="80" w:type="dxa"/>
              <w:end w:w="80" w:type="dxa"/>
            </w:tcMar>
            <w:vAlign w:val="center"/>
          </w:tcPr>
          <w:p>
            <w:pPr>
              <w:jc w:val="left"/>
            </w:pPr>
            <w:r>
              <w:rPr>
                <w:sz w:val="16"/>
              </w:rPr>
              <w:t>Manual internal curation</w:t>
            </w:r>
          </w:p>
        </w:tc>
        <w:tc>
          <w:tcPr>
            <w:tcW w:type="dxa" w:w="2592"/>
            <w:tcMar>
              <w:top w:w="80" w:type="dxa"/>
              <w:start w:w="80" w:type="dxa"/>
              <w:bottom w:w="80" w:type="dxa"/>
              <w:end w:w="80" w:type="dxa"/>
            </w:tcMar>
            <w:vAlign w:val="center"/>
          </w:tcPr>
          <w:p>
            <w:pPr>
              <w:jc w:val="left"/>
            </w:pPr>
            <w:r>
              <w:rPr>
                <w:sz w:val="16"/>
              </w:rPr>
              <w:t>Risk flags, regulation score, and analyst due-diligence overlays.</w:t>
            </w:r>
          </w:p>
        </w:tc>
        <w:tc>
          <w:tcPr>
            <w:tcW w:type="dxa" w:w="1008"/>
            <w:tcMar>
              <w:top w:w="80" w:type="dxa"/>
              <w:start w:w="80" w:type="dxa"/>
              <w:bottom w:w="80" w:type="dxa"/>
              <w:end w:w="80" w:type="dxa"/>
            </w:tcMar>
            <w:vAlign w:val="center"/>
          </w:tcPr>
          <w:p>
            <w:pPr>
              <w:jc w:val="center"/>
            </w:pPr>
            <w:r>
              <w:rPr>
                <w:sz w:val="16"/>
              </w:rPr>
              <w:t>High</w:t>
            </w:r>
          </w:p>
        </w:tc>
      </w:tr>
      <w:tr>
        <w:tc>
          <w:tcPr>
            <w:tcW w:type="dxa" w:w="1728"/>
            <w:tcMar>
              <w:top w:w="80" w:type="dxa"/>
              <w:start w:w="80" w:type="dxa"/>
              <w:bottom w:w="80" w:type="dxa"/>
              <w:end w:w="80" w:type="dxa"/>
            </w:tcMar>
            <w:vAlign w:val="center"/>
          </w:tcPr>
          <w:p>
            <w:pPr>
              <w:jc w:val="left"/>
            </w:pPr>
            <w:r>
              <w:rPr>
                <w:sz w:val="16"/>
              </w:rPr>
              <w:t>Reserved-access workflows (SPID / Sister / AdE services)</w:t>
            </w:r>
          </w:p>
        </w:tc>
        <w:tc>
          <w:tcPr>
            <w:tcW w:type="dxa" w:w="2592"/>
            <w:tcMar>
              <w:top w:w="80" w:type="dxa"/>
              <w:start w:w="80" w:type="dxa"/>
              <w:bottom w:w="80" w:type="dxa"/>
              <w:end w:w="80" w:type="dxa"/>
            </w:tcMar>
            <w:vAlign w:val="center"/>
          </w:tcPr>
          <w:p>
            <w:pPr>
              <w:jc w:val="left"/>
            </w:pPr>
            <w:r>
              <w:rPr>
                <w:sz w:val="16"/>
              </w:rPr>
              <w:t>Title, cadastral, mortgage, and property-specific verification workflows.</w:t>
            </w:r>
          </w:p>
        </w:tc>
        <w:tc>
          <w:tcPr>
            <w:tcW w:type="dxa" w:w="1440"/>
            <w:tcMar>
              <w:top w:w="80" w:type="dxa"/>
              <w:start w:w="80" w:type="dxa"/>
              <w:bottom w:w="80" w:type="dxa"/>
              <w:end w:w="80" w:type="dxa"/>
            </w:tcMar>
            <w:vAlign w:val="center"/>
          </w:tcPr>
          <w:p>
            <w:pPr>
              <w:jc w:val="left"/>
            </w:pPr>
            <w:r>
              <w:rPr>
                <w:sz w:val="16"/>
              </w:rPr>
              <w:t>Property / subject specific</w:t>
            </w:r>
          </w:p>
        </w:tc>
        <w:tc>
          <w:tcPr>
            <w:tcW w:type="dxa" w:w="1224"/>
            <w:tcMar>
              <w:top w:w="80" w:type="dxa"/>
              <w:start w:w="80" w:type="dxa"/>
              <w:bottom w:w="80" w:type="dxa"/>
              <w:end w:w="80" w:type="dxa"/>
            </w:tcMar>
            <w:vAlign w:val="center"/>
          </w:tcPr>
          <w:p>
            <w:pPr>
              <w:jc w:val="left"/>
            </w:pPr>
            <w:r>
              <w:rPr>
                <w:sz w:val="16"/>
              </w:rPr>
              <w:t>On demand</w:t>
            </w:r>
          </w:p>
        </w:tc>
        <w:tc>
          <w:tcPr>
            <w:tcW w:type="dxa" w:w="1368"/>
            <w:tcMar>
              <w:top w:w="80" w:type="dxa"/>
              <w:start w:w="80" w:type="dxa"/>
              <w:bottom w:w="80" w:type="dxa"/>
              <w:end w:w="80" w:type="dxa"/>
            </w:tcMar>
            <w:vAlign w:val="center"/>
          </w:tcPr>
          <w:p>
            <w:pPr>
              <w:jc w:val="left"/>
            </w:pPr>
            <w:r>
              <w:rPr>
                <w:sz w:val="16"/>
              </w:rPr>
              <w:t>Reserved access</w:t>
            </w:r>
          </w:p>
        </w:tc>
        <w:tc>
          <w:tcPr>
            <w:tcW w:type="dxa" w:w="2592"/>
            <w:tcMar>
              <w:top w:w="80" w:type="dxa"/>
              <w:start w:w="80" w:type="dxa"/>
              <w:bottom w:w="80" w:type="dxa"/>
              <w:end w:w="80" w:type="dxa"/>
            </w:tcMar>
            <w:vAlign w:val="center"/>
          </w:tcPr>
          <w:p>
            <w:pPr>
              <w:jc w:val="left"/>
            </w:pPr>
            <w:r>
              <w:rPr>
                <w:sz w:val="16"/>
              </w:rPr>
              <w:t>Analyst mode and deal-level due diligence, not broad municipality forecasting ETL.</w:t>
            </w:r>
          </w:p>
        </w:tc>
        <w:tc>
          <w:tcPr>
            <w:tcW w:type="dxa" w:w="1008"/>
            <w:tcMar>
              <w:top w:w="80" w:type="dxa"/>
              <w:start w:w="80" w:type="dxa"/>
              <w:bottom w:w="80" w:type="dxa"/>
              <w:end w:w="80" w:type="dxa"/>
            </w:tcMar>
            <w:vAlign w:val="center"/>
          </w:tcPr>
          <w:p>
            <w:pPr>
              <w:jc w:val="center"/>
            </w:pPr>
            <w:r>
              <w:rPr>
                <w:sz w:val="16"/>
              </w:rPr>
              <w:t>Optional</w:t>
            </w:r>
          </w:p>
        </w:tc>
      </w:tr>
    </w:tbl>
    <w:p>
      <w:pPr>
        <w:pStyle w:val="Heading2"/>
      </w:pPr>
      <w:r>
        <w:t>Recommended ingestion order</w:t>
      </w:r>
    </w:p>
    <w:p>
      <w:r>
        <w:t>• OMI values and OMI transaction volumes should be the first ingestion pipeline because they anchor both price levels and liquidity.</w:t>
      </w:r>
    </w:p>
    <w:p>
      <w:r>
        <w:t>• ISTAT population, tourism, and geography datasets should be the second wave because they provide the strongest explanatory variables for municipal forecasting.</w:t>
      </w:r>
    </w:p>
    <w:p>
      <w:r>
        <w:t>• Long-term rental data is the most important non-public enrichment because it unlocks gross-yield and rental-ROI forecasts.</w:t>
      </w:r>
    </w:p>
    <w:p>
      <w:r>
        <w:t>• Short-term rental feeds and local regulation tracking should be added after the long-term rental layer is stable.</w:t>
      </w:r>
    </w:p>
    <w:p>
      <w:r>
        <w:t>• SPID-enabled and reserved-access services should support analyst workflows, title checks, and property due diligence, not the base municipality heat map.</w:t>
      </w:r>
    </w:p>
    <w:p>
      <w:pPr>
        <w:pStyle w:val="Heading2"/>
      </w:pPr>
      <w:r>
        <w:t>Suggested source links</w:t>
      </w:r>
    </w:p>
    <w:p>
      <w:r>
        <w:t>• OMI / Agenzia delle Entrate public area: https://www.agenziaentrate.gov.it/portale/web/guest/schede/fabbricatiterreni/omi</w:t>
      </w:r>
    </w:p>
    <w:p>
      <w:r>
        <w:t>• ISTAT datasets and territorial statistics: https://www.istat.it/</w:t>
      </w:r>
    </w:p>
    <w:p>
      <w:r>
        <w:br/>
      </w:r>
    </w:p>
    <w:p>
      <w:pPr>
        <w:pStyle w:val="Heading1"/>
        <w:spacing w:before="160" w:after="80" w:line="259" w:lineRule="auto"/>
      </w:pPr>
      <w:r>
        <w:t>Appendix C: Model Back-Testing and Fine-Tuning Framework</w:t>
      </w:r>
    </w:p>
    <w:p>
      <w:pPr>
        <w:spacing w:before="0" w:after="160" w:line="259" w:lineRule="auto"/>
      </w:pPr>
      <w:r>
        <w:rPr>
          <w:b w:val="0"/>
        </w:rPr>
        <w:t>This appendix adds the back-testing, model-validation, and model-promotion plan that should sit alongside the forecasting architecture. The goal is to prove that the models are useful on past unseen periods, quantify where they are reliable or weak, and provide a disciplined path for tuning and promoting new model versions.</w:t>
      </w:r>
    </w:p>
    <w:p>
      <w:pPr>
        <w:pStyle w:val="Heading2"/>
        <w:spacing w:before="80" w:after="80" w:line="259" w:lineRule="auto"/>
      </w:pPr>
      <w:r>
        <w:t>Objectives of the back-testing program</w:t>
      </w:r>
    </w:p>
    <w:p>
      <w:pPr>
        <w:spacing w:before="0" w:after="60" w:line="259" w:lineRule="auto"/>
        <w:ind w:left="259" w:hanging="173"/>
      </w:pPr>
      <w:r>
        <w:t>• Demonstrate that the appreciation and rental-yield models beat simple baselines such as flat forecasts, momentum carry-forward, and province or region averages.</w:t>
      </w:r>
    </w:p>
    <w:p>
      <w:pPr>
        <w:spacing w:before="0" w:after="60" w:line="259" w:lineRule="auto"/>
        <w:ind w:left="259" w:hanging="173"/>
      </w:pPr>
      <w:r>
        <w:t>• Measure not only point-forecast accuracy, but also directional accuracy, ranking usefulness, and confidence-interval calibration.</w:t>
      </w:r>
    </w:p>
    <w:p>
      <w:pPr>
        <w:spacing w:before="0" w:after="60" w:line="259" w:lineRule="auto"/>
        <w:ind w:left="259" w:hanging="173"/>
      </w:pPr>
      <w:r>
        <w:t>• Identify where the models work best and worst, such as high-liquidity municipalities, tourism-heavy municipalities, small rural markets, coastal areas, and data-sparse comuni.</w:t>
      </w:r>
    </w:p>
    <w:p>
      <w:pPr>
        <w:spacing w:before="0" w:after="60" w:line="259" w:lineRule="auto"/>
        <w:ind w:left="259" w:hanging="173"/>
      </w:pPr>
      <w:r>
        <w:t>• Create an evidence-based tuning loop so that new features, new data sources, and new model families can be promoted only when they show better out-of-sample performance.</w:t>
      </w:r>
    </w:p>
    <w:p>
      <w:pPr>
        <w:pStyle w:val="Heading2"/>
        <w:spacing w:before="80" w:after="80" w:line="259" w:lineRule="auto"/>
      </w:pPr>
      <w:r>
        <w:t>Validation design</w:t>
      </w:r>
    </w:p>
    <w:p>
      <w:pPr>
        <w:spacing w:before="0" w:after="60" w:line="259" w:lineRule="auto"/>
        <w:ind w:left="259" w:hanging="173"/>
      </w:pPr>
      <w:r>
        <w:t>• Use walk-forward or rolling-origin back-testing rather than random train/test splits. Each historical forecast must be trained only on data that would have been available at that forecast date.</w:t>
      </w:r>
    </w:p>
    <w:p>
      <w:pPr>
        <w:spacing w:before="0" w:after="60" w:line="259" w:lineRule="auto"/>
        <w:ind w:left="259" w:hanging="173"/>
      </w:pPr>
      <w:r>
        <w:t>• At each forecast origin, train the model on all eligible history up to that semester, score the next 12-month horizon, and compare the prediction with the realized outcome 12 months later.</w:t>
      </w:r>
    </w:p>
    <w:p>
      <w:pPr>
        <w:spacing w:before="0" w:after="60" w:line="259" w:lineRule="auto"/>
        <w:ind w:left="259" w:hanging="173"/>
      </w:pPr>
      <w:r>
        <w:t>• Repeat the process over many historical forecast origins so the team can evaluate stability across market regimes rather than relying on a single holdout period.</w:t>
      </w:r>
    </w:p>
    <w:p>
      <w:pPr>
        <w:spacing w:before="0" w:after="60" w:line="259" w:lineRule="auto"/>
        <w:ind w:left="259" w:hanging="173"/>
      </w:pPr>
      <w:r>
        <w:t>• Store every back-test prediction so the team can review municipality-level misses, inspect regime changes, and compute aggregate metrics over time.</w:t>
      </w:r>
    </w:p>
    <w:p>
      <w:pPr>
        <w:pStyle w:val="Heading2"/>
        <w:spacing w:before="80" w:after="80" w:line="259" w:lineRule="auto"/>
      </w:pPr>
      <w:r>
        <w:t>Recommended forecast targets to back-test</w:t>
      </w:r>
    </w:p>
    <w:p>
      <w:pPr>
        <w:spacing w:before="0" w:after="60" w:line="259" w:lineRule="auto"/>
        <w:ind w:left="259" w:hanging="173"/>
      </w:pPr>
      <w:r>
        <w:t>• Appreciation target: forward 12-month percentage change in municipality residential euro per square meter.</w:t>
      </w:r>
    </w:p>
    <w:p>
      <w:pPr>
        <w:spacing w:before="0" w:after="60" w:line="259" w:lineRule="auto"/>
        <w:ind w:left="259" w:hanging="173"/>
      </w:pPr>
      <w:r>
        <w:t>• Rental target: forward 12-month gross long-term rental yield, with optional supporting sub-targets such as rent growth and net yield after cost assumptions.</w:t>
      </w:r>
    </w:p>
    <w:p>
      <w:pPr>
        <w:spacing w:before="0" w:after="60" w:line="259" w:lineRule="auto"/>
        <w:ind w:left="259" w:hanging="173"/>
      </w:pPr>
      <w:r>
        <w:t>• Ranking target: whether municipalities that the system ranked highly at each historical forecast origin later outperformed lower-ranked municipalities over the same horizon.</w:t>
      </w:r>
    </w:p>
    <w:p>
      <w:pPr>
        <w:pStyle w:val="Heading2"/>
        <w:spacing w:before="80" w:after="80" w:line="259" w:lineRule="auto"/>
      </w:pPr>
      <w:r>
        <w:t>Baseline models the system must beat</w:t>
      </w:r>
    </w:p>
    <w:p>
      <w:pPr>
        <w:spacing w:before="0" w:after="60" w:line="259" w:lineRule="auto"/>
        <w:ind w:left="259" w:hanging="173"/>
      </w:pPr>
      <w:r>
        <w:t>• Flat baseline: assume the next 12 months produce no change.</w:t>
      </w:r>
    </w:p>
    <w:p>
      <w:pPr>
        <w:spacing w:before="0" w:after="60" w:line="259" w:lineRule="auto"/>
        <w:ind w:left="259" w:hanging="173"/>
      </w:pPr>
      <w:r>
        <w:t>• Momentum baseline: carry the previous 12-month change forward into the next 12 months.</w:t>
      </w:r>
    </w:p>
    <w:p>
      <w:pPr>
        <w:spacing w:before="0" w:after="60" w:line="259" w:lineRule="auto"/>
        <w:ind w:left="259" w:hanging="173"/>
      </w:pPr>
      <w:r>
        <w:t>• Province baseline: use the province average for the municipality forecast.</w:t>
      </w:r>
    </w:p>
    <w:p>
      <w:pPr>
        <w:spacing w:before="0" w:after="60" w:line="259" w:lineRule="auto"/>
        <w:ind w:left="259" w:hanging="173"/>
      </w:pPr>
      <w:r>
        <w:t>• Region baseline: use the region average for the municipality forecast.</w:t>
      </w:r>
    </w:p>
    <w:p>
      <w:pPr>
        <w:spacing w:before="0" w:after="60" w:line="259" w:lineRule="auto"/>
        <w:ind w:left="259" w:hanging="173"/>
      </w:pPr>
      <w:r>
        <w:t>• Yield persistence baseline: assume current gross yield or recent rent trend persists into the next period.</w:t>
      </w:r>
    </w:p>
    <w:p>
      <w:pPr>
        <w:pStyle w:val="Heading2"/>
        <w:spacing w:before="80" w:after="80" w:line="259" w:lineRule="auto"/>
      </w:pPr>
      <w:r>
        <w:t>Evaluation metrics</w:t>
      </w:r>
    </w:p>
    <w:p>
      <w:pPr>
        <w:spacing w:before="0" w:after="60" w:line="259" w:lineRule="auto"/>
        <w:ind w:left="259" w:hanging="173"/>
      </w:pPr>
      <w:r>
        <w:t>• Numeric forecast accuracy: MAE, RMSE, median absolute error, sMAPE where appropriate, and bias.</w:t>
      </w:r>
    </w:p>
    <w:p>
      <w:pPr>
        <w:spacing w:before="0" w:after="60" w:line="259" w:lineRule="auto"/>
        <w:ind w:left="259" w:hanging="173"/>
      </w:pPr>
      <w:r>
        <w:t>• Directional usefulness: share of forecasts that correctly called the direction of appreciation or rent growth.</w:t>
      </w:r>
    </w:p>
    <w:p>
      <w:pPr>
        <w:spacing w:before="0" w:after="60" w:line="259" w:lineRule="auto"/>
        <w:ind w:left="259" w:hanging="173"/>
      </w:pPr>
      <w:r>
        <w:t>• Ranking value: Spearman rank correlation, top-quintile and top-decile realized performance, and spread between top-ranked and bottom-ranked groups.</w:t>
      </w:r>
    </w:p>
    <w:p>
      <w:pPr>
        <w:spacing w:before="0" w:after="60" w:line="259" w:lineRule="auto"/>
        <w:ind w:left="259" w:hanging="173"/>
      </w:pPr>
      <w:r>
        <w:t>• Calibration: interval coverage rate, interval width, and realized error by confidence bucket.</w:t>
      </w:r>
    </w:p>
    <w:p>
      <w:pPr>
        <w:pStyle w:val="Heading2"/>
        <w:spacing w:before="80" w:after="80" w:line="259" w:lineRule="auto"/>
      </w:pPr>
      <w:r>
        <w:t>Back-test segmentation cuts</w:t>
      </w:r>
    </w:p>
    <w:p>
      <w:pPr>
        <w:spacing w:before="0" w:after="60" w:line="259" w:lineRule="auto"/>
        <w:ind w:left="259" w:hanging="173"/>
      </w:pPr>
      <w:r>
        <w:t>• Geography: region, province, north/center/south/islands, coastal versus inland, and mountain versus non-mountain municipalities.</w:t>
      </w:r>
    </w:p>
    <w:p>
      <w:pPr>
        <w:spacing w:before="0" w:after="60" w:line="259" w:lineRule="auto"/>
        <w:ind w:left="259" w:hanging="173"/>
      </w:pPr>
      <w:r>
        <w:t>• Market structure: high-liquidity versus thin-liquidity municipalities, low-price versus high-price municipalities, and tourism-heavy versus ordinary residential municipalities.</w:t>
      </w:r>
    </w:p>
    <w:p>
      <w:pPr>
        <w:spacing w:before="0" w:after="60" w:line="259" w:lineRule="auto"/>
        <w:ind w:left="259" w:hanging="173"/>
      </w:pPr>
      <w:r>
        <w:t>• Data quality: strong direct coverage versus inferred coverage, and municipalities grouped by quality grade or data sparsity score.</w:t>
      </w:r>
    </w:p>
    <w:p>
      <w:pPr>
        <w:spacing w:before="0" w:after="60" w:line="259" w:lineRule="auto"/>
        <w:ind w:left="259" w:hanging="173"/>
      </w:pPr>
      <w:r>
        <w:t>• Population and demand profile: growing municipalities, stable municipalities, and population-decline municipalities.</w:t>
      </w:r>
    </w:p>
    <w:p>
      <w:pPr>
        <w:pStyle w:val="Heading2"/>
        <w:spacing w:before="80" w:after="80" w:line="259" w:lineRule="auto"/>
      </w:pPr>
      <w:r>
        <w:t>Fine-tuning and model improvement loop</w:t>
      </w:r>
    </w:p>
    <w:p>
      <w:pPr>
        <w:spacing w:before="0" w:after="60" w:line="259" w:lineRule="auto"/>
        <w:ind w:left="259" w:hanging="173"/>
      </w:pPr>
      <w:r>
        <w:t>• Run feature-family ablation tests so the team can measure the incremental value of tourism, demographics, spatial lag, supply, rental, and liquidity features.</w:t>
      </w:r>
    </w:p>
    <w:p>
      <w:pPr>
        <w:spacing w:before="0" w:after="60" w:line="259" w:lineRule="auto"/>
        <w:ind w:left="259" w:hanging="173"/>
      </w:pPr>
      <w:r>
        <w:t>• Compare model families, such as linear baselines, gradient boosting, spatially enriched models, hierarchical models, and ensembles.</w:t>
      </w:r>
    </w:p>
    <w:p>
      <w:pPr>
        <w:spacing w:before="0" w:after="60" w:line="259" w:lineRule="auto"/>
        <w:ind w:left="259" w:hanging="173"/>
      </w:pPr>
      <w:r>
        <w:t>• Tune separately by horizon where necessary. A 12-month appreciation model may differ from a 24-month model, and rental forecasting may need a different configuration than price forecasting.</w:t>
      </w:r>
    </w:p>
    <w:p>
      <w:pPr>
        <w:spacing w:before="0" w:after="60" w:line="259" w:lineRule="auto"/>
        <w:ind w:left="259" w:hanging="173"/>
      </w:pPr>
      <w:r>
        <w:t>• Consider segmented production models where justified, for example one configuration for major urban markets, one for tourism-heavy municipalities, and one for thin rural markets.</w:t>
      </w:r>
    </w:p>
    <w:p>
      <w:pPr>
        <w:spacing w:before="0" w:after="60" w:line="259" w:lineRule="auto"/>
        <w:ind w:left="259" w:hanging="173"/>
      </w:pPr>
      <w:r>
        <w:t>• Use historical residuals and back-test error patterns to calibrate confidence bands rather than assigning confidence scores subjectively.</w:t>
      </w:r>
    </w:p>
    <w:p>
      <w:pPr>
        <w:pStyle w:val="Heading2"/>
        <w:spacing w:before="80" w:after="80" w:line="259" w:lineRule="auto"/>
      </w:pPr>
      <w:r>
        <w:t>Operational workflow to add to the build</w:t>
      </w:r>
    </w:p>
    <w:p>
      <w:pPr>
        <w:spacing w:before="0" w:after="60" w:line="259" w:lineRule="auto"/>
        <w:ind w:left="259" w:hanging="173"/>
      </w:pPr>
      <w:r>
        <w:t>• Create a repeatable back-test job that trains on a historical cutoff, scores the next horizon, and writes municipality-level predictions and realized outcomes to dedicated evaluation tables.</w:t>
      </w:r>
    </w:p>
    <w:p>
      <w:pPr>
        <w:spacing w:before="0" w:after="60" w:line="259" w:lineRule="auto"/>
        <w:ind w:left="259" w:hanging="173"/>
      </w:pPr>
      <w:r>
        <w:t>• Generate a summary report for every model version showing baseline comparisons, aggregate metrics, segment cuts, and ranking-bucket performance.</w:t>
      </w:r>
    </w:p>
    <w:p>
      <w:pPr>
        <w:spacing w:before="0" w:after="60" w:line="259" w:lineRule="auto"/>
        <w:ind w:left="259" w:hanging="173"/>
      </w:pPr>
      <w:r>
        <w:t>• Define model-promotion gates. A model version should only be promoted if it beats agreed baselines, does not materially worsen calibration, and behaves acceptably in weak-data segments.</w:t>
      </w:r>
    </w:p>
    <w:p>
      <w:pPr>
        <w:spacing w:before="0" w:after="60" w:line="259" w:lineRule="auto"/>
        <w:ind w:left="259" w:hanging="173"/>
      </w:pPr>
      <w:r>
        <w:t>• Run a full back-test whenever a new major model version is proposed, and rerun a lighter monitoring package when new semestral OMI data arrives.</w:t>
      </w:r>
    </w:p>
    <w:p>
      <w:pPr>
        <w:pStyle w:val="Heading2"/>
        <w:spacing w:before="80" w:after="80" w:line="259" w:lineRule="auto"/>
      </w:pPr>
      <w:r>
        <w:t>Recommended database additions</w:t>
      </w:r>
    </w:p>
    <w:p>
      <w:pPr>
        <w:spacing w:before="0" w:after="60" w:line="259" w:lineRule="auto"/>
        <w:ind w:left="259" w:hanging="173"/>
      </w:pPr>
      <w:r>
        <w:t>• model.backtest_runs: one record per historical evaluation cycle, with forecast origin, target horizon, status, and model version.</w:t>
      </w:r>
    </w:p>
    <w:p>
      <w:pPr>
        <w:spacing w:before="0" w:after="60" w:line="259" w:lineRule="auto"/>
        <w:ind w:left="259" w:hanging="173"/>
      </w:pPr>
      <w:r>
        <w:t>• model.backtest_predictions: municipality-level predicted and realized values for each back-test run.</w:t>
      </w:r>
    </w:p>
    <w:p>
      <w:pPr>
        <w:spacing w:before="0" w:after="60" w:line="259" w:lineRule="auto"/>
        <w:ind w:left="259" w:hanging="173"/>
      </w:pPr>
      <w:r>
        <w:t>• model.backtest_summary: aggregate metrics by run, geography, market segment, and data-quality segment.</w:t>
      </w:r>
    </w:p>
    <w:p>
      <w:pPr>
        <w:spacing w:before="0" w:after="60" w:line="259" w:lineRule="auto"/>
        <w:ind w:left="259" w:hanging="173"/>
      </w:pPr>
      <w:r>
        <w:t>• model.model_comparisons: side-by-side metrics for baseline models and candidate production models, supporting promotion decisions.</w:t>
      </w:r>
    </w:p>
    <w:p>
      <w:pPr>
        <w:pStyle w:val="Heading2"/>
        <w:spacing w:before="80" w:after="80" w:line="259" w:lineRule="auto"/>
      </w:pPr>
      <w:r>
        <w:t>Recommended promotion criteria</w:t>
      </w:r>
    </w:p>
    <w:p>
      <w:pPr>
        <w:spacing w:before="0" w:after="60" w:line="259" w:lineRule="auto"/>
        <w:ind w:left="259" w:hanging="173"/>
      </w:pPr>
      <w:r>
        <w:t>• Beat flat and province baselines on core numeric metrics for the main forecast targets.</w:t>
      </w:r>
    </w:p>
    <w:p>
      <w:pPr>
        <w:spacing w:before="0" w:after="60" w:line="259" w:lineRule="auto"/>
        <w:ind w:left="259" w:hanging="173"/>
      </w:pPr>
      <w:r>
        <w:t>• Show useful ranking separation, such as a clear realized-performance spread between the top and bottom ranked groups.</w:t>
      </w:r>
    </w:p>
    <w:p>
      <w:pPr>
        <w:spacing w:before="0" w:after="60" w:line="259" w:lineRule="auto"/>
        <w:ind w:left="259" w:hanging="173"/>
      </w:pPr>
      <w:r>
        <w:t>• Demonstrate that higher-confidence municipalities truly produce lower realized error than low-confidence municipalities.</w:t>
      </w:r>
    </w:p>
    <w:p>
      <w:pPr>
        <w:spacing w:before="0" w:after="60" w:line="259" w:lineRule="auto"/>
        <w:ind w:left="259" w:hanging="173"/>
      </w:pPr>
      <w:r>
        <w:t>• Avoid strong systematic bias in weak markets, such as chronic over-forecasting in thin-liquidity or highly seasonal municipalities.</w:t>
      </w:r>
    </w:p>
    <w:p>
      <w:pPr>
        <w:pStyle w:val="Heading2"/>
        <w:spacing w:before="80" w:after="80" w:line="259" w:lineRule="auto"/>
      </w:pPr>
      <w:r>
        <w:t>Public methodology guidance</w:t>
      </w:r>
    </w:p>
    <w:p>
      <w:pPr>
        <w:spacing w:before="0" w:after="60" w:line="259" w:lineRule="auto"/>
        <w:ind w:left="259" w:hanging="173"/>
      </w:pPr>
      <w:r>
        <w:t>• Publish a concise methodology note stating that models are validated using walk-forward historical testing rather than random splits.</w:t>
      </w:r>
    </w:p>
    <w:p>
      <w:pPr>
        <w:spacing w:before="0" w:after="60" w:line="259" w:lineRule="auto"/>
        <w:ind w:left="259" w:hanging="173"/>
      </w:pPr>
      <w:r>
        <w:t>• Disclose a small set of understandable performance figures, such as back-tested MAE, direction accuracy, and top-quintile outperformance.</w:t>
      </w:r>
    </w:p>
    <w:p>
      <w:pPr>
        <w:spacing w:before="0" w:after="60" w:line="259" w:lineRule="auto"/>
        <w:ind w:left="259" w:hanging="173"/>
      </w:pPr>
      <w:r>
        <w:t>• Surface confidence scores, data-quality grades, and risk flags at the municipality level so users can see where the system is more or less reliable.</w:t>
      </w:r>
    </w:p>
    <w:p>
      <w:r>
        <w:br w:type="page"/>
      </w:r>
    </w:p>
    <w:p>
      <w:pPr>
        <w:pStyle w:val="Heading1"/>
      </w:pPr>
      <w:r>
        <w:t>15. Implementation Package Deliverables</w:t>
      </w:r>
    </w:p>
    <w:p>
      <w:r>
        <w:t>This section defines what should be treated as the formal implementation package for handoff to engineering. The goal is to remove ambiguity so a developer can start building the MVP without needing to redesign the product, data model, or validation approach.</w:t>
      </w:r>
    </w:p>
    <w:p>
      <w:r>
        <w:t>The package should be divided into required, recommended, and optional assets. Required items are necessary to begin build work. Recommended items materially reduce delivery risk. Optional items accelerate implementation but are not blockers for the MVP.</w:t>
      </w:r>
    </w:p>
    <w:tbl>
      <w:tblPr>
        <w:tblStyle w:val="TableGrid"/>
        <w:tblW w:type="auto" w:w="0"/>
        <w:tblLook w:firstColumn="1" w:firstRow="1" w:lastColumn="0" w:lastRow="0" w:noHBand="0" w:noVBand="1" w:val="04A0"/>
      </w:tblPr>
      <w:tblGrid>
        <w:gridCol w:w="2493"/>
        <w:gridCol w:w="2493"/>
        <w:gridCol w:w="2493"/>
        <w:gridCol w:w="2493"/>
      </w:tblGrid>
      <w:tr>
        <w:tc>
          <w:tcPr>
            <w:tcW w:type="dxa" w:w="2880"/>
          </w:tcPr>
          <w:p>
            <w:r>
              <w:t>Deliverable</w:t>
            </w:r>
          </w:p>
        </w:tc>
        <w:tc>
          <w:tcPr>
            <w:tcW w:type="dxa" w:w="1440"/>
          </w:tcPr>
          <w:p>
            <w:r>
              <w:t>Status</w:t>
            </w:r>
          </w:p>
        </w:tc>
        <w:tc>
          <w:tcPr>
            <w:tcW w:type="dxa" w:w="3888"/>
          </w:tcPr>
          <w:p>
            <w:r>
              <w:t>Purpose</w:t>
            </w:r>
          </w:p>
        </w:tc>
        <w:tc>
          <w:tcPr>
            <w:tcW w:type="dxa" w:w="2592"/>
          </w:tcPr>
          <w:p>
            <w:r>
              <w:t>Primary users</w:t>
            </w:r>
          </w:p>
        </w:tc>
      </w:tr>
      <w:tr>
        <w:tc>
          <w:tcPr>
            <w:tcW w:type="dxa" w:w="2880"/>
          </w:tcPr>
          <w:p>
            <w:r>
              <w:t>Product definition and MVP scope</w:t>
            </w:r>
          </w:p>
        </w:tc>
        <w:tc>
          <w:tcPr>
            <w:tcW w:type="dxa" w:w="1440"/>
          </w:tcPr>
          <w:p>
            <w:r>
              <w:t>Required</w:t>
            </w:r>
          </w:p>
        </w:tc>
        <w:tc>
          <w:tcPr>
            <w:tcW w:type="dxa" w:w="3888"/>
          </w:tcPr>
          <w:p>
            <w:r>
              <w:t>Defines what is being built, what is deferred, and how success is measured.</w:t>
            </w:r>
          </w:p>
        </w:tc>
        <w:tc>
          <w:tcPr>
            <w:tcW w:type="dxa" w:w="2592"/>
          </w:tcPr>
          <w:p>
            <w:r>
              <w:t>Founder, product, engineering</w:t>
            </w:r>
          </w:p>
        </w:tc>
      </w:tr>
      <w:tr>
        <w:tc>
          <w:tcPr>
            <w:tcW w:type="dxa" w:w="2880"/>
          </w:tcPr>
          <w:p>
            <w:r>
              <w:t>Functional requirements</w:t>
            </w:r>
          </w:p>
        </w:tc>
        <w:tc>
          <w:tcPr>
            <w:tcW w:type="dxa" w:w="1440"/>
          </w:tcPr>
          <w:p>
            <w:r>
              <w:t>Required</w:t>
            </w:r>
          </w:p>
        </w:tc>
        <w:tc>
          <w:tcPr>
            <w:tcW w:type="dxa" w:w="3888"/>
          </w:tcPr>
          <w:p>
            <w:r>
              <w:t>Specifies map behavior, filters, pages, admin actions, and outputs.</w:t>
            </w:r>
          </w:p>
        </w:tc>
        <w:tc>
          <w:tcPr>
            <w:tcW w:type="dxa" w:w="2592"/>
          </w:tcPr>
          <w:p>
            <w:r>
              <w:t>Product, engineering, QA</w:t>
            </w:r>
          </w:p>
        </w:tc>
      </w:tr>
      <w:tr>
        <w:tc>
          <w:tcPr>
            <w:tcW w:type="dxa" w:w="2880"/>
          </w:tcPr>
          <w:p>
            <w:r>
              <w:t>Technical architecture</w:t>
            </w:r>
          </w:p>
        </w:tc>
        <w:tc>
          <w:tcPr>
            <w:tcW w:type="dxa" w:w="1440"/>
          </w:tcPr>
          <w:p>
            <w:r>
              <w:t>Required</w:t>
            </w:r>
          </w:p>
        </w:tc>
        <w:tc>
          <w:tcPr>
            <w:tcW w:type="dxa" w:w="3888"/>
          </w:tcPr>
          <w:p>
            <w:r>
              <w:t>Defines stack, platform reuse, services, jobs, storage, auth, and deployment.</w:t>
            </w:r>
          </w:p>
        </w:tc>
        <w:tc>
          <w:tcPr>
            <w:tcW w:type="dxa" w:w="2592"/>
          </w:tcPr>
          <w:p>
            <w:r>
              <w:t>Engineering</w:t>
            </w:r>
          </w:p>
        </w:tc>
      </w:tr>
      <w:tr>
        <w:tc>
          <w:tcPr>
            <w:tcW w:type="dxa" w:w="2880"/>
          </w:tcPr>
          <w:p>
            <w:r>
              <w:t>Database schema and migrations</w:t>
            </w:r>
          </w:p>
        </w:tc>
        <w:tc>
          <w:tcPr>
            <w:tcW w:type="dxa" w:w="1440"/>
          </w:tcPr>
          <w:p>
            <w:r>
              <w:t>Required</w:t>
            </w:r>
          </w:p>
        </w:tc>
        <w:tc>
          <w:tcPr>
            <w:tcW w:type="dxa" w:w="3888"/>
          </w:tcPr>
          <w:p>
            <w:r>
              <w:t>Provides build-ready table definitions, relationships, indexes, and serving views.</w:t>
            </w:r>
          </w:p>
        </w:tc>
        <w:tc>
          <w:tcPr>
            <w:tcW w:type="dxa" w:w="2592"/>
          </w:tcPr>
          <w:p>
            <w:r>
              <w:t>Engineering, data</w:t>
            </w:r>
          </w:p>
        </w:tc>
      </w:tr>
      <w:tr>
        <w:tc>
          <w:tcPr>
            <w:tcW w:type="dxa" w:w="2880"/>
          </w:tcPr>
          <w:p>
            <w:r>
              <w:t>Data-source and ingestion plan</w:t>
            </w:r>
          </w:p>
        </w:tc>
        <w:tc>
          <w:tcPr>
            <w:tcW w:type="dxa" w:w="1440"/>
          </w:tcPr>
          <w:p>
            <w:r>
              <w:t>Required</w:t>
            </w:r>
          </w:p>
        </w:tc>
        <w:tc>
          <w:tcPr>
            <w:tcW w:type="dxa" w:w="3888"/>
          </w:tcPr>
          <w:p>
            <w:r>
              <w:t>Maps every source to refresh cadence, fields used, and target tables.</w:t>
            </w:r>
          </w:p>
        </w:tc>
        <w:tc>
          <w:tcPr>
            <w:tcW w:type="dxa" w:w="2592"/>
          </w:tcPr>
          <w:p>
            <w:r>
              <w:t>Engineering, data</w:t>
            </w:r>
          </w:p>
        </w:tc>
      </w:tr>
      <w:tr>
        <w:tc>
          <w:tcPr>
            <w:tcW w:type="dxa" w:w="2880"/>
          </w:tcPr>
          <w:p>
            <w:r>
              <w:t>API contract package</w:t>
            </w:r>
          </w:p>
        </w:tc>
        <w:tc>
          <w:tcPr>
            <w:tcW w:type="dxa" w:w="1440"/>
          </w:tcPr>
          <w:p>
            <w:r>
              <w:t>Required</w:t>
            </w:r>
          </w:p>
        </w:tc>
        <w:tc>
          <w:tcPr>
            <w:tcW w:type="dxa" w:w="3888"/>
          </w:tcPr>
          <w:p>
            <w:r>
              <w:t>Lets front-end and back-end teams build against fixed request and response shapes.</w:t>
            </w:r>
          </w:p>
        </w:tc>
        <w:tc>
          <w:tcPr>
            <w:tcW w:type="dxa" w:w="2592"/>
          </w:tcPr>
          <w:p>
            <w:r>
              <w:t>Engineering</w:t>
            </w:r>
          </w:p>
        </w:tc>
      </w:tr>
      <w:tr>
        <w:tc>
          <w:tcPr>
            <w:tcW w:type="dxa" w:w="2880"/>
          </w:tcPr>
          <w:p>
            <w:r>
              <w:t>Modeling and back-testing framework</w:t>
            </w:r>
          </w:p>
        </w:tc>
        <w:tc>
          <w:tcPr>
            <w:tcW w:type="dxa" w:w="1440"/>
          </w:tcPr>
          <w:p>
            <w:r>
              <w:t>Required</w:t>
            </w:r>
          </w:p>
        </w:tc>
        <w:tc>
          <w:tcPr>
            <w:tcW w:type="dxa" w:w="3888"/>
          </w:tcPr>
          <w:p>
            <w:r>
              <w:t>Defines targets, features, baselines, evaluation metrics, and promotion gates.</w:t>
            </w:r>
          </w:p>
        </w:tc>
        <w:tc>
          <w:tcPr>
            <w:tcW w:type="dxa" w:w="2592"/>
          </w:tcPr>
          <w:p>
            <w:r>
              <w:t>Data science, engineering</w:t>
            </w:r>
          </w:p>
        </w:tc>
      </w:tr>
      <w:tr>
        <w:tc>
          <w:tcPr>
            <w:tcW w:type="dxa" w:w="2880"/>
          </w:tcPr>
          <w:p>
            <w:r>
              <w:t>Front-end wireframes and component map</w:t>
            </w:r>
          </w:p>
        </w:tc>
        <w:tc>
          <w:tcPr>
            <w:tcW w:type="dxa" w:w="1440"/>
          </w:tcPr>
          <w:p>
            <w:r>
              <w:t>Recommended</w:t>
            </w:r>
          </w:p>
        </w:tc>
        <w:tc>
          <w:tcPr>
            <w:tcW w:type="dxa" w:w="3888"/>
          </w:tcPr>
          <w:p>
            <w:r>
              <w:t>Reduces UI ambiguity for the map, municipality page, rankings, compare, and methodology views.</w:t>
            </w:r>
          </w:p>
        </w:tc>
        <w:tc>
          <w:tcPr>
            <w:tcW w:type="dxa" w:w="2592"/>
          </w:tcPr>
          <w:p>
            <w:r>
              <w:t>Design, engineering</w:t>
            </w:r>
          </w:p>
        </w:tc>
      </w:tr>
      <w:tr>
        <w:tc>
          <w:tcPr>
            <w:tcW w:type="dxa" w:w="2880"/>
          </w:tcPr>
          <w:p>
            <w:r>
              <w:t>Environment, deployment, and CI/CD notes</w:t>
            </w:r>
          </w:p>
        </w:tc>
        <w:tc>
          <w:tcPr>
            <w:tcW w:type="dxa" w:w="1440"/>
          </w:tcPr>
          <w:p>
            <w:r>
              <w:t>Recommended</w:t>
            </w:r>
          </w:p>
        </w:tc>
        <w:tc>
          <w:tcPr>
            <w:tcW w:type="dxa" w:w="3888"/>
          </w:tcPr>
          <w:p>
            <w:r>
              <w:t>Speeds local setup, staging, production deployment, and scheduled jobs.</w:t>
            </w:r>
          </w:p>
        </w:tc>
        <w:tc>
          <w:tcPr>
            <w:tcW w:type="dxa" w:w="2592"/>
          </w:tcPr>
          <w:p>
            <w:r>
              <w:t>Engineering, DevOps</w:t>
            </w:r>
          </w:p>
        </w:tc>
      </w:tr>
      <w:tr>
        <w:tc>
          <w:tcPr>
            <w:tcW w:type="dxa" w:w="2880"/>
          </w:tcPr>
          <w:p>
            <w:r>
              <w:t>Starter scaffolding repository</w:t>
            </w:r>
          </w:p>
        </w:tc>
        <w:tc>
          <w:tcPr>
            <w:tcW w:type="dxa" w:w="1440"/>
          </w:tcPr>
          <w:p>
            <w:r>
              <w:t>Optional</w:t>
            </w:r>
          </w:p>
        </w:tc>
        <w:tc>
          <w:tcPr>
            <w:tcW w:type="dxa" w:w="3888"/>
          </w:tcPr>
          <w:p>
            <w:r>
              <w:t>Includes route stubs, migration files, and job placeholders to accelerate build-out.</w:t>
            </w:r>
          </w:p>
        </w:tc>
        <w:tc>
          <w:tcPr>
            <w:tcW w:type="dxa" w:w="2592"/>
          </w:tcPr>
          <w:p>
            <w:r>
              <w:t>Engineering</w:t>
            </w:r>
          </w:p>
        </w:tc>
      </w:tr>
    </w:tbl>
    <w:p>
      <w:pPr>
        <w:pStyle w:val="Heading2"/>
      </w:pPr>
      <w:r>
        <w:t>Package file list</w:t>
      </w:r>
    </w:p>
    <w:p>
      <w:r>
        <w:t>The implementation package should be delivered as a structured folder of printable documents plus machine-usable technical assets. Recommended top-level files include: 01-product-definition.pdf/docx, 02-functional-requirements.pdf/docx, 03-technical-architecture.pdf/docx, 04-data-sources-and-ingestion.pdf/docx, 05-database-schema.sql, 06-erd.pdf, 07-api-contracts.pdf or yaml, 08-modeling-and-backtesting.pdf/docx, 09-frontend-wireframes.pdf, 10-deployment-and-environment.pdf/docx, and 11-build-roadmap.pdf/docx.</w:t>
      </w:r>
    </w:p>
    <w:p>
      <w:pPr>
        <w:pStyle w:val="Heading2"/>
      </w:pPr>
      <w:r>
        <w:t>MVP acceptance criteria</w:t>
      </w:r>
    </w:p>
    <w:p>
      <w:r>
        <w:t>The MVP should be considered build-ready when the package clearly defines the municipality heat map, current euro/sq. m. valuation layer, 12-month appreciation forecast, long-term rental ROI forecast, municipality detail page, rankings page, compare page, methodology page, confidence scoring, and internal back-testing workflow.</w:t>
      </w:r>
    </w:p>
    <w:p>
      <w:pPr>
        <w:pStyle w:val="Heading2"/>
      </w:pPr>
      <w:r>
        <w:t>Handoff checklist</w:t>
      </w:r>
    </w:p>
    <w:p>
      <w:r>
        <w:t>Before development begins, the team should confirm that the source inventory is frozen for the first build, ISTAT code matching rules are documented, database migrations run cleanly in a fresh environment, endpoints are named and versioned, model targets are defined without ambiguity, and publish or suppress rules are stated for sparse municipalities.</w:t>
      </w:r>
    </w:p>
    <w:p>
      <w:pPr>
        <w:pStyle w:val="Heading2"/>
      </w:pPr>
      <w:r>
        <w:t>Recommended next technical assets</w:t>
      </w:r>
    </w:p>
    <w:p>
      <w:r>
        <w:t>After this package, the fastest path into execution is to generate the following implementation artifacts: production SQL migration files, Supabase PostGIS enablement steps, Next.js route skeletons, seed scripts for municipality boundaries and time periods, OMI and ISTAT ingestion templates, model job placeholders, and a basic map page wired to latest forecast views.</w:t>
      </w:r>
    </w:p>
    <w:p>
      <w:pPr>
        <w:pStyle w:val="Heading2"/>
      </w:pPr>
      <w:r>
        <w:t>Developer start checklist</w:t>
      </w:r>
    </w:p>
    <w:p>
      <w:pPr>
        <w:pStyle w:val="ListBullet"/>
      </w:pPr>
      <w:r>
        <w:t>Provision Supabase project and enable PostGIS.</w:t>
      </w:r>
    </w:p>
    <w:p>
      <w:pPr>
        <w:pStyle w:val="ListBullet"/>
      </w:pPr>
      <w:r>
        <w:t>Run core, raw, mart, model, and admin schema migrations.</w:t>
      </w:r>
    </w:p>
    <w:p>
      <w:pPr>
        <w:pStyle w:val="ListBullet"/>
      </w:pPr>
      <w:r>
        <w:t>Load municipality boundaries, ISTAT reference codes, and time periods.</w:t>
      </w:r>
    </w:p>
    <w:p>
      <w:pPr>
        <w:pStyle w:val="ListBullet"/>
      </w:pPr>
      <w:r>
        <w:t>Backfill OMI valuations and transaction volumes, then validate row counts and geography joins.</w:t>
      </w:r>
    </w:p>
    <w:p>
      <w:pPr>
        <w:pStyle w:val="ListBullet"/>
      </w:pPr>
      <w:r>
        <w:t>Load ISTAT demographics and tourism datasets and build curated marts.</w:t>
      </w:r>
    </w:p>
    <w:p>
      <w:pPr>
        <w:pStyle w:val="ListBullet"/>
      </w:pPr>
      <w:r>
        <w:t>Create latest published forecast view, even if first populated by baseline model outputs.</w:t>
      </w:r>
    </w:p>
    <w:p>
      <w:pPr>
        <w:pStyle w:val="ListBullet"/>
      </w:pPr>
      <w:r>
        <w:t>Build map endpoint and render municipality choropleth in the front end.</w:t>
      </w:r>
    </w:p>
    <w:p>
      <w:pPr>
        <w:pStyle w:val="ListBullet"/>
      </w:pPr>
      <w:r>
        <w:t>Implement walk-forward back-test job and baseline comparisons before promoting the first forecast model.</w:t>
      </w:r>
    </w:p>
    <w:p>
      <w:pPr>
        <w:pStyle w:val="ListBullet"/>
      </w:pPr>
      <w:r>
        <w:t>Publish methodology page with confidence and data-quality language before external release.</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A14E2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5C403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5C40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A14E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