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F46270" w14:textId="1BB72922" w:rsidR="009638B7" w:rsidRDefault="005172DA" w:rsidP="005172DA">
      <w:pPr>
        <w:pStyle w:val="Heading1"/>
      </w:pPr>
      <w:r>
        <w:t>Collision Cross Sections for iPIC Simulations</w:t>
      </w:r>
    </w:p>
    <w:p w14:paraId="78E63FF6" w14:textId="665C4B70" w:rsidR="005172DA" w:rsidRDefault="005172DA" w:rsidP="005172DA"/>
    <w:p w14:paraId="4E162A40" w14:textId="35AFCA86" w:rsidR="005172DA" w:rsidRDefault="005172DA" w:rsidP="005172DA">
      <w:pPr>
        <w:pStyle w:val="Heading2"/>
      </w:pPr>
      <w:r>
        <w:t>Overview of Results</w:t>
      </w:r>
    </w:p>
    <w:p w14:paraId="5588DDCD" w14:textId="661F756D" w:rsidR="005172DA" w:rsidRPr="005172DA" w:rsidRDefault="005172DA" w:rsidP="005172DA"/>
    <w:p w14:paraId="49DC25BA" w14:textId="6684A497" w:rsidR="005172DA" w:rsidRDefault="005172DA" w:rsidP="005172DA">
      <w:r>
        <w:t>Collision mechanisms have been grouped into four groups:</w:t>
      </w:r>
    </w:p>
    <w:p w14:paraId="05F686C9" w14:textId="77777777" w:rsidR="005172DA" w:rsidRDefault="005172DA" w:rsidP="005172DA">
      <w:pPr>
        <w:pStyle w:val="ListParagraph"/>
        <w:numPr>
          <w:ilvl w:val="0"/>
          <w:numId w:val="1"/>
        </w:numPr>
      </w:pPr>
      <w:r>
        <w:t>Rotational</w:t>
      </w:r>
    </w:p>
    <w:p w14:paraId="7517CE2E" w14:textId="77777777" w:rsidR="005172DA" w:rsidRDefault="005172DA" w:rsidP="005172DA">
      <w:pPr>
        <w:pStyle w:val="ListParagraph"/>
        <w:numPr>
          <w:ilvl w:val="0"/>
          <w:numId w:val="1"/>
        </w:numPr>
      </w:pPr>
      <w:r>
        <w:t>Vibrational</w:t>
      </w:r>
    </w:p>
    <w:p w14:paraId="69B68E12" w14:textId="77777777" w:rsidR="005172DA" w:rsidRDefault="005172DA" w:rsidP="005172DA">
      <w:pPr>
        <w:pStyle w:val="ListParagraph"/>
        <w:numPr>
          <w:ilvl w:val="0"/>
          <w:numId w:val="1"/>
        </w:numPr>
      </w:pPr>
      <w:r>
        <w:t>Electronic &amp; Dissociation</w:t>
      </w:r>
    </w:p>
    <w:p w14:paraId="0546F8C1" w14:textId="77777777" w:rsidR="005172DA" w:rsidRDefault="005172DA" w:rsidP="005172DA">
      <w:pPr>
        <w:pStyle w:val="ListParagraph"/>
        <w:numPr>
          <w:ilvl w:val="0"/>
          <w:numId w:val="1"/>
        </w:numPr>
      </w:pPr>
      <w:r>
        <w:t>Ionization</w:t>
      </w:r>
    </w:p>
    <w:p w14:paraId="6217BBAB" w14:textId="2D4EAF61" w:rsidR="005172DA" w:rsidRDefault="005172DA" w:rsidP="005172DA">
      <w:r>
        <w:t xml:space="preserve"> The fits to the mean energy loss (dashed lines) per collision are seen below, with ionization separated. </w:t>
      </w:r>
    </w:p>
    <w:p w14:paraId="49DA61BF" w14:textId="77777777" w:rsidR="00000FFF" w:rsidRDefault="005172DA" w:rsidP="00000FFF">
      <w:pPr>
        <w:keepNext/>
      </w:pPr>
      <w:r>
        <w:rPr>
          <w:noProof/>
        </w:rPr>
        <w:drawing>
          <wp:inline distT="0" distB="0" distL="0" distR="0" wp14:anchorId="71EC8342" wp14:editId="2BA3278E">
            <wp:extent cx="5187950" cy="32972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17"/>
                    <a:stretch/>
                  </pic:blipFill>
                  <pic:spPr bwMode="auto">
                    <a:xfrm>
                      <a:off x="0" y="0"/>
                      <a:ext cx="5213071" cy="331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4B254" w14:textId="01B03CBF" w:rsidR="00000FFF" w:rsidRDefault="00000FFF" w:rsidP="00000FFF">
      <w:pPr>
        <w:pStyle w:val="Caption"/>
      </w:pPr>
      <w:r>
        <w:t xml:space="preserve">Figure </w:t>
      </w:r>
      <w:fldSimple w:instr=" SEQ Figure \* ARABIC ">
        <w:r w:rsidR="004E0331">
          <w:rPr>
            <w:noProof/>
          </w:rPr>
          <w:t>1</w:t>
        </w:r>
      </w:fldSimple>
      <w:r>
        <w:t>: Mean energy loss per collision for the combined excitation cross sections. Mean energy loss is weighted by the Loss Rate of each process.</w:t>
      </w:r>
    </w:p>
    <w:p w14:paraId="7701CE74" w14:textId="77777777" w:rsidR="00000FFF" w:rsidRDefault="005172DA" w:rsidP="00000FFF">
      <w:pPr>
        <w:keepNext/>
      </w:pPr>
      <w:r>
        <w:rPr>
          <w:noProof/>
        </w:rPr>
        <w:lastRenderedPageBreak/>
        <w:drawing>
          <wp:inline distT="0" distB="0" distL="0" distR="0" wp14:anchorId="3DF9FF18" wp14:editId="5C36D8DE">
            <wp:extent cx="5118100" cy="30699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826" cy="3111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1247D" w14:textId="1E2E472D" w:rsidR="005172DA" w:rsidRDefault="00000FFF" w:rsidP="00000FFF">
      <w:pPr>
        <w:pStyle w:val="Caption"/>
      </w:pPr>
      <w:r>
        <w:t xml:space="preserve">Figure </w:t>
      </w:r>
      <w:fldSimple w:instr=" SEQ Figure \* ARABIC ">
        <w:r w:rsidR="004E0331">
          <w:rPr>
            <w:noProof/>
          </w:rPr>
          <w:t>2</w:t>
        </w:r>
      </w:fldSimple>
      <w:r>
        <w:t>: Mean energy loss per collision for each ionization collision.</w:t>
      </w:r>
    </w:p>
    <w:p w14:paraId="01E80333" w14:textId="53614F4F" w:rsidR="005172DA" w:rsidRDefault="005172DA" w:rsidP="005172DA">
      <w:r>
        <w:t>The fits to the effective cross Sections (dotted) for each of the four processes are shown below:</w:t>
      </w:r>
    </w:p>
    <w:p w14:paraId="652C62F3" w14:textId="72DCF125" w:rsidR="005172DA" w:rsidRDefault="005172DA" w:rsidP="005172DA"/>
    <w:p w14:paraId="211C15B9" w14:textId="77777777" w:rsidR="005172DA" w:rsidRDefault="005172DA" w:rsidP="005172DA"/>
    <w:p w14:paraId="28ADA1DB" w14:textId="77777777" w:rsidR="00000FFF" w:rsidRDefault="005172DA" w:rsidP="00000FFF">
      <w:pPr>
        <w:keepNext/>
      </w:pPr>
      <w:r>
        <w:rPr>
          <w:noProof/>
        </w:rPr>
        <w:lastRenderedPageBreak/>
        <w:drawing>
          <wp:inline distT="0" distB="0" distL="0" distR="0" wp14:anchorId="33695281" wp14:editId="25BDE9FF">
            <wp:extent cx="5187950" cy="525746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226" cy="528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24645" w14:textId="134C4E87" w:rsidR="005172DA" w:rsidRDefault="00000FFF" w:rsidP="00000FFF">
      <w:pPr>
        <w:pStyle w:val="Caption"/>
      </w:pPr>
      <w:r>
        <w:t xml:space="preserve">Figure </w:t>
      </w:r>
      <w:fldSimple w:instr=" SEQ Figure \* ARABIC ">
        <w:r w:rsidR="004E0331">
          <w:rPr>
            <w:noProof/>
          </w:rPr>
          <w:t>3</w:t>
        </w:r>
      </w:fldSimple>
      <w:r>
        <w:t>: Fits to the effective cross section of each set of inelastic collision processes. Fits given by the dotted lines. (a) Rotational, (b) Vibrational, (c) Electronic &amp; Dissociation, (d) Ionization</w:t>
      </w:r>
    </w:p>
    <w:p w14:paraId="3F1B9BC5" w14:textId="4E8EF9F2" w:rsidR="005172DA" w:rsidRDefault="005172DA" w:rsidP="005172DA"/>
    <w:p w14:paraId="5E178E7B" w14:textId="182A90B5" w:rsidR="005172DA" w:rsidRDefault="005172DA" w:rsidP="005172DA">
      <w:pPr>
        <w:pStyle w:val="Heading2"/>
      </w:pPr>
      <w:r>
        <w:t>Original Cross Section</w:t>
      </w:r>
      <w:r w:rsidR="006E22B8">
        <w:t>s</w:t>
      </w:r>
      <w:r>
        <w:t xml:space="preserve"> </w:t>
      </w:r>
    </w:p>
    <w:p w14:paraId="4BC192BD" w14:textId="5C2731A1" w:rsidR="005172DA" w:rsidRDefault="005172DA" w:rsidP="005172DA"/>
    <w:p w14:paraId="66A7C693" w14:textId="68337EB3" w:rsidR="005172DA" w:rsidRDefault="00504969" w:rsidP="005172DA">
      <w:r>
        <w:t xml:space="preserve">The full set of cross sections comprises </w:t>
      </w:r>
      <w:r w:rsidR="00591AD7">
        <w:t>12 processes which are outlined below:</w:t>
      </w:r>
      <w:r w:rsidR="005A120A">
        <w:t xml:space="preserve"> (E_th ref is the same as for XS unless stated otherwise).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397"/>
        <w:gridCol w:w="1276"/>
        <w:gridCol w:w="5387"/>
      </w:tblGrid>
      <w:tr w:rsidR="00372EA9" w14:paraId="381ADDB0" w14:textId="77777777" w:rsidTr="00372EA9">
        <w:tc>
          <w:tcPr>
            <w:tcW w:w="3397" w:type="dxa"/>
          </w:tcPr>
          <w:p w14:paraId="4707F675" w14:textId="68C779CA" w:rsidR="00372EA9" w:rsidRDefault="00372EA9" w:rsidP="005172DA">
            <w:r>
              <w:t>Process</w:t>
            </w:r>
          </w:p>
        </w:tc>
        <w:tc>
          <w:tcPr>
            <w:tcW w:w="1276" w:type="dxa"/>
          </w:tcPr>
          <w:p w14:paraId="1786B4A8" w14:textId="419D3BA5" w:rsidR="00372EA9" w:rsidRDefault="00372EA9" w:rsidP="005172DA">
            <w:r>
              <w:t>E_th [eV]</w:t>
            </w:r>
          </w:p>
        </w:tc>
        <w:tc>
          <w:tcPr>
            <w:tcW w:w="5387" w:type="dxa"/>
          </w:tcPr>
          <w:p w14:paraId="51620306" w14:textId="2D0B23DE" w:rsidR="00372EA9" w:rsidRDefault="00372EA9" w:rsidP="005172DA">
            <w:r>
              <w:t>References</w:t>
            </w:r>
          </w:p>
        </w:tc>
      </w:tr>
      <w:tr w:rsidR="00372EA9" w14:paraId="769CC716" w14:textId="77777777" w:rsidTr="00372EA9">
        <w:tc>
          <w:tcPr>
            <w:tcW w:w="3397" w:type="dxa"/>
          </w:tcPr>
          <w:p w14:paraId="79B780FA" w14:textId="731FB7A2" w:rsidR="00372EA9" w:rsidRDefault="00372EA9" w:rsidP="005172DA">
            <w:r>
              <w:t>Elastic Coll</w:t>
            </w:r>
          </w:p>
        </w:tc>
        <w:tc>
          <w:tcPr>
            <w:tcW w:w="1276" w:type="dxa"/>
          </w:tcPr>
          <w:p w14:paraId="0FDBE112" w14:textId="22D4BD1C" w:rsidR="00372EA9" w:rsidRDefault="00372EA9" w:rsidP="005172DA">
            <w:r>
              <w:t>0</w:t>
            </w:r>
          </w:p>
        </w:tc>
        <w:tc>
          <w:tcPr>
            <w:tcW w:w="5387" w:type="dxa"/>
          </w:tcPr>
          <w:p w14:paraId="63D17C5C" w14:textId="2EBC56BC" w:rsidR="00372EA9" w:rsidRDefault="00372EA9" w:rsidP="005172DA">
            <w:r>
              <w:t>f</w:t>
            </w:r>
            <w:r w:rsidRPr="006A4AFC">
              <w:t>rom 1eV to 100 eV Itikawa &amp; Mason, 2005 (Table 4), higher than 100eV, Munoz et al, 2007, below 1eV, set constant to high value of 50e-16</w:t>
            </w:r>
          </w:p>
        </w:tc>
      </w:tr>
      <w:tr w:rsidR="00372EA9" w14:paraId="3663F7D5" w14:textId="77777777" w:rsidTr="00372EA9">
        <w:tc>
          <w:tcPr>
            <w:tcW w:w="3397" w:type="dxa"/>
          </w:tcPr>
          <w:p w14:paraId="778E9159" w14:textId="3A66A5E3" w:rsidR="00372EA9" w:rsidRDefault="00372EA9" w:rsidP="005172DA">
            <w:r>
              <w:t>Rotational</w:t>
            </w:r>
            <w:r>
              <w:t xml:space="preserve"> J = 0-&gt;1</w:t>
            </w:r>
          </w:p>
        </w:tc>
        <w:tc>
          <w:tcPr>
            <w:tcW w:w="1276" w:type="dxa"/>
          </w:tcPr>
          <w:p w14:paraId="336AF500" w14:textId="0F6A6C86" w:rsidR="00372EA9" w:rsidRDefault="00372EA9" w:rsidP="005172DA">
            <w:r>
              <w:t>0.004</w:t>
            </w:r>
          </w:p>
        </w:tc>
        <w:tc>
          <w:tcPr>
            <w:tcW w:w="5387" w:type="dxa"/>
          </w:tcPr>
          <w:p w14:paraId="75541985" w14:textId="757404C4" w:rsidR="00372EA9" w:rsidRDefault="00372EA9" w:rsidP="005172DA">
            <w:r w:rsidRPr="00B93C21">
              <w:t>Itikawa and Mason, 2006</w:t>
            </w:r>
          </w:p>
        </w:tc>
      </w:tr>
      <w:tr w:rsidR="00372EA9" w14:paraId="3C3EF519" w14:textId="77777777" w:rsidTr="00372EA9">
        <w:tc>
          <w:tcPr>
            <w:tcW w:w="3397" w:type="dxa"/>
          </w:tcPr>
          <w:p w14:paraId="34276B3D" w14:textId="486B4427" w:rsidR="00372EA9" w:rsidRDefault="00372EA9" w:rsidP="005172DA">
            <w:r w:rsidRPr="00B93C21">
              <w:t xml:space="preserve">H2O-vibrational-excitation-v=010  </w:t>
            </w:r>
          </w:p>
        </w:tc>
        <w:tc>
          <w:tcPr>
            <w:tcW w:w="1276" w:type="dxa"/>
          </w:tcPr>
          <w:p w14:paraId="6749DA3A" w14:textId="534CFB51" w:rsidR="00372EA9" w:rsidRDefault="00372EA9" w:rsidP="005172DA">
            <w:r>
              <w:t>0.198</w:t>
            </w:r>
          </w:p>
        </w:tc>
        <w:tc>
          <w:tcPr>
            <w:tcW w:w="5387" w:type="dxa"/>
          </w:tcPr>
          <w:p w14:paraId="69CEC3EB" w14:textId="3A606EB0" w:rsidR="00372EA9" w:rsidRDefault="00372EA9" w:rsidP="005172DA">
            <w:r w:rsidRPr="00B93C21">
              <w:t>Itikawa and Mason, 2005</w:t>
            </w:r>
          </w:p>
        </w:tc>
      </w:tr>
      <w:tr w:rsidR="00372EA9" w14:paraId="05898AE9" w14:textId="77777777" w:rsidTr="00372EA9">
        <w:tc>
          <w:tcPr>
            <w:tcW w:w="3397" w:type="dxa"/>
          </w:tcPr>
          <w:p w14:paraId="564D9B0B" w14:textId="7A7726EE" w:rsidR="00372EA9" w:rsidRDefault="00372EA9" w:rsidP="005172DA">
            <w:r w:rsidRPr="00372EA9">
              <w:t xml:space="preserve">H2O-vibrational-excitation-v=100and001  </w:t>
            </w:r>
          </w:p>
        </w:tc>
        <w:tc>
          <w:tcPr>
            <w:tcW w:w="1276" w:type="dxa"/>
          </w:tcPr>
          <w:p w14:paraId="7A41E277" w14:textId="705FA9B1" w:rsidR="00372EA9" w:rsidRDefault="00372EA9" w:rsidP="005172DA">
            <w:r w:rsidRPr="00372EA9">
              <w:t>0.453</w:t>
            </w:r>
          </w:p>
        </w:tc>
        <w:tc>
          <w:tcPr>
            <w:tcW w:w="5387" w:type="dxa"/>
          </w:tcPr>
          <w:p w14:paraId="44EE5040" w14:textId="65BF605D" w:rsidR="00372EA9" w:rsidRDefault="005A120A" w:rsidP="005172DA">
            <w:r w:rsidRPr="005A120A">
              <w:t>Itikawa and Mason, 2005</w:t>
            </w:r>
          </w:p>
        </w:tc>
      </w:tr>
      <w:tr w:rsidR="00372EA9" w14:paraId="196B980B" w14:textId="77777777" w:rsidTr="00372EA9">
        <w:tc>
          <w:tcPr>
            <w:tcW w:w="3397" w:type="dxa"/>
          </w:tcPr>
          <w:p w14:paraId="08A2B017" w14:textId="12EFAD10" w:rsidR="00372EA9" w:rsidRDefault="0040778B" w:rsidP="005172DA">
            <w:r>
              <w:lastRenderedPageBreak/>
              <w:t>Electronic</w:t>
            </w:r>
          </w:p>
        </w:tc>
        <w:tc>
          <w:tcPr>
            <w:tcW w:w="1276" w:type="dxa"/>
          </w:tcPr>
          <w:p w14:paraId="644A129B" w14:textId="35F64C7C" w:rsidR="00372EA9" w:rsidRDefault="0040778B" w:rsidP="005172DA">
            <w:r>
              <w:t>10 (assumed average)</w:t>
            </w:r>
          </w:p>
        </w:tc>
        <w:tc>
          <w:tcPr>
            <w:tcW w:w="5387" w:type="dxa"/>
          </w:tcPr>
          <w:p w14:paraId="333528D1" w14:textId="6C35E236" w:rsidR="00372EA9" w:rsidRDefault="002E2E2F" w:rsidP="005172DA">
            <w:r w:rsidRPr="002E2E2F">
              <w:t>Thorn, 2008 and assumptions of linear decrease after 100 eV</w:t>
            </w:r>
          </w:p>
        </w:tc>
      </w:tr>
      <w:tr w:rsidR="002E2E2F" w14:paraId="35B5DC5F" w14:textId="77777777" w:rsidTr="00372EA9">
        <w:tc>
          <w:tcPr>
            <w:tcW w:w="3397" w:type="dxa"/>
          </w:tcPr>
          <w:p w14:paraId="27A57428" w14:textId="5494C8D9" w:rsidR="002E2E2F" w:rsidRDefault="002E2E2F" w:rsidP="005172DA">
            <w:r>
              <w:t>Dissociation</w:t>
            </w:r>
          </w:p>
        </w:tc>
        <w:tc>
          <w:tcPr>
            <w:tcW w:w="1276" w:type="dxa"/>
          </w:tcPr>
          <w:p w14:paraId="1165E106" w14:textId="519EFBDD" w:rsidR="002E2E2F" w:rsidRDefault="00135B50" w:rsidP="005172DA">
            <w:r>
              <w:t>7 [Harb et al (2001)</w:t>
            </w:r>
          </w:p>
        </w:tc>
        <w:tc>
          <w:tcPr>
            <w:tcW w:w="5387" w:type="dxa"/>
          </w:tcPr>
          <w:p w14:paraId="0C766964" w14:textId="0F57C355" w:rsidR="002E2E2F" w:rsidRPr="002E2E2F" w:rsidRDefault="00726BC1" w:rsidP="005172DA">
            <w:r w:rsidRPr="00751F31">
              <w:rPr>
                <w:sz w:val="24"/>
                <w:szCs w:val="24"/>
              </w:rPr>
              <w:t>Itikawa and Mason – 2005</w:t>
            </w:r>
            <w:r w:rsidR="00C908E4">
              <w:rPr>
                <w:sz w:val="24"/>
                <w:szCs w:val="24"/>
              </w:rPr>
              <w:t>. Extended to higher energies with</w:t>
            </w:r>
            <w:r w:rsidR="00FC2090">
              <w:rPr>
                <w:sz w:val="24"/>
                <w:szCs w:val="24"/>
              </w:rPr>
              <w:t xml:space="preserve"> power law. </w:t>
            </w:r>
          </w:p>
        </w:tc>
      </w:tr>
      <w:tr w:rsidR="00135B50" w14:paraId="3A46F769" w14:textId="77777777" w:rsidTr="00372EA9">
        <w:tc>
          <w:tcPr>
            <w:tcW w:w="3397" w:type="dxa"/>
          </w:tcPr>
          <w:p w14:paraId="301EE559" w14:textId="17C909E8" w:rsidR="00135B50" w:rsidRDefault="007D4594" w:rsidP="005172DA">
            <w:r>
              <w:t>H</w:t>
            </w:r>
            <w:r w:rsidRPr="007C3315">
              <w:rPr>
                <w:vertAlign w:val="subscript"/>
              </w:rPr>
              <w:t>2</w:t>
            </w:r>
            <w:r>
              <w:t>O+</w:t>
            </w:r>
          </w:p>
        </w:tc>
        <w:tc>
          <w:tcPr>
            <w:tcW w:w="1276" w:type="dxa"/>
          </w:tcPr>
          <w:p w14:paraId="2C514932" w14:textId="02782AA7" w:rsidR="00135B50" w:rsidRDefault="00564B5D" w:rsidP="005172DA">
            <w:r>
              <w:t>12.62 (NIST)</w:t>
            </w:r>
          </w:p>
        </w:tc>
        <w:tc>
          <w:tcPr>
            <w:tcW w:w="5387" w:type="dxa"/>
          </w:tcPr>
          <w:p w14:paraId="4571D00A" w14:textId="2BD27F7D" w:rsidR="00135B50" w:rsidRPr="00751F31" w:rsidRDefault="003E2193" w:rsidP="005172DA">
            <w:pPr>
              <w:rPr>
                <w:sz w:val="24"/>
                <w:szCs w:val="24"/>
              </w:rPr>
            </w:pPr>
            <w:r w:rsidRPr="003E2193">
              <w:rPr>
                <w:sz w:val="24"/>
                <w:szCs w:val="24"/>
              </w:rPr>
              <w:t>Itikawa &amp; Mason 2005 Table 11</w:t>
            </w:r>
          </w:p>
        </w:tc>
      </w:tr>
      <w:tr w:rsidR="00135B50" w14:paraId="2AB14F08" w14:textId="77777777" w:rsidTr="00372EA9">
        <w:tc>
          <w:tcPr>
            <w:tcW w:w="3397" w:type="dxa"/>
          </w:tcPr>
          <w:p w14:paraId="50A5141E" w14:textId="2F95902E" w:rsidR="00135B50" w:rsidRDefault="007D4594" w:rsidP="005172DA">
            <w:r>
              <w:t>OH</w:t>
            </w:r>
            <w:r>
              <w:t>+</w:t>
            </w:r>
            <w:r>
              <w:t xml:space="preserve"> </w:t>
            </w:r>
            <w:r w:rsidR="007C3315">
              <w:t xml:space="preserve"> </w:t>
            </w:r>
          </w:p>
        </w:tc>
        <w:tc>
          <w:tcPr>
            <w:tcW w:w="1276" w:type="dxa"/>
          </w:tcPr>
          <w:p w14:paraId="6801929F" w14:textId="2D3678A6" w:rsidR="00135B50" w:rsidRDefault="00564B5D" w:rsidP="005172DA">
            <w:r>
              <w:t xml:space="preserve">18.1 </w:t>
            </w:r>
            <w:r>
              <w:t>(NIST)</w:t>
            </w:r>
          </w:p>
        </w:tc>
        <w:tc>
          <w:tcPr>
            <w:tcW w:w="5387" w:type="dxa"/>
          </w:tcPr>
          <w:p w14:paraId="1F62C1CB" w14:textId="1EB770C7" w:rsidR="00135B50" w:rsidRPr="00751F31" w:rsidRDefault="003E2193" w:rsidP="005172DA">
            <w:pPr>
              <w:rPr>
                <w:sz w:val="24"/>
                <w:szCs w:val="24"/>
              </w:rPr>
            </w:pPr>
            <w:r w:rsidRPr="003E2193">
              <w:rPr>
                <w:sz w:val="24"/>
                <w:szCs w:val="24"/>
              </w:rPr>
              <w:t>Itikawa &amp; Mason 2005 Table 11</w:t>
            </w:r>
          </w:p>
        </w:tc>
      </w:tr>
      <w:tr w:rsidR="007C3315" w14:paraId="07C38B9B" w14:textId="77777777" w:rsidTr="00372EA9">
        <w:tc>
          <w:tcPr>
            <w:tcW w:w="3397" w:type="dxa"/>
          </w:tcPr>
          <w:p w14:paraId="256A5381" w14:textId="59946D5C" w:rsidR="007C3315" w:rsidRDefault="007C3315" w:rsidP="005172DA">
            <w:r>
              <w:t>O+</w:t>
            </w:r>
          </w:p>
        </w:tc>
        <w:tc>
          <w:tcPr>
            <w:tcW w:w="1276" w:type="dxa"/>
          </w:tcPr>
          <w:p w14:paraId="7B124BE2" w14:textId="2A737F02" w:rsidR="007C3315" w:rsidRDefault="00564B5D" w:rsidP="005172DA">
            <w:r>
              <w:t xml:space="preserve">19.0 </w:t>
            </w:r>
            <w:r>
              <w:t>(NIST)</w:t>
            </w:r>
          </w:p>
        </w:tc>
        <w:tc>
          <w:tcPr>
            <w:tcW w:w="5387" w:type="dxa"/>
          </w:tcPr>
          <w:p w14:paraId="07F61D02" w14:textId="3516C251" w:rsidR="007C3315" w:rsidRPr="00751F31" w:rsidRDefault="003E2193" w:rsidP="005172DA">
            <w:pPr>
              <w:rPr>
                <w:sz w:val="24"/>
                <w:szCs w:val="24"/>
              </w:rPr>
            </w:pPr>
            <w:r w:rsidRPr="003E2193">
              <w:rPr>
                <w:sz w:val="24"/>
                <w:szCs w:val="24"/>
              </w:rPr>
              <w:t>Itikawa &amp; Mason 2005 Table 11</w:t>
            </w:r>
          </w:p>
        </w:tc>
      </w:tr>
      <w:tr w:rsidR="007C3315" w14:paraId="6B8761C9" w14:textId="77777777" w:rsidTr="00372EA9">
        <w:tc>
          <w:tcPr>
            <w:tcW w:w="3397" w:type="dxa"/>
          </w:tcPr>
          <w:p w14:paraId="76827A70" w14:textId="7561F283" w:rsidR="007C3315" w:rsidRPr="007C3315" w:rsidRDefault="007C3315" w:rsidP="005172DA">
            <w:r>
              <w:t>H</w:t>
            </w:r>
            <w:r w:rsidRPr="007C3315">
              <w:rPr>
                <w:vertAlign w:val="subscript"/>
              </w:rPr>
              <w:t>2</w:t>
            </w:r>
            <w:r>
              <w:t>+</w:t>
            </w:r>
          </w:p>
        </w:tc>
        <w:tc>
          <w:tcPr>
            <w:tcW w:w="1276" w:type="dxa"/>
          </w:tcPr>
          <w:p w14:paraId="06A000BE" w14:textId="3893894D" w:rsidR="007C3315" w:rsidRDefault="00763088" w:rsidP="005172DA">
            <w:r>
              <w:t xml:space="preserve">20.7 </w:t>
            </w:r>
            <w:r>
              <w:t>(NIST)</w:t>
            </w:r>
          </w:p>
        </w:tc>
        <w:tc>
          <w:tcPr>
            <w:tcW w:w="5387" w:type="dxa"/>
          </w:tcPr>
          <w:p w14:paraId="43493BC9" w14:textId="793A9763" w:rsidR="007C3315" w:rsidRPr="00751F31" w:rsidRDefault="003E2193" w:rsidP="005172DA">
            <w:pPr>
              <w:rPr>
                <w:sz w:val="24"/>
                <w:szCs w:val="24"/>
              </w:rPr>
            </w:pPr>
            <w:r w:rsidRPr="003E2193">
              <w:rPr>
                <w:sz w:val="24"/>
                <w:szCs w:val="24"/>
              </w:rPr>
              <w:t>Itikawa &amp; Mason 2005 Table 11</w:t>
            </w:r>
          </w:p>
        </w:tc>
      </w:tr>
      <w:tr w:rsidR="007C3315" w14:paraId="27892297" w14:textId="77777777" w:rsidTr="00372EA9">
        <w:tc>
          <w:tcPr>
            <w:tcW w:w="3397" w:type="dxa"/>
          </w:tcPr>
          <w:p w14:paraId="438BE24F" w14:textId="565CF268" w:rsidR="007C3315" w:rsidRDefault="007C3315" w:rsidP="005172DA">
            <w:r>
              <w:t>H+</w:t>
            </w:r>
          </w:p>
        </w:tc>
        <w:tc>
          <w:tcPr>
            <w:tcW w:w="1276" w:type="dxa"/>
          </w:tcPr>
          <w:p w14:paraId="6875D075" w14:textId="6C1C4306" w:rsidR="007C3315" w:rsidRDefault="00763088" w:rsidP="005172DA">
            <w:r>
              <w:t xml:space="preserve">16.95 </w:t>
            </w:r>
            <w:r>
              <w:t>(NIST)</w:t>
            </w:r>
          </w:p>
        </w:tc>
        <w:tc>
          <w:tcPr>
            <w:tcW w:w="5387" w:type="dxa"/>
          </w:tcPr>
          <w:p w14:paraId="0ACAF797" w14:textId="61F6442A" w:rsidR="007C3315" w:rsidRPr="00751F31" w:rsidRDefault="003E2193" w:rsidP="005172DA">
            <w:pPr>
              <w:rPr>
                <w:sz w:val="24"/>
                <w:szCs w:val="24"/>
              </w:rPr>
            </w:pPr>
            <w:r w:rsidRPr="003E2193">
              <w:rPr>
                <w:sz w:val="24"/>
                <w:szCs w:val="24"/>
              </w:rPr>
              <w:t>Itikawa &amp; Mason 2005 Table 11</w:t>
            </w:r>
          </w:p>
        </w:tc>
      </w:tr>
      <w:tr w:rsidR="007C3315" w14:paraId="0626439F" w14:textId="77777777" w:rsidTr="00372EA9">
        <w:tc>
          <w:tcPr>
            <w:tcW w:w="3397" w:type="dxa"/>
          </w:tcPr>
          <w:p w14:paraId="40FD3BED" w14:textId="7087A83E" w:rsidR="007C3315" w:rsidRDefault="007C3315" w:rsidP="005172DA">
            <w:r>
              <w:t>O</w:t>
            </w:r>
            <w:r w:rsidR="00564B5D">
              <w:t>++</w:t>
            </w:r>
          </w:p>
        </w:tc>
        <w:tc>
          <w:tcPr>
            <w:tcW w:w="1276" w:type="dxa"/>
          </w:tcPr>
          <w:p w14:paraId="4DF0BDA7" w14:textId="13D67910" w:rsidR="007C3315" w:rsidRDefault="00763088" w:rsidP="005172DA">
            <w:r>
              <w:t>54.1</w:t>
            </w:r>
          </w:p>
        </w:tc>
        <w:tc>
          <w:tcPr>
            <w:tcW w:w="5387" w:type="dxa"/>
          </w:tcPr>
          <w:p w14:paraId="27A87F3E" w14:textId="4BB2E8A1" w:rsidR="007C3315" w:rsidRPr="00751F31" w:rsidRDefault="00763088" w:rsidP="005172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E_th </w:t>
            </w:r>
            <w:r w:rsidR="00F203B7">
              <w:rPr>
                <w:sz w:val="24"/>
                <w:szCs w:val="24"/>
              </w:rPr>
              <w:t xml:space="preserve">from O+ and second ionization potential of Oxygen (35.1eV). </w:t>
            </w:r>
            <w:r w:rsidR="003E2193" w:rsidRPr="003E2193">
              <w:rPr>
                <w:sz w:val="24"/>
                <w:szCs w:val="24"/>
              </w:rPr>
              <w:t>Itikawa &amp; Mason 2005 Table 11</w:t>
            </w:r>
          </w:p>
        </w:tc>
      </w:tr>
    </w:tbl>
    <w:p w14:paraId="797EA25F" w14:textId="0A281332" w:rsidR="00591AD7" w:rsidRDefault="00591AD7" w:rsidP="005172DA"/>
    <w:p w14:paraId="3E75223B" w14:textId="386C04DB" w:rsidR="00591AD7" w:rsidRDefault="009B1FB9" w:rsidP="005172DA">
      <w:r>
        <w:t>The Cross Sections are plotted below.</w:t>
      </w:r>
    </w:p>
    <w:p w14:paraId="23030985" w14:textId="4691037D" w:rsidR="00A2756A" w:rsidRDefault="00A2756A" w:rsidP="005172DA"/>
    <w:p w14:paraId="26BEF41A" w14:textId="77777777" w:rsidR="00000FFF" w:rsidRDefault="00000FFF" w:rsidP="00000FFF">
      <w:pPr>
        <w:keepNext/>
      </w:pPr>
      <w:r>
        <w:rPr>
          <w:noProof/>
        </w:rPr>
        <w:drawing>
          <wp:inline distT="0" distB="0" distL="0" distR="0" wp14:anchorId="07B777E2" wp14:editId="3151CB95">
            <wp:extent cx="4972050" cy="2982128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111" cy="298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B9E3" w14:textId="710F6748" w:rsidR="00A2756A" w:rsidRDefault="00000FFF" w:rsidP="00000FFF">
      <w:pPr>
        <w:pStyle w:val="Caption"/>
      </w:pPr>
      <w:r>
        <w:t xml:space="preserve">Figure </w:t>
      </w:r>
      <w:fldSimple w:instr=" SEQ Figure \* ARABIC ">
        <w:r w:rsidR="004E0331">
          <w:rPr>
            <w:noProof/>
          </w:rPr>
          <w:t>4</w:t>
        </w:r>
      </w:fldSimple>
      <w:r>
        <w:t>: Cross sections of electron impacts on H2O molecules.</w:t>
      </w:r>
    </w:p>
    <w:p w14:paraId="0DDC1B30" w14:textId="77777777" w:rsidR="00000FFF" w:rsidRDefault="00000FFF" w:rsidP="00000FFF">
      <w:pPr>
        <w:keepNext/>
      </w:pPr>
      <w:r>
        <w:rPr>
          <w:noProof/>
        </w:rPr>
        <w:lastRenderedPageBreak/>
        <w:drawing>
          <wp:inline distT="0" distB="0" distL="0" distR="0" wp14:anchorId="6CB1EB8E" wp14:editId="7D197997">
            <wp:extent cx="5727700" cy="34353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AD4BC" w14:textId="74FF8209" w:rsidR="00000FFF" w:rsidRDefault="00000FFF" w:rsidP="00000FFF">
      <w:pPr>
        <w:pStyle w:val="Caption"/>
      </w:pPr>
      <w:r>
        <w:t xml:space="preserve">Figure </w:t>
      </w:r>
      <w:fldSimple w:instr=" SEQ Figure \* ARABIC ">
        <w:r w:rsidR="004E0331">
          <w:rPr>
            <w:noProof/>
          </w:rPr>
          <w:t>5</w:t>
        </w:r>
      </w:fldSimple>
      <w:r>
        <w:t>: Cross Sections of ionization processes caused by electron impact on H2O molecules. The lines are labelled by the ion produced by this collision process.</w:t>
      </w:r>
    </w:p>
    <w:p w14:paraId="2AB0A940" w14:textId="62C22CEE" w:rsidR="00000FFF" w:rsidRDefault="00000FFF" w:rsidP="00000FFF">
      <w:r>
        <w:t xml:space="preserve">The energy loss by the incident electron in each </w:t>
      </w:r>
      <w:r w:rsidR="00F45539">
        <w:t xml:space="preserve">excitation </w:t>
      </w:r>
      <w:r>
        <w:t>collision is assumed to be the threshold energy of the process occurring</w:t>
      </w:r>
      <w:r w:rsidR="00F45539">
        <w:t xml:space="preserve">. For ionization, it is assumed the </w:t>
      </w:r>
      <w:r w:rsidR="009D0EC2">
        <w:t xml:space="preserve">energy of the incident electron is split equally between the outgoing electrons, once the threshold energy </w:t>
      </w:r>
      <w:r w:rsidR="00276C00">
        <w:t>ha</w:t>
      </w:r>
      <w:r w:rsidR="009D0EC2">
        <w:t>s</w:t>
      </w:r>
      <w:r w:rsidR="00276C00">
        <w:t xml:space="preserve"> been</w:t>
      </w:r>
      <w:r w:rsidR="009D0EC2">
        <w:t xml:space="preserve"> removed. </w:t>
      </w:r>
    </w:p>
    <w:p w14:paraId="5C7E8EAD" w14:textId="7E345856" w:rsidR="00276C00" w:rsidRDefault="00276C00" w:rsidP="00000FFF"/>
    <w:p w14:paraId="392DE51C" w14:textId="308CE613" w:rsidR="00276C00" w:rsidRDefault="00276C00" w:rsidP="00276C00">
      <w:pPr>
        <w:pStyle w:val="Heading2"/>
      </w:pPr>
      <w:r>
        <w:t>Combining Cross Sections</w:t>
      </w:r>
    </w:p>
    <w:p w14:paraId="28633042" w14:textId="003F2727" w:rsidR="00276C00" w:rsidRDefault="00276C00" w:rsidP="00276C00"/>
    <w:p w14:paraId="11CDA81C" w14:textId="5E86EEA6" w:rsidR="00276C00" w:rsidRDefault="00276C00" w:rsidP="00276C00">
      <w:r>
        <w:t xml:space="preserve">The cross sections are grouped by threshold energy. </w:t>
      </w:r>
      <w:r w:rsidR="00E57039">
        <w:t>The mean energy loss for a set of cross sections is weighted by the loss rate of the process, which is given by</w:t>
      </w:r>
    </w:p>
    <w:p w14:paraId="797E38C2" w14:textId="21E92F72" w:rsidR="00E57039" w:rsidRPr="00C23F02" w:rsidRDefault="00E57039" w:rsidP="00276C0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Loss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</m:oMath>
      </m:oMathPara>
    </w:p>
    <w:p w14:paraId="6548A904" w14:textId="77777777" w:rsidR="00CD471B" w:rsidRDefault="00CD471B" w:rsidP="00CD471B">
      <w:pPr>
        <w:keepNext/>
      </w:pPr>
      <w:r>
        <w:rPr>
          <w:rFonts w:eastAsiaTheme="minorEastAsia"/>
          <w:noProof/>
        </w:rPr>
        <w:drawing>
          <wp:inline distT="0" distB="0" distL="0" distR="0" wp14:anchorId="70C1D21C" wp14:editId="4F15DB7B">
            <wp:extent cx="4083050" cy="2448925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58" cy="2450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DDA18" w14:textId="72533DDB" w:rsidR="00C23F02" w:rsidRPr="00E57039" w:rsidRDefault="00CD471B" w:rsidP="00CD471B">
      <w:pPr>
        <w:pStyle w:val="Caption"/>
        <w:rPr>
          <w:rFonts w:eastAsiaTheme="minorEastAsia"/>
          <w:i w:val="0"/>
        </w:rPr>
      </w:pPr>
      <w:r>
        <w:t xml:space="preserve">Figure </w:t>
      </w:r>
      <w:fldSimple w:instr=" SEQ Figure \* ARABIC ">
        <w:r w:rsidR="004E0331">
          <w:rPr>
            <w:noProof/>
          </w:rPr>
          <w:t>6</w:t>
        </w:r>
      </w:fldSimple>
      <w:r>
        <w:t>: Loss rate of each excitation collision process. Elastic collisions not seen as no energy is lost.</w:t>
      </w:r>
    </w:p>
    <w:p w14:paraId="6BB7DC98" w14:textId="6C95DEF4" w:rsidR="000777E0" w:rsidRDefault="000777E0" w:rsidP="00276C00">
      <w:pPr>
        <w:rPr>
          <w:rFonts w:eastAsiaTheme="minorEastAsia"/>
        </w:rPr>
      </w:pPr>
    </w:p>
    <w:p w14:paraId="38B0A78A" w14:textId="77777777" w:rsidR="000777E0" w:rsidRDefault="000777E0" w:rsidP="00276C00">
      <w:pPr>
        <w:rPr>
          <w:rFonts w:eastAsiaTheme="minorEastAsia"/>
        </w:rPr>
      </w:pPr>
    </w:p>
    <w:p w14:paraId="43FCF8EE" w14:textId="0796A124" w:rsidR="00E57039" w:rsidRDefault="00130296" w:rsidP="00276C00">
      <w:pPr>
        <w:rPr>
          <w:rFonts w:eastAsiaTheme="minorEastAsia"/>
        </w:rPr>
      </w:pPr>
      <w:r>
        <w:rPr>
          <w:rFonts w:eastAsiaTheme="minorEastAsia"/>
        </w:rPr>
        <w:t>The effective cross section of each group is given by</w:t>
      </w:r>
    </w:p>
    <w:p w14:paraId="1D097F51" w14:textId="431E2143" w:rsidR="00130296" w:rsidRPr="002948C8" w:rsidRDefault="002948C8" w:rsidP="00276C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eff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acc>
                <m:accPr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loss</m:t>
                      </m:r>
                    </m:sub>
                  </m:sSub>
                </m:e>
              </m:acc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75EECF7E" w14:textId="3CB6F9E4" w:rsidR="002948C8" w:rsidRDefault="00760225" w:rsidP="00276C00">
      <w:pPr>
        <w:rPr>
          <w:rFonts w:eastAsiaTheme="minorEastAsia"/>
        </w:rPr>
      </w:pPr>
      <w:r>
        <w:rPr>
          <w:rFonts w:eastAsiaTheme="minorEastAsia"/>
        </w:rPr>
        <w:t>Where the sum is over the processes included in each group</w:t>
      </w:r>
      <w:r w:rsidR="00C23F02">
        <w:rPr>
          <w:rFonts w:eastAsiaTheme="minorEastAsia"/>
        </w:rPr>
        <w:t xml:space="preserve">. </w:t>
      </w:r>
    </w:p>
    <w:p w14:paraId="329AA027" w14:textId="77777777" w:rsidR="004E0331" w:rsidRDefault="000777E0" w:rsidP="004E0331">
      <w:pPr>
        <w:keepNext/>
      </w:pPr>
      <w:r>
        <w:rPr>
          <w:rFonts w:eastAsiaTheme="minorEastAsia"/>
          <w:noProof/>
        </w:rPr>
        <w:drawing>
          <wp:inline distT="0" distB="0" distL="0" distR="0" wp14:anchorId="228C77B6" wp14:editId="74659D01">
            <wp:extent cx="5238750" cy="3142088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272" cy="314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D86A1" w14:textId="03C70D74" w:rsidR="0079341B" w:rsidRDefault="004E0331" w:rsidP="004E0331">
      <w:pPr>
        <w:pStyle w:val="Caption"/>
        <w:rPr>
          <w:rFonts w:eastAsiaTheme="minorEastAsia"/>
        </w:rPr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Effective Cross sections for the four groups of inelastic collisions</w:t>
      </w:r>
    </w:p>
    <w:p w14:paraId="6868CF52" w14:textId="17E65894" w:rsidR="00C23F02" w:rsidRDefault="00C23F02" w:rsidP="00276C00">
      <w:pPr>
        <w:rPr>
          <w:rFonts w:eastAsiaTheme="minorEastAsia"/>
        </w:rPr>
      </w:pPr>
    </w:p>
    <w:p w14:paraId="7AE0ECCB" w14:textId="3E157628" w:rsidR="00C23F02" w:rsidRDefault="004E0331" w:rsidP="004E0331">
      <w:pPr>
        <w:pStyle w:val="Heading1"/>
        <w:rPr>
          <w:rFonts w:eastAsiaTheme="minorEastAsia"/>
        </w:rPr>
      </w:pPr>
      <w:r>
        <w:rPr>
          <w:rFonts w:eastAsiaTheme="minorEastAsia"/>
        </w:rPr>
        <w:t>Fitting the effective Cross Sections</w:t>
      </w:r>
    </w:p>
    <w:p w14:paraId="5862B073" w14:textId="5D181666" w:rsidR="004E0331" w:rsidRDefault="004E0331" w:rsidP="004E0331"/>
    <w:p w14:paraId="564DB413" w14:textId="6860C81B" w:rsidR="0035159F" w:rsidRPr="00FC7390" w:rsidRDefault="004E0331" w:rsidP="004E0331">
      <w:r>
        <w:t xml:space="preserve">The energy loss </w:t>
      </w:r>
      <w:r w:rsidR="0035159F">
        <w:t>per collision has been fitted with step functions for each process</w:t>
      </w:r>
      <w:r w:rsidR="00871938">
        <w:t xml:space="preserve"> (see Also Figs. 1 &amp;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2FDD" w14:paraId="327A054D" w14:textId="77777777" w:rsidTr="00FC7390">
        <w:tc>
          <w:tcPr>
            <w:tcW w:w="3005" w:type="dxa"/>
          </w:tcPr>
          <w:p w14:paraId="1DE7B0D4" w14:textId="7BA3007C" w:rsidR="00642FDD" w:rsidRPr="00FC7390" w:rsidRDefault="00642FDD" w:rsidP="00FC7390">
            <w:pPr>
              <w:pStyle w:val="Heading3"/>
            </w:pPr>
            <w:r w:rsidRPr="00FC7390">
              <w:t>Process</w:t>
            </w:r>
          </w:p>
        </w:tc>
        <w:tc>
          <w:tcPr>
            <w:tcW w:w="3005" w:type="dxa"/>
            <w:vAlign w:val="center"/>
          </w:tcPr>
          <w:p w14:paraId="5C777D65" w14:textId="45728CF3" w:rsidR="00642FDD" w:rsidRDefault="00642FDD" w:rsidP="00FC7390">
            <w:pPr>
              <w:pStyle w:val="Heading3"/>
              <w:jc w:val="center"/>
            </w:pPr>
            <w:r>
              <w:t>Energy Range</w:t>
            </w:r>
            <w:r w:rsidR="00EE1014">
              <w:t xml:space="preserve"> [eV]</w:t>
            </w:r>
          </w:p>
        </w:tc>
        <w:tc>
          <w:tcPr>
            <w:tcW w:w="3006" w:type="dxa"/>
            <w:vAlign w:val="center"/>
          </w:tcPr>
          <w:p w14:paraId="6F12775C" w14:textId="54E5C94E" w:rsidR="00642FDD" w:rsidRPr="00642FDD" w:rsidRDefault="00642FDD" w:rsidP="00FC7390">
            <w:pPr>
              <w:pStyle w:val="Heading3"/>
              <w:jc w:val="center"/>
              <w:rPr>
                <w:rFonts w:asciiTheme="minorHAnsi" w:eastAsiaTheme="minorEastAsia" w:hAnsiTheme="minorHAnsi" w:cstheme="minorBidi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Loss</m:t>
                  </m:r>
                </m:sub>
              </m:sSub>
            </m:oMath>
            <w:r w:rsidR="00EE1014">
              <w:rPr>
                <w:rFonts w:eastAsiaTheme="minorEastAsia"/>
              </w:rPr>
              <w:t xml:space="preserve"> [eV]</w:t>
            </w:r>
          </w:p>
        </w:tc>
      </w:tr>
      <w:tr w:rsidR="00642FDD" w14:paraId="0D7607A6" w14:textId="77777777" w:rsidTr="00FC7390">
        <w:tc>
          <w:tcPr>
            <w:tcW w:w="3005" w:type="dxa"/>
            <w:vAlign w:val="center"/>
          </w:tcPr>
          <w:p w14:paraId="0E2A1EA3" w14:textId="13B01A2A" w:rsidR="00642FDD" w:rsidRPr="00EE1014" w:rsidRDefault="00642FDD" w:rsidP="00FC7390">
            <w:pPr>
              <w:rPr>
                <w:b/>
                <w:bCs/>
              </w:rPr>
            </w:pPr>
            <w:r w:rsidRPr="00EE1014">
              <w:rPr>
                <w:b/>
                <w:bCs/>
              </w:rPr>
              <w:t>Rotational</w:t>
            </w:r>
          </w:p>
        </w:tc>
        <w:tc>
          <w:tcPr>
            <w:tcW w:w="3005" w:type="dxa"/>
            <w:vAlign w:val="center"/>
          </w:tcPr>
          <w:p w14:paraId="00E60785" w14:textId="10F978A1" w:rsidR="00642FDD" w:rsidRDefault="00EE1014" w:rsidP="00FC7390">
            <w:pPr>
              <w:jc w:val="center"/>
            </w:pPr>
            <w:r>
              <w:t>&gt;0.004</w:t>
            </w:r>
          </w:p>
        </w:tc>
        <w:tc>
          <w:tcPr>
            <w:tcW w:w="3006" w:type="dxa"/>
            <w:vAlign w:val="center"/>
          </w:tcPr>
          <w:p w14:paraId="13BB248E" w14:textId="219D08E2" w:rsidR="00642FDD" w:rsidRDefault="00EE1014" w:rsidP="00FC7390">
            <w:pPr>
              <w:jc w:val="center"/>
            </w:pPr>
            <w:r>
              <w:t>0.004</w:t>
            </w:r>
          </w:p>
        </w:tc>
      </w:tr>
      <w:tr w:rsidR="00FC7390" w14:paraId="31D4D878" w14:textId="77777777" w:rsidTr="00FC7390">
        <w:tc>
          <w:tcPr>
            <w:tcW w:w="3005" w:type="dxa"/>
            <w:vMerge w:val="restart"/>
            <w:vAlign w:val="center"/>
          </w:tcPr>
          <w:p w14:paraId="041022CB" w14:textId="4CBE2FA6" w:rsidR="00FC7390" w:rsidRPr="00EE1014" w:rsidRDefault="00FC7390" w:rsidP="00FC7390">
            <w:pPr>
              <w:rPr>
                <w:b/>
                <w:bCs/>
              </w:rPr>
            </w:pPr>
            <w:r>
              <w:rPr>
                <w:b/>
                <w:bCs/>
              </w:rPr>
              <w:t>Vibrational</w:t>
            </w:r>
          </w:p>
        </w:tc>
        <w:tc>
          <w:tcPr>
            <w:tcW w:w="3005" w:type="dxa"/>
            <w:vAlign w:val="center"/>
          </w:tcPr>
          <w:p w14:paraId="7A137968" w14:textId="76AFFCC0" w:rsidR="00FC7390" w:rsidRDefault="00FC7390" w:rsidP="00FC7390">
            <w:pPr>
              <w:jc w:val="center"/>
            </w:pPr>
            <w:r>
              <w:t>0.198 – 0.46</w:t>
            </w:r>
          </w:p>
        </w:tc>
        <w:tc>
          <w:tcPr>
            <w:tcW w:w="3006" w:type="dxa"/>
            <w:vAlign w:val="center"/>
          </w:tcPr>
          <w:p w14:paraId="5825810E" w14:textId="55491C76" w:rsidR="00FC7390" w:rsidRDefault="00FC7390" w:rsidP="00FC7390">
            <w:pPr>
              <w:jc w:val="center"/>
            </w:pPr>
            <w:r>
              <w:t>0.198</w:t>
            </w:r>
          </w:p>
        </w:tc>
      </w:tr>
      <w:tr w:rsidR="00FC7390" w14:paraId="5DEAB80F" w14:textId="77777777" w:rsidTr="00FC7390">
        <w:tc>
          <w:tcPr>
            <w:tcW w:w="3005" w:type="dxa"/>
            <w:vMerge/>
            <w:vAlign w:val="center"/>
          </w:tcPr>
          <w:p w14:paraId="4B5F0648" w14:textId="77777777" w:rsidR="00FC7390" w:rsidRDefault="00FC7390" w:rsidP="00FC7390">
            <w:pPr>
              <w:rPr>
                <w:b/>
                <w:bCs/>
              </w:rPr>
            </w:pPr>
          </w:p>
        </w:tc>
        <w:tc>
          <w:tcPr>
            <w:tcW w:w="3005" w:type="dxa"/>
            <w:vAlign w:val="center"/>
          </w:tcPr>
          <w:p w14:paraId="1780D572" w14:textId="58805253" w:rsidR="00FC7390" w:rsidRDefault="00FC7390" w:rsidP="00FC7390">
            <w:pPr>
              <w:jc w:val="center"/>
            </w:pPr>
            <w:r>
              <w:t>0.46-12</w:t>
            </w:r>
          </w:p>
        </w:tc>
        <w:tc>
          <w:tcPr>
            <w:tcW w:w="3006" w:type="dxa"/>
            <w:vAlign w:val="center"/>
          </w:tcPr>
          <w:p w14:paraId="44892F5C" w14:textId="7F71554E" w:rsidR="00FC7390" w:rsidRDefault="00FC7390" w:rsidP="00FC7390">
            <w:pPr>
              <w:jc w:val="center"/>
            </w:pPr>
            <w:r>
              <w:t>0.4</w:t>
            </w:r>
          </w:p>
        </w:tc>
      </w:tr>
      <w:tr w:rsidR="00C85C55" w14:paraId="4953BA0B" w14:textId="77777777" w:rsidTr="00FC7390">
        <w:trPr>
          <w:trHeight w:val="50"/>
        </w:trPr>
        <w:tc>
          <w:tcPr>
            <w:tcW w:w="3005" w:type="dxa"/>
            <w:vAlign w:val="center"/>
          </w:tcPr>
          <w:p w14:paraId="71897E25" w14:textId="00CCECFA" w:rsidR="00C85C55" w:rsidRDefault="00C85C55" w:rsidP="00FC7390">
            <w:pPr>
              <w:rPr>
                <w:b/>
                <w:bCs/>
              </w:rPr>
            </w:pPr>
            <w:r>
              <w:rPr>
                <w:b/>
                <w:bCs/>
              </w:rPr>
              <w:t>Elec/Diss</w:t>
            </w:r>
          </w:p>
        </w:tc>
        <w:tc>
          <w:tcPr>
            <w:tcW w:w="3005" w:type="dxa"/>
            <w:vAlign w:val="center"/>
          </w:tcPr>
          <w:p w14:paraId="42B95072" w14:textId="6ECB567A" w:rsidR="00C85C55" w:rsidRDefault="00C85C55" w:rsidP="00FC7390">
            <w:pPr>
              <w:jc w:val="center"/>
            </w:pPr>
            <w:r>
              <w:t>&gt;9</w:t>
            </w:r>
          </w:p>
        </w:tc>
        <w:tc>
          <w:tcPr>
            <w:tcW w:w="3006" w:type="dxa"/>
            <w:vAlign w:val="center"/>
          </w:tcPr>
          <w:p w14:paraId="5A4FFAC2" w14:textId="2E1F596B" w:rsidR="00C85C55" w:rsidRDefault="00C85C55" w:rsidP="00FC7390">
            <w:pPr>
              <w:jc w:val="center"/>
            </w:pPr>
            <w:r>
              <w:t>8.3</w:t>
            </w:r>
          </w:p>
        </w:tc>
      </w:tr>
      <w:tr w:rsidR="00C85C55" w14:paraId="08939D7D" w14:textId="77777777" w:rsidTr="00FC7390">
        <w:tc>
          <w:tcPr>
            <w:tcW w:w="3005" w:type="dxa"/>
            <w:vAlign w:val="center"/>
          </w:tcPr>
          <w:p w14:paraId="3C9CB2D2" w14:textId="6CF62088" w:rsidR="00C85C55" w:rsidRDefault="00C85C55" w:rsidP="00FC7390">
            <w:pPr>
              <w:rPr>
                <w:b/>
                <w:bCs/>
              </w:rPr>
            </w:pPr>
            <w:r>
              <w:rPr>
                <w:b/>
                <w:bCs/>
              </w:rPr>
              <w:t>Ioni</w:t>
            </w:r>
            <w:r w:rsidR="00AD67B4">
              <w:rPr>
                <w:b/>
                <w:bCs/>
              </w:rPr>
              <w:t>zation</w:t>
            </w:r>
          </w:p>
        </w:tc>
        <w:tc>
          <w:tcPr>
            <w:tcW w:w="3005" w:type="dxa"/>
            <w:vAlign w:val="center"/>
          </w:tcPr>
          <w:p w14:paraId="6284F41C" w14:textId="4360A63C" w:rsidR="00C85C55" w:rsidRDefault="00AD67B4" w:rsidP="00FC7390">
            <w:pPr>
              <w:jc w:val="center"/>
            </w:pPr>
            <w:r>
              <w:t>&gt;13.5</w:t>
            </w:r>
          </w:p>
        </w:tc>
        <w:tc>
          <w:tcPr>
            <w:tcW w:w="3006" w:type="dxa"/>
            <w:vAlign w:val="center"/>
          </w:tcPr>
          <w:p w14:paraId="2195BD80" w14:textId="4DE32EAA" w:rsidR="00C85C55" w:rsidRPr="00AD67B4" w:rsidRDefault="00AD67B4" w:rsidP="00FC7390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0.5*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13.5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</m:oMath>
            </m:oMathPara>
          </w:p>
        </w:tc>
      </w:tr>
    </w:tbl>
    <w:p w14:paraId="19EE2398" w14:textId="1F821AE8" w:rsidR="00642FDD" w:rsidRDefault="00642FDD" w:rsidP="004E0331"/>
    <w:p w14:paraId="5D4F0661" w14:textId="54017DFC" w:rsidR="00FC7390" w:rsidRDefault="00616C28" w:rsidP="004E0331">
      <w:r>
        <w:t>The fits to the effective cross section</w:t>
      </w:r>
      <w:r w:rsidR="00664300">
        <w:t xml:space="preserve"> are also given by a series of steps. The </w:t>
      </w:r>
      <w:r w:rsidR="00220FEA">
        <w:t xml:space="preserve">dissociation and ionization </w:t>
      </w:r>
      <w:r w:rsidR="00664300">
        <w:t>cross sections</w:t>
      </w:r>
      <w:r w:rsidR="00220FEA">
        <w:t>,</w:t>
      </w:r>
      <w:r w:rsidR="00664300">
        <w:t xml:space="preserve"> which extend to higher energies</w:t>
      </w:r>
      <w:r w:rsidR="00220FEA">
        <w:t>,</w:t>
      </w:r>
      <w:r w:rsidR="00664300">
        <w:t xml:space="preserve"> have been</w:t>
      </w:r>
      <w:r w:rsidR="00FC79D6">
        <w:t xml:space="preserve"> fit more closely at lower energies (tens of eV)</w:t>
      </w:r>
      <w:r w:rsidR="00220FEA">
        <w:t>.</w:t>
      </w:r>
      <w:r w:rsidR="00FC79D6">
        <w:t xml:space="preserve"> </w:t>
      </w:r>
      <w:r w:rsidR="00220FEA">
        <w:t>I</w:t>
      </w:r>
      <w:r w:rsidR="00FC79D6">
        <w:t>n previous runs of the iPIC model there have been few electrons observed at high energies (&gt;200eV)</w:t>
      </w:r>
      <w:r w:rsidR="00220FEA">
        <w:t xml:space="preserve"> so </w:t>
      </w:r>
      <w:r w:rsidR="00BE6169">
        <w:t>divergence at high e</w:t>
      </w:r>
      <w:r w:rsidR="00372DA5">
        <w:t xml:space="preserve">nergies shouldn’t affect the cooling significantly.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B3789" w:rsidRPr="00642FDD" w14:paraId="19F3C0F9" w14:textId="77777777" w:rsidTr="00B0796B">
        <w:tc>
          <w:tcPr>
            <w:tcW w:w="3005" w:type="dxa"/>
          </w:tcPr>
          <w:p w14:paraId="272491D9" w14:textId="77777777" w:rsidR="005B3789" w:rsidRPr="00FC7390" w:rsidRDefault="005B3789" w:rsidP="00B0796B">
            <w:pPr>
              <w:pStyle w:val="Heading3"/>
            </w:pPr>
            <w:r w:rsidRPr="00FC7390">
              <w:lastRenderedPageBreak/>
              <w:t>Process</w:t>
            </w:r>
          </w:p>
        </w:tc>
        <w:tc>
          <w:tcPr>
            <w:tcW w:w="3005" w:type="dxa"/>
            <w:vAlign w:val="center"/>
          </w:tcPr>
          <w:p w14:paraId="40FBF199" w14:textId="77777777" w:rsidR="005B3789" w:rsidRDefault="005B3789" w:rsidP="00B0796B">
            <w:pPr>
              <w:pStyle w:val="Heading3"/>
              <w:jc w:val="center"/>
            </w:pPr>
            <w:r>
              <w:t>Energy Range [eV]</w:t>
            </w:r>
          </w:p>
        </w:tc>
        <w:tc>
          <w:tcPr>
            <w:tcW w:w="3006" w:type="dxa"/>
            <w:vAlign w:val="center"/>
          </w:tcPr>
          <w:p w14:paraId="1C70442A" w14:textId="6F8D2A3B" w:rsidR="005B3789" w:rsidRPr="005B3789" w:rsidRDefault="005B3789" w:rsidP="005B3789">
            <w:pPr>
              <w:pStyle w:val="Heading3"/>
            </w:pPr>
            <m:oMathPara>
              <m:oMath>
                <m:r>
                  <w:rPr>
                    <w:rFonts w:ascii="Cambria Math" w:eastAsiaTheme="minorEastAsia" w:hAnsi="Cambria Math" w:cstheme="minorBidi"/>
                  </w:rPr>
                  <m:t>σ</m:t>
                </m:r>
                <m:r>
                  <w:rPr>
                    <w:rFonts w:ascii="Cambria Math" w:eastAsiaTheme="minorEastAsia" w:hAnsi="Cambria Math" w:cstheme="minorBidi"/>
                  </w:rPr>
                  <m:t>eff</m:t>
                </m:r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Bidi"/>
                      </w:rPr>
                      <m:t>E</m:t>
                    </m:r>
                  </m:e>
                </m:d>
                <m:r>
                  <w:rPr>
                    <w:rFonts w:ascii="Cambria Math" w:eastAsiaTheme="minorEastAsia" w:hAnsi="Cambria Math" w:cstheme="minorBidi"/>
                  </w:rPr>
                  <m:t xml:space="preserve"> [cm^2]</m:t>
                </m:r>
              </m:oMath>
            </m:oMathPara>
          </w:p>
        </w:tc>
      </w:tr>
      <w:tr w:rsidR="00DD3CB0" w14:paraId="1E12B672" w14:textId="77777777" w:rsidTr="00B0796B">
        <w:tc>
          <w:tcPr>
            <w:tcW w:w="3005" w:type="dxa"/>
            <w:vMerge w:val="restart"/>
            <w:vAlign w:val="center"/>
          </w:tcPr>
          <w:p w14:paraId="373ECF66" w14:textId="77777777" w:rsidR="00DD3CB0" w:rsidRPr="00EE1014" w:rsidRDefault="00DD3CB0" w:rsidP="00B0796B">
            <w:pPr>
              <w:rPr>
                <w:b/>
                <w:bCs/>
              </w:rPr>
            </w:pPr>
            <w:r w:rsidRPr="00EE1014">
              <w:rPr>
                <w:b/>
                <w:bCs/>
              </w:rPr>
              <w:t>Rotational</w:t>
            </w:r>
          </w:p>
        </w:tc>
        <w:tc>
          <w:tcPr>
            <w:tcW w:w="3005" w:type="dxa"/>
            <w:vAlign w:val="center"/>
          </w:tcPr>
          <w:p w14:paraId="7FA745B5" w14:textId="73F31DCD" w:rsidR="00DD3CB0" w:rsidRDefault="00DD3CB0" w:rsidP="00B0796B">
            <w:pPr>
              <w:jc w:val="center"/>
            </w:pPr>
            <w:r>
              <w:t>0.004 - 0.03</w:t>
            </w:r>
          </w:p>
        </w:tc>
        <w:tc>
          <w:tcPr>
            <w:tcW w:w="3006" w:type="dxa"/>
            <w:vAlign w:val="center"/>
          </w:tcPr>
          <w:p w14:paraId="4F2A1FCC" w14:textId="58153394" w:rsidR="00DD3CB0" w:rsidRDefault="00DD3CB0" w:rsidP="00B0796B">
            <w:pPr>
              <w:jc w:val="center"/>
            </w:pPr>
            <w:r>
              <w:t>1.8e-13</w:t>
            </w:r>
          </w:p>
        </w:tc>
      </w:tr>
      <w:tr w:rsidR="00DD3CB0" w14:paraId="1F8F54C5" w14:textId="77777777" w:rsidTr="00B0796B">
        <w:tc>
          <w:tcPr>
            <w:tcW w:w="3005" w:type="dxa"/>
            <w:vMerge/>
            <w:vAlign w:val="center"/>
          </w:tcPr>
          <w:p w14:paraId="15514F12" w14:textId="77777777" w:rsidR="00DD3CB0" w:rsidRPr="00EE1014" w:rsidRDefault="00DD3CB0" w:rsidP="00B0796B">
            <w:pPr>
              <w:rPr>
                <w:b/>
                <w:bCs/>
              </w:rPr>
            </w:pPr>
          </w:p>
        </w:tc>
        <w:tc>
          <w:tcPr>
            <w:tcW w:w="3005" w:type="dxa"/>
            <w:vAlign w:val="center"/>
          </w:tcPr>
          <w:p w14:paraId="6B5322D4" w14:textId="0293A079" w:rsidR="00DD3CB0" w:rsidRDefault="00DD3CB0" w:rsidP="00B0796B">
            <w:pPr>
              <w:jc w:val="center"/>
            </w:pPr>
            <w:r>
              <w:t>0.03</w:t>
            </w:r>
            <w:r w:rsidR="00AA30D0">
              <w:t xml:space="preserve"> -12</w:t>
            </w:r>
            <w:r w:rsidR="002448FE">
              <w:t xml:space="preserve"> (could cut off at ~4eV)</w:t>
            </w:r>
          </w:p>
        </w:tc>
        <w:tc>
          <w:tcPr>
            <w:tcW w:w="3006" w:type="dxa"/>
            <w:vAlign w:val="center"/>
          </w:tcPr>
          <w:p w14:paraId="13E28B68" w14:textId="77777777" w:rsidR="00DD3CB0" w:rsidRPr="000E1CFC" w:rsidRDefault="00DD3CB0" w:rsidP="007371FF">
            <w:p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p>
            </m:oMath>
            <w:r>
              <w:rPr>
                <w:rFonts w:eastAsiaTheme="minorEastAsia"/>
              </w:rPr>
              <w:t xml:space="preserve"> with </w:t>
            </w:r>
            <m:oMath>
              <m:r>
                <w:rPr>
                  <w:rFonts w:ascii="Cambria Math" w:eastAsiaTheme="minorEastAsia" w:hAnsi="Cambria Math"/>
                </w:rPr>
                <m:t>A=1.035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-14</m:t>
                  </m:r>
                </m:sup>
              </m:sSup>
            </m:oMath>
          </w:p>
          <w:p w14:paraId="6F6C0F2E" w14:textId="051AB03C" w:rsidR="00DD3CB0" w:rsidRPr="000E1CFC" w:rsidRDefault="00DD3CB0" w:rsidP="000E1CF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And </w:t>
            </w:r>
            <m:oMath>
              <m:r>
                <w:rPr>
                  <w:rFonts w:ascii="Cambria Math" w:eastAsiaTheme="minorEastAsia" w:hAnsi="Cambria Math"/>
                </w:rPr>
                <m:t>B =-0.8651</m:t>
              </m:r>
            </m:oMath>
          </w:p>
        </w:tc>
      </w:tr>
      <w:tr w:rsidR="005B3789" w14:paraId="68AD08FB" w14:textId="77777777" w:rsidTr="00B0796B">
        <w:tc>
          <w:tcPr>
            <w:tcW w:w="3005" w:type="dxa"/>
            <w:vAlign w:val="center"/>
          </w:tcPr>
          <w:p w14:paraId="4EEDE504" w14:textId="77777777" w:rsidR="005B3789" w:rsidRPr="00EE1014" w:rsidRDefault="005B3789" w:rsidP="00B0796B">
            <w:pPr>
              <w:rPr>
                <w:b/>
                <w:bCs/>
              </w:rPr>
            </w:pPr>
            <w:r>
              <w:rPr>
                <w:b/>
                <w:bCs/>
              </w:rPr>
              <w:t>Vibrational</w:t>
            </w:r>
          </w:p>
        </w:tc>
        <w:tc>
          <w:tcPr>
            <w:tcW w:w="3005" w:type="dxa"/>
            <w:vAlign w:val="center"/>
          </w:tcPr>
          <w:p w14:paraId="1777ADBC" w14:textId="3A4A49D1" w:rsidR="005B3789" w:rsidRDefault="00B824DF" w:rsidP="00B0796B">
            <w:pPr>
              <w:jc w:val="center"/>
            </w:pPr>
            <w:r>
              <w:t>0.22 – 12</w:t>
            </w:r>
          </w:p>
        </w:tc>
        <w:tc>
          <w:tcPr>
            <w:tcW w:w="3006" w:type="dxa"/>
            <w:vAlign w:val="center"/>
          </w:tcPr>
          <w:p w14:paraId="6550D29F" w14:textId="57EC9CC4" w:rsidR="00B824DF" w:rsidRPr="00B824DF" w:rsidRDefault="00B824DF" w:rsidP="00B824DF">
            <w:pPr>
              <w:jc w:val="center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</w:tr>
      <w:tr w:rsidR="00DD3CB0" w14:paraId="0276AD60" w14:textId="77777777" w:rsidTr="00B0796B">
        <w:trPr>
          <w:trHeight w:val="50"/>
        </w:trPr>
        <w:tc>
          <w:tcPr>
            <w:tcW w:w="3005" w:type="dxa"/>
            <w:vMerge w:val="restart"/>
            <w:vAlign w:val="center"/>
          </w:tcPr>
          <w:p w14:paraId="4CAAE8DE" w14:textId="77777777" w:rsidR="00DD3CB0" w:rsidRDefault="00DD3CB0" w:rsidP="00D5754E">
            <w:pPr>
              <w:rPr>
                <w:b/>
                <w:bCs/>
              </w:rPr>
            </w:pPr>
            <w:r>
              <w:rPr>
                <w:b/>
                <w:bCs/>
              </w:rPr>
              <w:t>Elec/Diss</w:t>
            </w:r>
          </w:p>
        </w:tc>
        <w:tc>
          <w:tcPr>
            <w:tcW w:w="3005" w:type="dxa"/>
            <w:vAlign w:val="center"/>
          </w:tcPr>
          <w:p w14:paraId="53B47A1E" w14:textId="0E72DD53" w:rsidR="00DD3CB0" w:rsidRDefault="00DD3CB0" w:rsidP="00D5754E">
            <w:pPr>
              <w:jc w:val="center"/>
            </w:pPr>
            <w:r>
              <w:t>12-25</w:t>
            </w:r>
          </w:p>
        </w:tc>
        <w:tc>
          <w:tcPr>
            <w:tcW w:w="3006" w:type="dxa"/>
            <w:vAlign w:val="center"/>
          </w:tcPr>
          <w:p w14:paraId="4DBDB933" w14:textId="12818381" w:rsidR="00DD3CB0" w:rsidRPr="00D5754E" w:rsidRDefault="00DD3CB0" w:rsidP="00D5754E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1.5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</w:tr>
      <w:tr w:rsidR="00DD3CB0" w14:paraId="54EC2BA3" w14:textId="77777777" w:rsidTr="00B0796B">
        <w:trPr>
          <w:trHeight w:val="50"/>
        </w:trPr>
        <w:tc>
          <w:tcPr>
            <w:tcW w:w="3005" w:type="dxa"/>
            <w:vMerge/>
            <w:vAlign w:val="center"/>
          </w:tcPr>
          <w:p w14:paraId="7100C006" w14:textId="77777777" w:rsidR="00DD3CB0" w:rsidRDefault="00DD3CB0" w:rsidP="00D5754E">
            <w:pPr>
              <w:rPr>
                <w:b/>
                <w:bCs/>
              </w:rPr>
            </w:pPr>
          </w:p>
        </w:tc>
        <w:tc>
          <w:tcPr>
            <w:tcW w:w="3005" w:type="dxa"/>
            <w:vAlign w:val="center"/>
          </w:tcPr>
          <w:p w14:paraId="44D39094" w14:textId="0EEECA05" w:rsidR="00DD3CB0" w:rsidRDefault="00DD3CB0" w:rsidP="00D5754E">
            <w:pPr>
              <w:jc w:val="center"/>
            </w:pPr>
            <w:r>
              <w:t>&gt;25</w:t>
            </w:r>
            <w:r w:rsidR="002448FE">
              <w:t xml:space="preserve"> (could stop </w:t>
            </w:r>
            <w:r w:rsidR="00A351AD">
              <w:t>at ~100eV)</w:t>
            </w:r>
          </w:p>
        </w:tc>
        <w:tc>
          <w:tcPr>
            <w:tcW w:w="3006" w:type="dxa"/>
            <w:vAlign w:val="center"/>
          </w:tcPr>
          <w:p w14:paraId="035E54E9" w14:textId="054D11E8" w:rsidR="00DD3CB0" w:rsidRDefault="00DD3CB0" w:rsidP="00D5754E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</m:t>
                </m:r>
                <m:r>
                  <w:rPr>
                    <w:rFonts w:ascii="Cambria Math" w:eastAsiaTheme="minorEastAsia" w:hAnsi="Cambria Math"/>
                  </w:rPr>
                  <m:t>.5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</w:tr>
      <w:tr w:rsidR="00DD3CB0" w:rsidRPr="00AD67B4" w14:paraId="4156BB38" w14:textId="77777777" w:rsidTr="00B0796B">
        <w:tc>
          <w:tcPr>
            <w:tcW w:w="3005" w:type="dxa"/>
            <w:vMerge w:val="restart"/>
            <w:vAlign w:val="center"/>
          </w:tcPr>
          <w:p w14:paraId="1DE5F92B" w14:textId="77777777" w:rsidR="00DD3CB0" w:rsidRDefault="00DD3CB0" w:rsidP="008077FC">
            <w:pPr>
              <w:rPr>
                <w:b/>
                <w:bCs/>
              </w:rPr>
            </w:pPr>
            <w:r>
              <w:rPr>
                <w:b/>
                <w:bCs/>
              </w:rPr>
              <w:t>Ionization</w:t>
            </w:r>
          </w:p>
        </w:tc>
        <w:tc>
          <w:tcPr>
            <w:tcW w:w="3005" w:type="dxa"/>
            <w:vAlign w:val="center"/>
          </w:tcPr>
          <w:p w14:paraId="1A94B06E" w14:textId="242A580D" w:rsidR="00DD3CB0" w:rsidRDefault="00DD3CB0" w:rsidP="008077FC">
            <w:pPr>
              <w:jc w:val="center"/>
            </w:pPr>
            <w:r>
              <w:t>20 – 35</w:t>
            </w:r>
          </w:p>
        </w:tc>
        <w:tc>
          <w:tcPr>
            <w:tcW w:w="3006" w:type="dxa"/>
            <w:vAlign w:val="center"/>
          </w:tcPr>
          <w:p w14:paraId="55413337" w14:textId="31F0769D" w:rsidR="00DD3CB0" w:rsidRPr="00AD67B4" w:rsidRDefault="00DD3CB0" w:rsidP="008077FC">
            <w:pPr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  <w:tr w:rsidR="00DD3CB0" w:rsidRPr="00AD67B4" w14:paraId="49FDA485" w14:textId="77777777" w:rsidTr="00B0796B">
        <w:tc>
          <w:tcPr>
            <w:tcW w:w="3005" w:type="dxa"/>
            <w:vMerge/>
            <w:vAlign w:val="center"/>
          </w:tcPr>
          <w:p w14:paraId="658EE703" w14:textId="77777777" w:rsidR="00DD3CB0" w:rsidRDefault="00DD3CB0" w:rsidP="008077FC">
            <w:pPr>
              <w:rPr>
                <w:b/>
                <w:bCs/>
              </w:rPr>
            </w:pPr>
          </w:p>
        </w:tc>
        <w:tc>
          <w:tcPr>
            <w:tcW w:w="3005" w:type="dxa"/>
            <w:vAlign w:val="center"/>
          </w:tcPr>
          <w:p w14:paraId="36414F62" w14:textId="4310B4E5" w:rsidR="00DD3CB0" w:rsidRDefault="00DD3CB0" w:rsidP="008077FC">
            <w:pPr>
              <w:jc w:val="center"/>
            </w:pPr>
            <w:r>
              <w:t>&gt;</w:t>
            </w:r>
            <w:r>
              <w:t>3</w:t>
            </w:r>
            <w:r>
              <w:t>5</w:t>
            </w:r>
          </w:p>
        </w:tc>
        <w:tc>
          <w:tcPr>
            <w:tcW w:w="3006" w:type="dxa"/>
            <w:vAlign w:val="center"/>
          </w:tcPr>
          <w:p w14:paraId="028F2EA8" w14:textId="51E494CC" w:rsidR="00DD3CB0" w:rsidRDefault="00DD3CB0" w:rsidP="008077F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1.6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</w:tr>
    </w:tbl>
    <w:p w14:paraId="584B14FF" w14:textId="2D608483" w:rsidR="00372DA5" w:rsidRDefault="00372DA5" w:rsidP="004E0331"/>
    <w:p w14:paraId="1AA6F484" w14:textId="77777777" w:rsidR="00AA3944" w:rsidRDefault="00B81909" w:rsidP="004E0331">
      <w:r>
        <w:t xml:space="preserve">These </w:t>
      </w:r>
      <w:r w:rsidR="00985605">
        <w:t>give the fits to the effective cross section seen in Fig. 3.</w:t>
      </w:r>
    </w:p>
    <w:p w14:paraId="5D0D4FB1" w14:textId="6C521620" w:rsidR="00600EB6" w:rsidRDefault="00AA3944" w:rsidP="004E0331">
      <w:r>
        <w:t>Th</w:t>
      </w:r>
      <w:r w:rsidR="008525CF">
        <w:t>e fits to the loss rate for each group of processes are shown b</w:t>
      </w:r>
      <w:r w:rsidR="00B03ED9">
        <w:t xml:space="preserve">elow. The energy loss through the vibrational mode is slightly overestimated </w:t>
      </w:r>
      <w:r w:rsidR="002F5E35">
        <w:t>in t</w:t>
      </w:r>
      <w:r w:rsidR="00600EB6">
        <w:t>he range 1-4eV.</w:t>
      </w:r>
    </w:p>
    <w:p w14:paraId="2427BF44" w14:textId="254187AA" w:rsidR="00E9221A" w:rsidRPr="00E9221A" w:rsidRDefault="00E9221A" w:rsidP="004E0331">
      <w:r>
        <w:t>The overestimation of the dissociation loss rate is unimportant at high energies &gt; 100 eV as this is dwarfed by the energy loss through ionization.</w:t>
      </w:r>
    </w:p>
    <w:p w14:paraId="02292F75" w14:textId="11DC4F34" w:rsidR="00D21C68" w:rsidRPr="00642FDD" w:rsidRDefault="00AA3944" w:rsidP="004E0331">
      <w:r>
        <w:rPr>
          <w:noProof/>
        </w:rPr>
        <w:drawing>
          <wp:inline distT="0" distB="0" distL="0" distR="0" wp14:anchorId="69B3CDD7" wp14:editId="66EFD14F">
            <wp:extent cx="5721350" cy="3549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1C68" w:rsidRPr="00642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98797A"/>
    <w:multiLevelType w:val="hybridMultilevel"/>
    <w:tmpl w:val="16947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2DA"/>
    <w:rsid w:val="00000FFF"/>
    <w:rsid w:val="00011ADD"/>
    <w:rsid w:val="000777E0"/>
    <w:rsid w:val="000E1CFC"/>
    <w:rsid w:val="001210AF"/>
    <w:rsid w:val="00130296"/>
    <w:rsid w:val="00135B50"/>
    <w:rsid w:val="00220FEA"/>
    <w:rsid w:val="002448FE"/>
    <w:rsid w:val="00276C00"/>
    <w:rsid w:val="0029082C"/>
    <w:rsid w:val="002948C8"/>
    <w:rsid w:val="002E2E2F"/>
    <w:rsid w:val="002F4C7A"/>
    <w:rsid w:val="002F5E35"/>
    <w:rsid w:val="0035159F"/>
    <w:rsid w:val="00372DA5"/>
    <w:rsid w:val="00372EA9"/>
    <w:rsid w:val="00376C1F"/>
    <w:rsid w:val="003E2193"/>
    <w:rsid w:val="0040778B"/>
    <w:rsid w:val="00430EFA"/>
    <w:rsid w:val="00474084"/>
    <w:rsid w:val="004E0331"/>
    <w:rsid w:val="00504969"/>
    <w:rsid w:val="005172DA"/>
    <w:rsid w:val="00564B5D"/>
    <w:rsid w:val="00591AD7"/>
    <w:rsid w:val="005A120A"/>
    <w:rsid w:val="005B3789"/>
    <w:rsid w:val="005E7E8E"/>
    <w:rsid w:val="00600EB6"/>
    <w:rsid w:val="00616C28"/>
    <w:rsid w:val="00642FDD"/>
    <w:rsid w:val="00664300"/>
    <w:rsid w:val="006A4AFC"/>
    <w:rsid w:val="006E22B8"/>
    <w:rsid w:val="00707848"/>
    <w:rsid w:val="00720948"/>
    <w:rsid w:val="00726BC1"/>
    <w:rsid w:val="007371FF"/>
    <w:rsid w:val="00744D44"/>
    <w:rsid w:val="00760225"/>
    <w:rsid w:val="00763088"/>
    <w:rsid w:val="0079341B"/>
    <w:rsid w:val="007C3315"/>
    <w:rsid w:val="007D4594"/>
    <w:rsid w:val="008077FC"/>
    <w:rsid w:val="008525CF"/>
    <w:rsid w:val="00871938"/>
    <w:rsid w:val="009638B7"/>
    <w:rsid w:val="00966A12"/>
    <w:rsid w:val="00981569"/>
    <w:rsid w:val="00985605"/>
    <w:rsid w:val="009B1FB9"/>
    <w:rsid w:val="009D0EC2"/>
    <w:rsid w:val="00A2756A"/>
    <w:rsid w:val="00A351AD"/>
    <w:rsid w:val="00AA30D0"/>
    <w:rsid w:val="00AA3944"/>
    <w:rsid w:val="00AB7599"/>
    <w:rsid w:val="00AD67B4"/>
    <w:rsid w:val="00B03ED9"/>
    <w:rsid w:val="00B81909"/>
    <w:rsid w:val="00B824DF"/>
    <w:rsid w:val="00B93C21"/>
    <w:rsid w:val="00BA7480"/>
    <w:rsid w:val="00BE6169"/>
    <w:rsid w:val="00C23F02"/>
    <w:rsid w:val="00C65024"/>
    <w:rsid w:val="00C85C55"/>
    <w:rsid w:val="00C908E4"/>
    <w:rsid w:val="00CD471B"/>
    <w:rsid w:val="00D21C68"/>
    <w:rsid w:val="00D5754E"/>
    <w:rsid w:val="00DD3CB0"/>
    <w:rsid w:val="00E57039"/>
    <w:rsid w:val="00E9221A"/>
    <w:rsid w:val="00EB184A"/>
    <w:rsid w:val="00EE1014"/>
    <w:rsid w:val="00F203B7"/>
    <w:rsid w:val="00F3417C"/>
    <w:rsid w:val="00F45539"/>
    <w:rsid w:val="00F56DFD"/>
    <w:rsid w:val="00FC2090"/>
    <w:rsid w:val="00FC7390"/>
    <w:rsid w:val="00FC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D3D4C"/>
  <w15:chartTrackingRefBased/>
  <w15:docId w15:val="{86FA2022-D32F-4CDE-BD23-2741A0F5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2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2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3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72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172DA"/>
    <w:pPr>
      <w:ind w:left="720"/>
      <w:contextualSpacing/>
    </w:pPr>
  </w:style>
  <w:style w:type="table" w:styleId="TableGrid">
    <w:name w:val="Table Grid"/>
    <w:basedOn w:val="TableNormal"/>
    <w:uiPriority w:val="39"/>
    <w:rsid w:val="00591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00F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57039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FC73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4CB70EB3791418C56FE61A649D749" ma:contentTypeVersion="12" ma:contentTypeDescription="Create a new document." ma:contentTypeScope="" ma:versionID="c4fe963aa196fbfe0ac982220c59f405">
  <xsd:schema xmlns:xsd="http://www.w3.org/2001/XMLSchema" xmlns:xs="http://www.w3.org/2001/XMLSchema" xmlns:p="http://schemas.microsoft.com/office/2006/metadata/properties" xmlns:ns3="6c946bee-ffc1-414b-8b43-dfbf4ca65b7f" xmlns:ns4="43248516-064f-4158-a91e-85aa3b67854c" targetNamespace="http://schemas.microsoft.com/office/2006/metadata/properties" ma:root="true" ma:fieldsID="e79b2ca0ffba44420de656d3c1aaa43a" ns3:_="" ns4:_="">
    <xsd:import namespace="6c946bee-ffc1-414b-8b43-dfbf4ca65b7f"/>
    <xsd:import namespace="43248516-064f-4158-a91e-85aa3b6785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946bee-ffc1-414b-8b43-dfbf4ca65b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248516-064f-4158-a91e-85aa3b67854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CD1178-DFF5-4B6C-AE7B-22BE630A26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946bee-ffc1-414b-8b43-dfbf4ca65b7f"/>
    <ds:schemaRef ds:uri="43248516-064f-4158-a91e-85aa3b678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78AF6C-3B64-4EE0-956C-A35C1D0698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A2E32A-3071-4BEE-9EA4-9A2B9ECD50C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Stephenson</dc:creator>
  <cp:keywords/>
  <dc:description/>
  <cp:lastModifiedBy>Pete Stephenson</cp:lastModifiedBy>
  <cp:revision>85</cp:revision>
  <dcterms:created xsi:type="dcterms:W3CDTF">2020-05-14T13:45:00Z</dcterms:created>
  <dcterms:modified xsi:type="dcterms:W3CDTF">2020-05-14T15:34:00Z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0x010100B014CB70EB3791418C56FE61A649D749</vt:lpwstr>
  </property>
</Properties>
</file>