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="240" w:lineRule="auto"/>
        <w:ind w:left="-630.0000000000001" w:right="-623.3333333333348" w:firstLine="0"/>
        <w:rPr>
          <w:sz w:val="8"/>
          <w:szCs w:val="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333333"/>
          <w:sz w:val="24"/>
          <w:szCs w:val="24"/>
          <w:shd w:fill="fafafa" w:val="clear"/>
          <w:rtl w:val="0"/>
        </w:rPr>
        <w:t xml:space="preserve">Staff Product Designer · Founder. Led design for $3.8B platform at Deere (500K users). Built design org 1→10 at FourKites through $3M→$100M ARR ($1B+ valuation). Now founder of Thios (thios.co) — open-hardware modular structures with a CAD-driven configurator and a 5-surface design system.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ind w:left="-630" w:right="-720" w:firstLine="0"/>
        <w:jc w:val="both"/>
        <w:rPr>
          <w:color w:val="999999"/>
        </w:rPr>
      </w:pPr>
      <w:r w:rsidDel="00000000" w:rsidR="00000000" w:rsidRPr="00000000">
        <w:rPr>
          <w:color w:val="999999"/>
          <w:rtl w:val="0"/>
        </w:rPr>
        <w:t xml:space="preserve">PROFESSIONAL EXPERIENCE</w:t>
      </w:r>
    </w:p>
    <w:p w:rsidR="00000000" w:rsidDel="00000000" w:rsidP="00000000" w:rsidRDefault="00000000" w:rsidRPr="00000000" w14:paraId="00000003">
      <w:pPr>
        <w:spacing w:after="240" w:before="240" w:line="240" w:lineRule="auto"/>
        <w:ind w:left="-630.0000000000001" w:right="0" w:firstLine="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THIOS (thios.co) | Founder &amp; Lead Designer </w:t>
      </w:r>
      <w:r w:rsidDel="00000000" w:rsidR="00000000" w:rsidRPr="00000000">
        <w:rPr>
          <w:rtl w:val="0"/>
        </w:rPr>
        <w:t xml:space="preserve">| Aug 2024 - Present</w:t>
        <w:br w:type="textWrapping"/>
      </w:r>
      <w:r w:rsidDel="00000000" w:rsidR="00000000" w:rsidRPr="00000000">
        <w:rPr>
          <w:rFonts w:ascii="Roboto" w:cs="Roboto" w:eastAsia="Roboto" w:hAnsi="Roboto"/>
          <w:color w:val="141413"/>
          <w:sz w:val="21"/>
          <w:szCs w:val="21"/>
          <w:highlight w:val="white"/>
          <w:rtl w:val="0"/>
        </w:rPr>
        <w:t xml:space="preserve">Open-source modular structures (saunas, greenhouses, offices) running on a 5-surface design system where I'm the only designer and agents are the team.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pacing w:after="0" w:afterAutospacing="0" w:before="240" w:line="240" w:lineRule="auto"/>
        <w:ind w:left="720" w:hanging="360"/>
        <w:rPr>
          <w:color w:val="434343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Shipped a complete product ecosystem solo in 18 months: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brand, 3 websites, 6 sphere variants with CAD models, physical prototype, first revenue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color w:val="434343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One parametric OnShape CAD file drives the bill of materials and the 3D configurator at thios.co/configurator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— customers see actual geometry, not marketing renders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240" w:before="0" w:beforeAutospacing="0" w:line="240" w:lineRule="auto"/>
        <w:ind w:left="720" w:hanging="360"/>
        <w:rPr>
          <w:color w:val="434343"/>
          <w:sz w:val="20"/>
          <w:szCs w:val="20"/>
          <w:u w:val="none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Open-hardware distribution under CERN-OHL-S v2: 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license + builder tools route demand to local makers; share-alike modifications loop back into the CAD — capital-light scale without factories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40" w:before="240" w:line="240" w:lineRule="auto"/>
        <w:ind w:left="-630.0000000000001" w:firstLine="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JOHN DEERE | Senior Lead UX; Digital Customer Experience</w:t>
      </w:r>
      <w:r w:rsidDel="00000000" w:rsidR="00000000" w:rsidRPr="00000000">
        <w:rPr>
          <w:rtl w:val="0"/>
        </w:rPr>
        <w:t xml:space="preserve"> | Aug 2020 - Jul 2024 </w:t>
        <w:br w:type="textWrapping"/>
        <w:t xml:space="preserve">Embedded with product teams to modernize 20-year-old systems and drive subscription revenue. Proving enterprise design can move fast when you have the right frameworks.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0" w:afterAutospacing="0" w:before="240" w:line="240" w:lineRule="auto"/>
        <w:ind w:left="72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Redesigned license management system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serving 500K+ users across 12 languages—increased authenticated engagement 34%, reduced support tickets 16%, enabled $3.8B in subscription revenue from Automation and AI services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Built unified account and navigation framework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deployed across 8 product lines (web, mobile, embedded)—consolidated fragmented experiences into single customer view, improved dealer support efficiency 28%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240" w:before="0" w:beforeAutospacing="0" w:line="240" w:lineRule="auto"/>
        <w:ind w:left="720" w:hanging="360"/>
        <w:rPr>
          <w:color w:val="434343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41413"/>
          <w:sz w:val="21"/>
          <w:szCs w:val="21"/>
          <w:highlight w:val="white"/>
          <w:rtl w:val="0"/>
        </w:rPr>
        <w:t xml:space="preserve">Core contributor</w:t>
      </w:r>
      <w:r w:rsidDel="00000000" w:rsidR="00000000" w:rsidRPr="00000000">
        <w:rPr>
          <w:rFonts w:ascii="Roboto" w:cs="Roboto" w:eastAsia="Roboto" w:hAnsi="Roboto"/>
          <w:color w:val="141413"/>
          <w:sz w:val="21"/>
          <w:szCs w:val="21"/>
          <w:highlight w:val="white"/>
          <w:rtl w:val="0"/>
        </w:rPr>
        <w:t xml:space="preserve"> to enterprise design system in Figma spanning 6 brands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and 40+ product teams globally—reduced design-to-development handoff time 45% through standardized components that actually shipped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40" w:before="240" w:line="240" w:lineRule="auto"/>
        <w:ind w:left="-630.0000000000001" w:right="-623.3333333333348" w:firstLine="0"/>
        <w:rPr/>
      </w:pPr>
      <w:r w:rsidDel="00000000" w:rsidR="00000000" w:rsidRPr="00000000">
        <w:rPr>
          <w:b w:val="1"/>
          <w:bCs w:val="1"/>
          <w:rtl w:val="0"/>
        </w:rPr>
        <w:br w:type="textWrapping"/>
        <w:t xml:space="preserve">FOURKITES | Lead UX / Manager</w:t>
      </w:r>
      <w:r w:rsidDel="00000000" w:rsidR="00000000" w:rsidRPr="00000000">
        <w:rPr>
          <w:rtl w:val="0"/>
        </w:rPr>
        <w:t xml:space="preserve"> | Jan 2017 - Jan 2020</w:t>
        <w:br w:type="textWrapping"/>
        <w:t xml:space="preserve">Employee #28 during hypergrowth, $3M to $100M ARR (</w:t>
      </w:r>
      <w:r w:rsidDel="00000000" w:rsidR="00000000" w:rsidRPr="00000000">
        <w:rPr>
          <w:color w:val="333333"/>
          <w:sz w:val="24"/>
          <w:szCs w:val="24"/>
          <w:shd w:fill="fafafa" w:val="clear"/>
          <w:rtl w:val="0"/>
        </w:rPr>
        <w:t xml:space="preserve">$1B+ valuation</w:t>
      </w:r>
      <w:r w:rsidDel="00000000" w:rsidR="00000000" w:rsidRPr="00000000">
        <w:rPr>
          <w:rtl w:val="0"/>
        </w:rPr>
        <w:t xml:space="preserve">). Built design function from scratch—founding designer to 10-person global team.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240" w:line="240" w:lineRule="auto"/>
        <w:ind w:left="720" w:hanging="360"/>
        <w:rPr>
          <w:color w:val="434343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34343"/>
          <w:sz w:val="20"/>
          <w:szCs w:val="20"/>
          <w:rtl w:val="0"/>
        </w:rPr>
        <w:t xml:space="preserve">Designed flagship products from 0→1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: Real-time supply chain control tower and related mobile apps processing 10M+ daily tracking events for 30+ Fortune 2000 companies (Anheuser-Busch, Georgia-Pacific, Tyson); products became primary driver of 3x customer expansion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Led bespoke predictive analytics dashboard products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identifying shipment delays 6-12 hours earlier than competitors; increased customer retention 41% and expanded average contract value $120K annually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240" w:before="0" w:beforeAutospacing="0" w:line="240" w:lineRule="auto"/>
        <w:ind w:left="720" w:hanging="360"/>
        <w:rPr>
          <w:color w:val="434343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Scaled design org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: Hired and managed team across Chicago and Chennai; established component library, design operations, and hiring framework—reduced design inconsistencies 65% while maintaining startup velocity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="240" w:lineRule="auto"/>
        <w:ind w:left="-540.0000000000001" w:right="-623.3333333333348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="240" w:lineRule="auto"/>
        <w:ind w:left="-540.0000000000001" w:right="-623.3333333333348" w:firstLine="0"/>
        <w:rPr/>
      </w:pP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b w:val="1"/>
          <w:bCs w:val="1"/>
          <w:rtl w:val="0"/>
        </w:rPr>
        <w:t xml:space="preserve">MAVENWAVE PARTNERS | Senior UX + Agile Lead (Consultant)</w:t>
      </w:r>
      <w:r w:rsidDel="00000000" w:rsidR="00000000" w:rsidRPr="00000000">
        <w:rPr>
          <w:rtl w:val="0"/>
        </w:rPr>
        <w:t xml:space="preserve"> | Jan 2014 - Jan 2017 </w:t>
        <w:br w:type="textWrapping"/>
        <w:t xml:space="preserve">Led digital product design for Fortune 500 healthcare and pharmaceutical clients. Fast iteration in slow-moving industries.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0" w:afterAutospacing="0" w:before="240" w:line="240" w:lineRule="auto"/>
        <w:ind w:left="72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Designed 6 internal portals for AbbVie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supporting 200K+ users across clinical trials and patient support programs—improved medication adherence tracking, reduced hospital readmissions 12%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Rebuilt OptumRx pharmacy formulary platform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processing 1.4B prescriptions annually—created company's first patient-facing product, reduced fulfillment errors 15% through improved drug interaction warnings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240" w:before="0" w:beforeAutospacing="0" w:line="240" w:lineRule="auto"/>
        <w:ind w:left="72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Established Lean UX and Agile practices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across client engagements while mentoring junior designers and leading cross-functional design sprints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-630" w:right="-720" w:firstLine="0"/>
        <w:jc w:val="both"/>
        <w:rPr>
          <w:color w:val="99999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-630" w:right="0" w:firstLine="0"/>
        <w:rPr>
          <w:color w:val="434343"/>
          <w:sz w:val="20"/>
          <w:szCs w:val="20"/>
        </w:rPr>
      </w:pPr>
      <w:r w:rsidDel="00000000" w:rsidR="00000000" w:rsidRPr="00000000">
        <w:rPr>
          <w:color w:val="999999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b w:val="1"/>
          <w:bCs w:val="1"/>
          <w:color w:val="434343"/>
        </w:rPr>
      </w:pPr>
      <w:r w:rsidDel="00000000" w:rsidR="00000000" w:rsidRPr="00000000">
        <w:rPr>
          <w:b w:val="1"/>
          <w:bCs w:val="1"/>
          <w:color w:val="434343"/>
          <w:rtl w:val="0"/>
        </w:rPr>
        <w:t xml:space="preserve">Design Leadership</w:t>
      </w:r>
    </w:p>
    <w:p w:rsidR="00000000" w:rsidDel="00000000" w:rsidP="00000000" w:rsidRDefault="00000000" w:rsidRPr="00000000" w14:paraId="00000017">
      <w:pPr>
        <w:ind w:left="360" w:firstLine="0"/>
        <w:rPr>
          <w:color w:val="999999"/>
        </w:rPr>
      </w:pPr>
      <w:r w:rsidDel="00000000" w:rsidR="00000000" w:rsidRPr="00000000">
        <w:rPr>
          <w:color w:val="434343"/>
          <w:sz w:val="20"/>
          <w:szCs w:val="20"/>
          <w:rtl w:val="0"/>
        </w:rPr>
        <w:t xml:space="preserve">Enterprise Design Systems • Cross-functional Team Building • Design Operations • Information Architecture • Data Visualization • Accessibility (WCAG 2.1)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-630" w:right="0" w:firstLine="0"/>
        <w:rPr>
          <w:color w:val="434343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bCs w:val="1"/>
          <w:color w:val="434343"/>
        </w:rPr>
      </w:pPr>
      <w:r w:rsidDel="00000000" w:rsidR="00000000" w:rsidRPr="00000000">
        <w:rPr>
          <w:b w:val="1"/>
          <w:bCs w:val="1"/>
          <w:color w:val="434343"/>
          <w:rtl w:val="0"/>
        </w:rPr>
        <w:t xml:space="preserve">Research &amp; Strategy</w:t>
      </w:r>
    </w:p>
    <w:p w:rsidR="00000000" w:rsidDel="00000000" w:rsidP="00000000" w:rsidRDefault="00000000" w:rsidRPr="00000000" w14:paraId="0000001A">
      <w:pPr>
        <w:ind w:left="360" w:firstLine="0"/>
        <w:rPr>
          <w:color w:val="999999"/>
        </w:rPr>
      </w:pPr>
      <w:r w:rsidDel="00000000" w:rsidR="00000000" w:rsidRPr="00000000">
        <w:rPr>
          <w:color w:val="434343"/>
          <w:sz w:val="20"/>
          <w:szCs w:val="20"/>
          <w:rtl w:val="0"/>
        </w:rPr>
        <w:t xml:space="preserve">User Research • Usability Testing • Journey Mapping • Design Sprints • Lean UX • Agile/Scrum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-630" w:right="0" w:firstLine="0"/>
        <w:rPr>
          <w:color w:val="434343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0" w:right="0" w:firstLine="0"/>
        <w:rPr>
          <w:b w:val="1"/>
          <w:bCs w:val="1"/>
          <w:color w:val="434343"/>
        </w:rPr>
      </w:pPr>
      <w:r w:rsidDel="00000000" w:rsidR="00000000" w:rsidRPr="00000000">
        <w:rPr>
          <w:b w:val="1"/>
          <w:bCs w:val="1"/>
          <w:color w:val="434343"/>
          <w:rtl w:val="0"/>
        </w:rPr>
        <w:t xml:space="preserve">Tools</w:t>
      </w:r>
    </w:p>
    <w:p w:rsidR="00000000" w:rsidDel="00000000" w:rsidP="00000000" w:rsidRDefault="00000000" w:rsidRPr="00000000" w14:paraId="0000001D">
      <w:pPr>
        <w:ind w:left="360" w:right="0" w:firstLine="0"/>
        <w:rPr>
          <w:color w:val="434343"/>
        </w:rPr>
      </w:pPr>
      <w:r w:rsidDel="00000000" w:rsidR="00000000" w:rsidRPr="00000000">
        <w:rPr>
          <w:color w:val="434343"/>
          <w:sz w:val="20"/>
          <w:szCs w:val="20"/>
          <w:rtl w:val="0"/>
        </w:rPr>
        <w:t xml:space="preserve">Figma • Adobe Creative Suite • CAD/3D (OnShape) • HTML/CSS • AI Tools (Claude, Cursor) • Prototyping • AI-Augmented Workflows • AI-Integrated Design • Blender 3D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-630" w:right="-720" w:firstLine="0"/>
        <w:jc w:val="both"/>
        <w:rPr>
          <w:color w:val="99999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-630" w:right="-720" w:firstLine="0"/>
        <w:jc w:val="both"/>
        <w:rPr>
          <w:color w:val="434343"/>
          <w:sz w:val="20"/>
          <w:szCs w:val="20"/>
        </w:rPr>
      </w:pPr>
      <w:r w:rsidDel="00000000" w:rsidR="00000000" w:rsidRPr="00000000">
        <w:rPr>
          <w:color w:val="999999"/>
          <w:rtl w:val="0"/>
        </w:rPr>
        <w:t xml:space="preserve">EDUCATION</w:t>
        <w:br w:type="textWrapping"/>
      </w: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Arizona State University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| 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Bachelor of Arts, Humanities and Architectural Theory</w:t>
      </w:r>
    </w:p>
    <w:p w:rsidR="00000000" w:rsidDel="00000000" w:rsidP="00000000" w:rsidRDefault="00000000" w:rsidRPr="00000000" w14:paraId="00000020">
      <w:pPr>
        <w:ind w:left="-630" w:right="-720" w:firstLine="0"/>
        <w:jc w:val="both"/>
        <w:rPr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-630" w:right="-720" w:firstLine="0"/>
        <w:jc w:val="both"/>
        <w:rPr>
          <w:color w:val="999999"/>
        </w:rPr>
      </w:pPr>
      <w:r w:rsidDel="00000000" w:rsidR="00000000" w:rsidRPr="00000000">
        <w:rPr>
          <w:color w:val="999999"/>
          <w:rtl w:val="0"/>
        </w:rPr>
        <w:t xml:space="preserve">COMMUNITY</w:t>
      </w:r>
    </w:p>
    <w:p w:rsidR="00000000" w:rsidDel="00000000" w:rsidP="00000000" w:rsidRDefault="00000000" w:rsidRPr="00000000" w14:paraId="00000022">
      <w:pPr>
        <w:ind w:left="-630" w:right="-720" w:firstLine="0"/>
        <w:jc w:val="both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Board Director | 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How Weird Street Faire 501(c)(3) SF street fair with successful 20 year run (2004 - 2024)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ind w:left="-630" w:right="-720" w:firstLine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pStyle w:val="Heading2"/>
      <w:spacing w:before="0" w:line="240" w:lineRule="auto"/>
      <w:ind w:left="-630" w:right="-720" w:firstLine="0"/>
      <w:rPr>
        <w:color w:val="434343"/>
      </w:rPr>
    </w:pPr>
    <w:bookmarkStart w:colFirst="0" w:colLast="0" w:name="_v1qdw49vp2i" w:id="0"/>
    <w:bookmarkEnd w:id="0"/>
    <w:r w:rsidDel="00000000" w:rsidR="00000000" w:rsidRPr="00000000">
      <w:rPr>
        <w:color w:val="434343"/>
        <w:rtl w:val="0"/>
      </w:rPr>
      <w:t xml:space="preserve">PETER BARTSCH</w:t>
    </w:r>
  </w:p>
  <w:p w:rsidR="00000000" w:rsidDel="00000000" w:rsidP="00000000" w:rsidRDefault="00000000" w:rsidRPr="00000000" w14:paraId="00000024">
    <w:pPr>
      <w:pStyle w:val="Heading2"/>
      <w:spacing w:before="0" w:line="240" w:lineRule="auto"/>
      <w:ind w:left="-630" w:right="-720" w:firstLine="0"/>
      <w:rPr>
        <w:color w:val="434343"/>
        <w:sz w:val="20"/>
        <w:szCs w:val="20"/>
      </w:rPr>
    </w:pPr>
    <w:bookmarkStart w:colFirst="0" w:colLast="0" w:name="_h1lx31740bhw" w:id="1"/>
    <w:bookmarkEnd w:id="1"/>
    <w:r w:rsidDel="00000000" w:rsidR="00000000" w:rsidRPr="00000000">
      <w:rPr>
        <w:color w:val="434343"/>
        <w:sz w:val="20"/>
        <w:szCs w:val="20"/>
        <w:rtl w:val="0"/>
      </w:rPr>
      <w:t xml:space="preserve">(847) 636-2708   |   </w:t>
    </w:r>
    <w:r w:rsidDel="00000000" w:rsidR="00000000" w:rsidRPr="00000000">
      <w:rPr>
        <w:color w:val="434343"/>
        <w:sz w:val="20"/>
        <w:szCs w:val="20"/>
        <w:rtl w:val="0"/>
      </w:rPr>
      <w:t xml:space="preserve">peter@peterbartsch.com  </w:t>
    </w:r>
    <w:r w:rsidDel="00000000" w:rsidR="00000000" w:rsidRPr="00000000">
      <w:rPr>
        <w:color w:val="434343"/>
        <w:sz w:val="20"/>
        <w:szCs w:val="20"/>
        <w:rtl w:val="0"/>
      </w:rPr>
      <w:t xml:space="preserve"> |   portfolio: </w:t>
    </w:r>
    <w:r w:rsidDel="00000000" w:rsidR="00000000" w:rsidRPr="00000000">
      <w:rPr>
        <w:color w:val="434343"/>
        <w:sz w:val="20"/>
        <w:szCs w:val="20"/>
        <w:rtl w:val="0"/>
      </w:rPr>
      <w:t xml:space="preserve">petebartsch.com</w:t>
    </w:r>
    <w:r w:rsidDel="00000000" w:rsidR="00000000" w:rsidRPr="00000000">
      <w:rPr>
        <w:color w:val="434343"/>
        <w:sz w:val="20"/>
        <w:szCs w:val="20"/>
        <w:rtl w:val="0"/>
      </w:rPr>
      <w:t xml:space="preserve">  |  http://linkedin.com/in/peterbartsch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