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A52B3" w14:textId="7928D984" w:rsidR="0010527C" w:rsidRDefault="009F0307" w:rsidP="0010527C">
      <w:pPr>
        <w:pStyle w:val="Heading3"/>
      </w:pPr>
      <w:r>
        <w:t xml:space="preserve">1NC – </w:t>
      </w:r>
      <w:r w:rsidR="0010527C">
        <w:t>Spec Sovereignty</w:t>
      </w:r>
    </w:p>
    <w:p w14:paraId="10C818A1" w14:textId="3B940D1B" w:rsidR="0010527C" w:rsidRDefault="0010527C" w:rsidP="0010527C">
      <w:pPr>
        <w:pStyle w:val="Heading4"/>
      </w:pPr>
      <w:r>
        <w:t xml:space="preserve">Interp – The aff must specify the sovereign rights of tribes against the plan in a delineated text in the 1AC. To clarify, you must specify the influence and decision-making powers of tribal authorities over implementation of the plan in tribal lands – they </w:t>
      </w:r>
      <w:proofErr w:type="gramStart"/>
      <w:r>
        <w:t>don’t</w:t>
      </w:r>
      <w:proofErr w:type="gramEnd"/>
      <w:r>
        <w:t>.</w:t>
      </w:r>
    </w:p>
    <w:p w14:paraId="39C78CBE" w14:textId="77777777" w:rsidR="0010527C" w:rsidRPr="0010527C" w:rsidRDefault="0010527C" w:rsidP="0010527C"/>
    <w:p w14:paraId="67659B79" w14:textId="77777777" w:rsidR="0010527C" w:rsidRPr="00F304A8" w:rsidRDefault="0010527C" w:rsidP="0010527C">
      <w:pPr>
        <w:pStyle w:val="Heading4"/>
      </w:pPr>
      <w:r>
        <w:t xml:space="preserve">Ambiguity is a tool for settlers to define the terms of engagement with tribes. The liberal intentions of the 1AC </w:t>
      </w:r>
      <w:proofErr w:type="gramStart"/>
      <w:r>
        <w:t>don’t</w:t>
      </w:r>
      <w:proofErr w:type="gramEnd"/>
      <w:r>
        <w:t xml:space="preserve"> matter—absent defined standards, the policies will reproduce colonial domination.</w:t>
      </w:r>
    </w:p>
    <w:p w14:paraId="400A59A2" w14:textId="58010769" w:rsidR="0010527C" w:rsidRPr="00F304A8" w:rsidRDefault="0010527C" w:rsidP="0010527C">
      <w:pPr>
        <w:rPr>
          <w:rStyle w:val="Style13ptBold"/>
          <w:b w:val="0"/>
          <w:bCs w:val="0"/>
          <w:sz w:val="22"/>
          <w:szCs w:val="18"/>
        </w:rPr>
      </w:pPr>
      <w:r w:rsidRPr="00F304A8">
        <w:rPr>
          <w:rStyle w:val="Style13ptBold"/>
        </w:rPr>
        <w:t>Steinman</w:t>
      </w:r>
      <w:r>
        <w:rPr>
          <w:rStyle w:val="Style13ptBold"/>
        </w:rPr>
        <w:t xml:space="preserve"> ’12</w:t>
      </w:r>
      <w:r>
        <w:rPr>
          <w:rStyle w:val="Style13ptBold"/>
          <w:b w:val="0"/>
          <w:bCs w:val="0"/>
          <w:sz w:val="22"/>
          <w:szCs w:val="18"/>
        </w:rPr>
        <w:t xml:space="preserve"> </w:t>
      </w:r>
      <w:r w:rsidRPr="00F304A8">
        <w:rPr>
          <w:rStyle w:val="Style13ptBold"/>
          <w:b w:val="0"/>
          <w:bCs w:val="0"/>
          <w:sz w:val="22"/>
          <w:szCs w:val="18"/>
        </w:rPr>
        <w:t>Steinman</w:t>
      </w:r>
      <w:r>
        <w:rPr>
          <w:rStyle w:val="Style13ptBold"/>
          <w:b w:val="0"/>
          <w:bCs w:val="0"/>
          <w:sz w:val="22"/>
          <w:szCs w:val="18"/>
        </w:rPr>
        <w:t>, Erich. “</w:t>
      </w:r>
      <w:r w:rsidRPr="00F304A8">
        <w:rPr>
          <w:rStyle w:val="Style13ptBold"/>
          <w:b w:val="0"/>
          <w:bCs w:val="0"/>
          <w:sz w:val="22"/>
          <w:szCs w:val="18"/>
        </w:rPr>
        <w:t>Settler Colonial Power and the American Indian Sovereignty Movement: Forms of Domination, Strategies of Transformation</w:t>
      </w:r>
      <w:r>
        <w:rPr>
          <w:rStyle w:val="Style13ptBold"/>
          <w:b w:val="0"/>
          <w:bCs w:val="0"/>
          <w:sz w:val="22"/>
          <w:szCs w:val="18"/>
        </w:rPr>
        <w:t xml:space="preserve">.” </w:t>
      </w:r>
      <w:r w:rsidRPr="00F304A8">
        <w:rPr>
          <w:rStyle w:val="Style13ptBold"/>
          <w:b w:val="0"/>
          <w:bCs w:val="0"/>
          <w:sz w:val="22"/>
          <w:szCs w:val="18"/>
        </w:rPr>
        <w:t>American Journal of Sociology Vol. 117, No. 4, January 2012,</w:t>
      </w:r>
      <w:r>
        <w:rPr>
          <w:rStyle w:val="Style13ptBold"/>
          <w:b w:val="0"/>
          <w:bCs w:val="0"/>
          <w:sz w:val="22"/>
          <w:szCs w:val="18"/>
        </w:rPr>
        <w:t xml:space="preserve"> </w:t>
      </w:r>
      <w:hyperlink r:id="rId6" w:history="1">
        <w:r w:rsidRPr="00487D45">
          <w:rPr>
            <w:rStyle w:val="Hyperlink"/>
            <w:szCs w:val="18"/>
          </w:rPr>
          <w:t>https://www.jstor.org/stable/10.1086/662708</w:t>
        </w:r>
      </w:hyperlink>
      <w:r>
        <w:rPr>
          <w:rStyle w:val="Style13ptBold"/>
          <w:b w:val="0"/>
          <w:bCs w:val="0"/>
          <w:sz w:val="22"/>
          <w:szCs w:val="18"/>
        </w:rPr>
        <w:t>. PeteZ</w:t>
      </w:r>
    </w:p>
    <w:p w14:paraId="681D6C2C" w14:textId="77777777" w:rsidR="0010527C" w:rsidRPr="00F304A8" w:rsidRDefault="0010527C" w:rsidP="0010527C">
      <w:pPr>
        <w:rPr>
          <w:sz w:val="16"/>
        </w:rPr>
      </w:pPr>
      <w:r w:rsidRPr="00F304A8">
        <w:rPr>
          <w:sz w:val="16"/>
        </w:rPr>
        <w:t xml:space="preserve">A traditional definition of "sovereignty" is: "The supreme, absolute, and uncontrollable power by which any independent state is governed."' 3 </w:t>
      </w:r>
      <w:r w:rsidRPr="00F304A8">
        <w:rPr>
          <w:rStyle w:val="Emphasis"/>
          <w:highlight w:val="cyan"/>
        </w:rPr>
        <w:t>Questions regarding the sovereign rights of tribes are</w:t>
      </w:r>
      <w:r w:rsidRPr="00F304A8">
        <w:rPr>
          <w:rStyle w:val="Emphasis"/>
        </w:rPr>
        <w:t xml:space="preserve"> often </w:t>
      </w:r>
      <w:r w:rsidRPr="00F304A8">
        <w:rPr>
          <w:rStyle w:val="Emphasis"/>
          <w:highlight w:val="cyan"/>
        </w:rPr>
        <w:t>the starting point of any federal Indian law issue</w:t>
      </w:r>
      <w:r w:rsidRPr="00F304A8">
        <w:rPr>
          <w:rStyle w:val="StyleUnderline"/>
        </w:rPr>
        <w:t>. Although the whole of federal Indian law is quite complex,</w:t>
      </w:r>
      <w:r w:rsidRPr="00F304A8">
        <w:rPr>
          <w:sz w:val="16"/>
        </w:rPr>
        <w:t xml:space="preserve">14 </w:t>
      </w:r>
      <w:r w:rsidRPr="00F304A8">
        <w:rPr>
          <w:rStyle w:val="StyleUnderline"/>
          <w:highlight w:val="cyan"/>
        </w:rPr>
        <w:t>the essence</w:t>
      </w:r>
      <w:r w:rsidRPr="00F304A8">
        <w:rPr>
          <w:rStyle w:val="StyleUnderline"/>
        </w:rPr>
        <w:t xml:space="preserve"> of tribal sovereignty </w:t>
      </w:r>
      <w:r w:rsidRPr="00F304A8">
        <w:rPr>
          <w:rStyle w:val="StyleUnderline"/>
          <w:highlight w:val="cyan"/>
        </w:rPr>
        <w:t>is</w:t>
      </w:r>
      <w:r w:rsidRPr="00F304A8">
        <w:rPr>
          <w:rStyle w:val="StyleUnderline"/>
        </w:rPr>
        <w:t xml:space="preserve"> simply </w:t>
      </w:r>
      <w:r w:rsidRPr="00F304A8">
        <w:rPr>
          <w:rStyle w:val="StyleUnderline"/>
          <w:highlight w:val="cyan"/>
        </w:rPr>
        <w:t>the extent to which a tribe can attend to its own affairs and control its</w:t>
      </w:r>
      <w:r w:rsidRPr="00F304A8">
        <w:rPr>
          <w:rStyle w:val="StyleUnderline"/>
        </w:rPr>
        <w:t xml:space="preserve"> own cultural, societal, and </w:t>
      </w:r>
      <w:r w:rsidRPr="00F304A8">
        <w:rPr>
          <w:rStyle w:val="StyleUnderline"/>
          <w:highlight w:val="cyan"/>
        </w:rPr>
        <w:t>economic development free from outside restraints. Under the current legal</w:t>
      </w:r>
      <w:r w:rsidRPr="00F304A8">
        <w:rPr>
          <w:rStyle w:val="StyleUnderline"/>
        </w:rPr>
        <w:t xml:space="preserve"> and political </w:t>
      </w:r>
      <w:r w:rsidRPr="00F304A8">
        <w:rPr>
          <w:rStyle w:val="StyleUnderline"/>
          <w:highlight w:val="cyan"/>
        </w:rPr>
        <w:t xml:space="preserve">regimes, </w:t>
      </w:r>
      <w:r w:rsidRPr="00F304A8">
        <w:rPr>
          <w:rStyle w:val="Emphasis"/>
          <w:highlight w:val="cyan"/>
        </w:rPr>
        <w:t>the extent of tribal control is ambiguous.</w:t>
      </w:r>
      <w:r w:rsidRPr="00F304A8">
        <w:rPr>
          <w:sz w:val="16"/>
        </w:rPr>
        <w:t xml:space="preserve"> The Handbook of Federal Indian Law lists three "fundamental principles" that demonstrate the anomalous and restricted nature of tribal sovereignty: (1) Indian tribes possess all the powers of a sovereign state; (2) conquest renders the tribes subject, however, to the legislative authority of the United States and terminates the tribes' external sovereign powers, but does not affect the internal sovereign powers of the tribes; and (3) these powers are subject to qualification by treaties and congressional legislation.' 5 Cohen's three principles demonstrate the dichotomy between internal and external sovereignty16 that pervades the concept of tribal sovereignty. </w:t>
      </w:r>
      <w:r w:rsidRPr="00F304A8">
        <w:rPr>
          <w:rStyle w:val="StyleUnderline"/>
        </w:rPr>
        <w:t xml:space="preserve">Tribes are supposedly full sovereigns with respect to their own internal affairs and interests. At the same time, however, </w:t>
      </w:r>
      <w:r w:rsidRPr="00F304A8">
        <w:rPr>
          <w:rStyle w:val="StyleUnderline"/>
          <w:highlight w:val="cyan"/>
        </w:rPr>
        <w:t>the U</w:t>
      </w:r>
      <w:r w:rsidRPr="00F304A8">
        <w:rPr>
          <w:rStyle w:val="StyleUnderline"/>
        </w:rPr>
        <w:t xml:space="preserve">nited </w:t>
      </w:r>
      <w:r w:rsidRPr="00F304A8">
        <w:rPr>
          <w:rStyle w:val="StyleUnderline"/>
          <w:highlight w:val="cyan"/>
        </w:rPr>
        <w:t>S</w:t>
      </w:r>
      <w:r w:rsidRPr="00F304A8">
        <w:rPr>
          <w:rStyle w:val="StyleUnderline"/>
        </w:rPr>
        <w:t xml:space="preserve">tates </w:t>
      </w:r>
      <w:r w:rsidRPr="00F304A8">
        <w:rPr>
          <w:rStyle w:val="StyleUnderline"/>
          <w:highlight w:val="cyan"/>
        </w:rPr>
        <w:t>government has</w:t>
      </w:r>
      <w:r w:rsidRPr="00F304A8">
        <w:rPr>
          <w:rStyle w:val="StyleUnderline"/>
        </w:rPr>
        <w:t xml:space="preserve"> completely </w:t>
      </w:r>
      <w:r w:rsidRPr="00F304A8">
        <w:rPr>
          <w:rStyle w:val="StyleUnderline"/>
          <w:highlight w:val="cyan"/>
        </w:rPr>
        <w:t>extinguished thei</w:t>
      </w:r>
      <w:r w:rsidRPr="00F304A8">
        <w:rPr>
          <w:rStyle w:val="StyleUnderline"/>
        </w:rPr>
        <w:t xml:space="preserve">r external </w:t>
      </w:r>
      <w:r w:rsidRPr="00F304A8">
        <w:rPr>
          <w:rStyle w:val="StyleUnderline"/>
          <w:highlight w:val="cyan"/>
        </w:rPr>
        <w:t>sovereign powers</w:t>
      </w:r>
      <w:r w:rsidRPr="00F304A8">
        <w:rPr>
          <w:rStyle w:val="StyleUnderline"/>
        </w:rPr>
        <w:t>.</w:t>
      </w:r>
      <w:r w:rsidRPr="00F304A8">
        <w:rPr>
          <w:sz w:val="16"/>
        </w:rPr>
        <w:t xml:space="preserve">17 </w:t>
      </w:r>
      <w:r w:rsidRPr="00F304A8">
        <w:rPr>
          <w:rStyle w:val="StyleUnderline"/>
          <w:highlight w:val="cyan"/>
        </w:rPr>
        <w:t>This</w:t>
      </w:r>
      <w:r w:rsidRPr="00F304A8">
        <w:rPr>
          <w:rStyle w:val="StyleUnderline"/>
        </w:rPr>
        <w:t xml:space="preserve"> </w:t>
      </w:r>
      <w:proofErr w:type="gramStart"/>
      <w:r w:rsidRPr="00F304A8">
        <w:rPr>
          <w:rStyle w:val="StyleUnderline"/>
        </w:rPr>
        <w:t>state of affairs</w:t>
      </w:r>
      <w:proofErr w:type="gramEnd"/>
      <w:r w:rsidRPr="00F304A8">
        <w:rPr>
          <w:rStyle w:val="StyleUnderline"/>
        </w:rPr>
        <w:t xml:space="preserve"> </w:t>
      </w:r>
      <w:r w:rsidRPr="00F304A8">
        <w:rPr>
          <w:rStyle w:val="StyleUnderline"/>
          <w:highlight w:val="cyan"/>
        </w:rPr>
        <w:t xml:space="preserve">might not be problematic if </w:t>
      </w:r>
      <w:r w:rsidRPr="00F304A8">
        <w:rPr>
          <w:rStyle w:val="Emphasis"/>
          <w:highlight w:val="cyan"/>
        </w:rPr>
        <w:t>defined standards for maintaining the relationship between the tribal and federal governments</w:t>
      </w:r>
      <w:r w:rsidRPr="00F304A8">
        <w:rPr>
          <w:rStyle w:val="StyleUnderline"/>
          <w:highlight w:val="cyan"/>
        </w:rPr>
        <w:t xml:space="preserve"> existed</w:t>
      </w:r>
      <w:r w:rsidRPr="00F304A8">
        <w:rPr>
          <w:rStyle w:val="StyleUnderline"/>
        </w:rPr>
        <w:t xml:space="preserve"> and the relationship were based upon the consent of the tribes. </w:t>
      </w:r>
      <w:r w:rsidRPr="00F304A8">
        <w:rPr>
          <w:sz w:val="16"/>
        </w:rPr>
        <w:t xml:space="preserve">The history of tribal-federal relations demonstrates, however, that neither standards nor consent exist, and that the relationship is uncertain at best. Tribal-federal relations have periodically oscillated between two diametrically opposed views on the status of Indian Tribes. At one end of the spectrum is </w:t>
      </w:r>
      <w:r w:rsidRPr="00F304A8">
        <w:rPr>
          <w:rStyle w:val="StyleUnderline"/>
          <w:highlight w:val="cyan"/>
        </w:rPr>
        <w:t>the belief that tribes are independent political communities</w:t>
      </w:r>
      <w:r w:rsidRPr="00F304A8">
        <w:rPr>
          <w:rStyle w:val="StyleUnderline"/>
        </w:rPr>
        <w:t xml:space="preserve"> and should control their own development</w:t>
      </w:r>
      <w:r w:rsidRPr="00F304A8">
        <w:rPr>
          <w:sz w:val="16"/>
        </w:rPr>
        <w:t xml:space="preserve">.'8 At the other end lies </w:t>
      </w:r>
      <w:r w:rsidRPr="00F304A8">
        <w:rPr>
          <w:rStyle w:val="StyleUnderline"/>
        </w:rPr>
        <w:t xml:space="preserve">the belief that the tribal system should be </w:t>
      </w:r>
      <w:proofErr w:type="gramStart"/>
      <w:r w:rsidRPr="00F304A8">
        <w:rPr>
          <w:rStyle w:val="StyleUnderline"/>
        </w:rPr>
        <w:t>dismantled</w:t>
      </w:r>
      <w:proofErr w:type="gramEnd"/>
      <w:r w:rsidRPr="00F304A8">
        <w:rPr>
          <w:rStyle w:val="StyleUnderline"/>
        </w:rPr>
        <w:t xml:space="preserve"> and individual Indians should be assimilated into the greater American society.</w:t>
      </w:r>
      <w:r w:rsidRPr="00F304A8">
        <w:rPr>
          <w:sz w:val="16"/>
        </w:rPr>
        <w:t xml:space="preserve">19 While these views appear to be in extreme conflict, </w:t>
      </w:r>
      <w:r w:rsidRPr="00F304A8">
        <w:rPr>
          <w:rStyle w:val="StyleUnderline"/>
          <w:highlight w:val="cyan"/>
        </w:rPr>
        <w:t>their implementation produces very similar results. The U</w:t>
      </w:r>
      <w:r w:rsidRPr="00F304A8">
        <w:rPr>
          <w:rStyle w:val="StyleUnderline"/>
        </w:rPr>
        <w:t xml:space="preserve">nited </w:t>
      </w:r>
      <w:r w:rsidRPr="00F304A8">
        <w:rPr>
          <w:rStyle w:val="StyleUnderline"/>
          <w:highlight w:val="cyan"/>
        </w:rPr>
        <w:t>S</w:t>
      </w:r>
      <w:r w:rsidRPr="00F304A8">
        <w:rPr>
          <w:rStyle w:val="StyleUnderline"/>
        </w:rPr>
        <w:t xml:space="preserve">tates government </w:t>
      </w:r>
      <w:r w:rsidRPr="00F304A8">
        <w:rPr>
          <w:rStyle w:val="StyleUnderline"/>
          <w:highlight w:val="cyan"/>
        </w:rPr>
        <w:t>dominates the t</w:t>
      </w:r>
      <w:r w:rsidRPr="00F304A8">
        <w:rPr>
          <w:rStyle w:val="StyleUnderline"/>
        </w:rPr>
        <w:t xml:space="preserve">ribal-federal </w:t>
      </w:r>
      <w:r w:rsidRPr="00F304A8">
        <w:rPr>
          <w:rStyle w:val="StyleUnderline"/>
          <w:highlight w:val="cyan"/>
        </w:rPr>
        <w:t>relationship, allowing it to</w:t>
      </w:r>
      <w:r w:rsidRPr="00F304A8">
        <w:rPr>
          <w:rStyle w:val="StyleUnderline"/>
        </w:rPr>
        <w:t xml:space="preserve"> manipulate the situation </w:t>
      </w:r>
      <w:r w:rsidRPr="00F304A8">
        <w:rPr>
          <w:rStyle w:val="StyleUnderline"/>
          <w:highlight w:val="cyan"/>
        </w:rPr>
        <w:t>to protect federal interest</w:t>
      </w:r>
      <w:r w:rsidRPr="00F304A8">
        <w:rPr>
          <w:rStyle w:val="StyleUnderline"/>
        </w:rPr>
        <w:t>s</w:t>
      </w:r>
      <w:r w:rsidRPr="00F304A8">
        <w:rPr>
          <w:sz w:val="16"/>
        </w:rPr>
        <w:t xml:space="preserve">. The following historical background will demonstrate how </w:t>
      </w:r>
      <w:r w:rsidRPr="00F304A8">
        <w:rPr>
          <w:rStyle w:val="StyleUnderline"/>
        </w:rPr>
        <w:t xml:space="preserve">the </w:t>
      </w:r>
      <w:r w:rsidRPr="00F304A8">
        <w:rPr>
          <w:rStyle w:val="StyleUnderline"/>
          <w:highlight w:val="cyan"/>
        </w:rPr>
        <w:t>lack of definition and consent</w:t>
      </w:r>
      <w:r w:rsidRPr="00F304A8">
        <w:rPr>
          <w:rStyle w:val="StyleUnderline"/>
        </w:rPr>
        <w:t xml:space="preserve"> in the relationship </w:t>
      </w:r>
      <w:r w:rsidRPr="00F304A8">
        <w:rPr>
          <w:rStyle w:val="StyleUnderline"/>
          <w:highlight w:val="cyan"/>
        </w:rPr>
        <w:t>promotes federal dominance.</w:t>
      </w:r>
    </w:p>
    <w:p w14:paraId="63FA19BB" w14:textId="77777777" w:rsidR="0010527C" w:rsidRDefault="0010527C" w:rsidP="0010527C">
      <w:pPr>
        <w:pStyle w:val="Heading4"/>
      </w:pPr>
      <w:r>
        <w:t>Vote neg—</w:t>
      </w:r>
    </w:p>
    <w:p w14:paraId="0CBA064F" w14:textId="2DC31A1E" w:rsidR="0010527C" w:rsidRPr="00AB6546" w:rsidRDefault="0010527C" w:rsidP="0010527C">
      <w:pPr>
        <w:pStyle w:val="Heading4"/>
      </w:pPr>
      <w:r>
        <w:t xml:space="preserve">1 – Critical Education – The policymaking process is not innocent. Force them to study how their practice of fiat can </w:t>
      </w:r>
      <w:r>
        <w:rPr>
          <w:i/>
          <w:iCs w:val="0"/>
        </w:rPr>
        <w:t>itself</w:t>
      </w:r>
      <w:r>
        <w:t xml:space="preserve"> reproduce settler colonialism. For tribes, these details are </w:t>
      </w:r>
      <w:r>
        <w:rPr>
          <w:u w:val="single"/>
        </w:rPr>
        <w:t>life and death</w:t>
      </w:r>
      <w:r>
        <w:t>.</w:t>
      </w:r>
    </w:p>
    <w:p w14:paraId="5790C357" w14:textId="3F8E6349" w:rsidR="0010527C" w:rsidRPr="0010527C" w:rsidRDefault="0010527C" w:rsidP="0010527C">
      <w:pPr>
        <w:pStyle w:val="Heading4"/>
      </w:pPr>
      <w:r>
        <w:t xml:space="preserve">2 – Ground – Tribal sovereignty is the </w:t>
      </w:r>
      <w:r>
        <w:rPr>
          <w:u w:val="single"/>
        </w:rPr>
        <w:t>first question</w:t>
      </w:r>
      <w:r>
        <w:t xml:space="preserve"> in any debate about policies that affect natives – avoiding it is </w:t>
      </w:r>
      <w:r>
        <w:rPr>
          <w:u w:val="single"/>
        </w:rPr>
        <w:t>unfair</w:t>
      </w:r>
      <w:r>
        <w:t xml:space="preserve">, </w:t>
      </w:r>
      <w:r>
        <w:rPr>
          <w:u w:val="single"/>
        </w:rPr>
        <w:t>irresponsible</w:t>
      </w:r>
      <w:r>
        <w:t xml:space="preserve">, and </w:t>
      </w:r>
      <w:r>
        <w:rPr>
          <w:u w:val="single"/>
        </w:rPr>
        <w:t>bad for education</w:t>
      </w:r>
      <w:r>
        <w:t>.</w:t>
      </w:r>
    </w:p>
    <w:p w14:paraId="67A2B4BF" w14:textId="55F99C81" w:rsidR="0010527C" w:rsidRPr="0010527C" w:rsidRDefault="0010527C" w:rsidP="0010527C">
      <w:pPr>
        <w:pStyle w:val="Heading4"/>
      </w:pPr>
      <w:r>
        <w:t xml:space="preserve">3 – Presumption – If their framing is right, then the state will always manipulate its policies to screw over tribes – you should </w:t>
      </w:r>
      <w:r>
        <w:rPr>
          <w:u w:val="single"/>
        </w:rPr>
        <w:t>presume</w:t>
      </w:r>
      <w:r>
        <w:t xml:space="preserve"> no sovereignty.</w:t>
      </w:r>
    </w:p>
    <w:p w14:paraId="5B46F85C" w14:textId="040D9518" w:rsidR="0010527C" w:rsidRDefault="0010527C" w:rsidP="0010527C">
      <w:pPr>
        <w:pStyle w:val="Heading4"/>
      </w:pPr>
      <w:r>
        <w:t xml:space="preserve">4 – CX </w:t>
      </w:r>
      <w:proofErr w:type="gramStart"/>
      <w:r>
        <w:t>doesn’t</w:t>
      </w:r>
      <w:proofErr w:type="gramEnd"/>
      <w:r>
        <w:t xml:space="preserve"> check: (A) My interp forces them to </w:t>
      </w:r>
      <w:r>
        <w:rPr>
          <w:u w:val="single"/>
        </w:rPr>
        <w:t>research</w:t>
      </w:r>
      <w:r>
        <w:t xml:space="preserve"> these issues before round. (B) I </w:t>
      </w:r>
      <w:proofErr w:type="gramStart"/>
      <w:r>
        <w:t>can’t</w:t>
      </w:r>
      <w:proofErr w:type="gramEnd"/>
      <w:r>
        <w:t xml:space="preserve"> prep a strat against their aff until CX. (C) Footnoting DA—reduces crucial issues of sovereignty to a mere afterthought. (D) Specifying sovereignty should be the default—I </w:t>
      </w:r>
      <w:proofErr w:type="gramStart"/>
      <w:r>
        <w:t>shouldn’t</w:t>
      </w:r>
      <w:proofErr w:type="gramEnd"/>
      <w:r>
        <w:t xml:space="preserve"> have to ask.</w:t>
      </w:r>
    </w:p>
    <w:p w14:paraId="181D6ABA" w14:textId="77777777" w:rsidR="0010527C" w:rsidRPr="0010527C" w:rsidRDefault="0010527C" w:rsidP="0010527C"/>
    <w:p w14:paraId="2674D77A" w14:textId="630CFB32" w:rsidR="00A95652" w:rsidRPr="00B55AD5" w:rsidRDefault="0010527C" w:rsidP="0010527C">
      <w:pPr>
        <w:pStyle w:val="Heading4"/>
      </w:pPr>
      <w:r>
        <w:t xml:space="preserve">It’s </w:t>
      </w:r>
      <w:proofErr w:type="gramStart"/>
      <w:r>
        <w:t>drop</w:t>
      </w:r>
      <w:proofErr w:type="gramEnd"/>
      <w:r>
        <w:t xml:space="preserve"> the debater – anything else advantages the aff by letting them shift in the 1AR. No RVIs – (A) They </w:t>
      </w:r>
      <w:proofErr w:type="gramStart"/>
      <w:r>
        <w:t>don’t</w:t>
      </w:r>
      <w:proofErr w:type="gramEnd"/>
      <w:r>
        <w:t xml:space="preserve"> get a cookie for proving they aren’t colonialist. (B) </w:t>
      </w:r>
      <w:proofErr w:type="gramStart"/>
      <w:r>
        <w:t>Guts</w:t>
      </w:r>
      <w:proofErr w:type="gramEnd"/>
      <w:r>
        <w:t xml:space="preserve"> substance—we should debate the aff whenever possible. One shell is fair—they have plenty of time in the 1AR. Competing interps – reasonability leads to a race to the bottom where debaters get away with terrible practices. Any bright line is arbitrary—you </w:t>
      </w:r>
      <w:proofErr w:type="gramStart"/>
      <w:r>
        <w:t>can’t</w:t>
      </w:r>
      <w:proofErr w:type="gramEnd"/>
      <w:r>
        <w:t xml:space="preserve"> be “educational enough.”</w:t>
      </w: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0527C"/>
    <w:rsid w:val="000139A3"/>
    <w:rsid w:val="000A5872"/>
    <w:rsid w:val="00100833"/>
    <w:rsid w:val="00104529"/>
    <w:rsid w:val="0010527C"/>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0307"/>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8205"/>
  <w15:chartTrackingRefBased/>
  <w15:docId w15:val="{53B47FED-7CDF-41C4-AFD7-938B64B1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0307"/>
    <w:rPr>
      <w:rFonts w:ascii="Calibri" w:hAnsi="Calibri" w:cs="Calibri"/>
    </w:rPr>
  </w:style>
  <w:style w:type="paragraph" w:styleId="Heading1">
    <w:name w:val="heading 1"/>
    <w:aliases w:val="Pocket"/>
    <w:basedOn w:val="Normal"/>
    <w:next w:val="Normal"/>
    <w:link w:val="Heading1Char"/>
    <w:qFormat/>
    <w:rsid w:val="009F03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03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F03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no read,heading 2,Heading 2 Char2 Char,Heading 2 Char1 Char Char,Ch,No Spacing12,No Spacing2111,No Spacing5,No Spacing211,No Spacing4,No Spacing11111,No Spacing21,No Spacing1111,TAG,t,No Spacing1,T, Ch"/>
    <w:basedOn w:val="Normal"/>
    <w:next w:val="Normal"/>
    <w:link w:val="Heading4Char"/>
    <w:uiPriority w:val="3"/>
    <w:unhideWhenUsed/>
    <w:qFormat/>
    <w:rsid w:val="009F030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F03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0307"/>
  </w:style>
  <w:style w:type="character" w:customStyle="1" w:styleId="Heading1Char">
    <w:name w:val="Heading 1 Char"/>
    <w:aliases w:val="Pocket Char"/>
    <w:basedOn w:val="DefaultParagraphFont"/>
    <w:link w:val="Heading1"/>
    <w:rsid w:val="009F030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0307"/>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F030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no read Char,heading 2 Char,Heading 2 Char2 Char Char,Heading 2 Char1 Char Char Char,Ch Char,No Spacing12 Char,No Spacing2111 Char,No Spacing5 Char,No Spacing211 Char,t Char"/>
    <w:basedOn w:val="DefaultParagraphFont"/>
    <w:link w:val="Heading4"/>
    <w:uiPriority w:val="3"/>
    <w:rsid w:val="009F030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9F030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Style Style Bold + 11 pt,Style Style Bold + 13 pt,tagld + 12 pt,tag + 12 pt,Not...,Not.,Not"/>
    <w:basedOn w:val="DefaultParagraphFont"/>
    <w:uiPriority w:val="5"/>
    <w:qFormat/>
    <w:rsid w:val="009F0307"/>
    <w:rPr>
      <w:b/>
      <w:bCs/>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9F0307"/>
    <w:rPr>
      <w:b w:val="0"/>
      <w:sz w:val="22"/>
      <w:u w:val="single"/>
    </w:rPr>
  </w:style>
  <w:style w:type="character" w:styleId="Hyperlink">
    <w:name w:val="Hyperlink"/>
    <w:aliases w:val="heading 1 (block title),Read,Important,Card Text,Internet Link,Analytic Text,Internet link,Char Char1,Heading 3 Char1,Block Char1,No Underline Char1,Char Char Char Char Char Char Char Char1,Text 7 Char1,Tags v 2 Char1,Heading 3 Char Char Char1"/>
    <w:basedOn w:val="DefaultParagraphFont"/>
    <w:uiPriority w:val="99"/>
    <w:unhideWhenUsed/>
    <w:rsid w:val="009F0307"/>
    <w:rPr>
      <w:color w:val="auto"/>
      <w:u w:val="none"/>
    </w:rPr>
  </w:style>
  <w:style w:type="character" w:styleId="FollowedHyperlink">
    <w:name w:val="FollowedHyperlink"/>
    <w:basedOn w:val="DefaultParagraphFont"/>
    <w:uiPriority w:val="99"/>
    <w:semiHidden/>
    <w:unhideWhenUsed/>
    <w:rsid w:val="009F0307"/>
    <w:rPr>
      <w:color w:val="auto"/>
      <w:u w:val="none"/>
    </w:rPr>
  </w:style>
  <w:style w:type="paragraph" w:customStyle="1" w:styleId="textbold">
    <w:name w:val="text bold"/>
    <w:basedOn w:val="Normal"/>
    <w:link w:val="Emphasis"/>
    <w:uiPriority w:val="7"/>
    <w:qFormat/>
    <w:rsid w:val="0010527C"/>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stor.org/stable/10.1086/66270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2</cp:revision>
  <dcterms:created xsi:type="dcterms:W3CDTF">2021-02-26T21:04:00Z</dcterms:created>
  <dcterms:modified xsi:type="dcterms:W3CDTF">2021-02-27T02:28:00Z</dcterms:modified>
</cp:coreProperties>
</file>