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Documentação Técnica — Integração Modbus TCP/IP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Machine Monitor App — Conexão com IHMInovance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t xml:space="preserve">1. Visão Geral da Arquitetura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 aplicativo usa um padrão de inversão de dependência: as telas conhecem apenas a interface MachineDataSource. Quem fornece os dados reais é decidido no main.dart, sem alterar nenhuma tela.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Modo Simulação (Fase 1): </w:t>
      </w:r>
      <w:r>
        <w:rPr>
          <w:rFonts w:ascii="Arial" w:cs="Arial" w:eastAsia="Arial" w:hAnsi="Arial"/>
          <w:sz w:val="22"/>
          <w:szCs w:val="22"/>
        </w:rPr>
        <w:t xml:space="preserve">SimulacaoDataSource gera dados fictícios. Usado para testes sem CLP.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Modo Modbus Real (Fase 2): </w:t>
      </w:r>
      <w:r>
        <w:rPr>
          <w:rFonts w:ascii="Arial" w:cs="Arial" w:eastAsia="Arial" w:hAnsi="Arial"/>
          <w:sz w:val="22"/>
          <w:szCs w:val="22"/>
        </w:rPr>
        <w:t xml:space="preserve">ModbusDataSource usa a classe IHMInovance para conectar nos CLPs via Modbus TCP/IP.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Para alternar: </w:t>
      </w:r>
      <w:r>
        <w:rPr>
          <w:rFonts w:ascii="Arial" w:cs="Arial" w:eastAsia="Arial" w:hAnsi="Arial"/>
          <w:sz w:val="22"/>
          <w:szCs w:val="22"/>
        </w:rPr>
        <w:t xml:space="preserve">no main.dart, mude kUsarModbusReal para true (Modbus) ou false (simulação).</w:t>
      </w:r>
    </w:p>
    <w:p>
      <w:pPr>
        <w:pStyle w:val="Heading2"/>
      </w:pPr>
      <w:r>
        <w:t xml:space="preserve">2. Como Funciona a Conexão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Cada máquina cadastrada no app tem seu próprio IP. O fluxo é: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 app chama fetchMachineData(machine) a cada 10 segundos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 ModbusDataSource verifica se já existe uma IHMInovance conectada para aquele IP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 não existe: cria uma nova IHMInovance() e chama ihm.connect(host, port)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 IHM inicia leitura contínua em background (streams de Coils e Holding Registers a cada 5s)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Nas chamadas seguintes: o ModbusDataSource apenas lê ihm.LW[0], ihm.LW[1]... (sem abrir/fechar socket)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Os valores do LW são passados para o ModbusParser, que converte para o modelo Machine do app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Importante: </w:t>
      </w:r>
      <w:r>
        <w:rPr>
          <w:rFonts w:ascii="Arial" w:cs="Arial" w:eastAsia="Arial" w:hAnsi="Arial"/>
          <w:sz w:val="22"/>
          <w:szCs w:val="22"/>
        </w:rPr>
        <w:t xml:space="preserve">a IHM conecta uma única vez e fica lendo continuamente. O app nunca abre e fecha conexão a cada polling. Se a conexão cair, o ModbusDataSource tenta reconectar automaticamente.</w:t>
      </w:r>
    </w:p>
    <w:p>
      <w:pPr>
        <w:pStyle w:val="Heading2"/>
      </w:pPr>
      <w:r>
        <w:t xml:space="preserve">3. Estrutura de Arquivos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E5A0"/>
                <w:sz w:val="20"/>
                <w:szCs w:val="20"/>
              </w:rPr>
              <w:t xml:space="preserve">Arquivo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E5A0"/>
                <w:sz w:val="20"/>
                <w:szCs w:val="20"/>
              </w:rPr>
              <w:t xml:space="preserve">Função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app_inovance_ihm.dart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Classe IHMInovance — conexão Modbus e maps LW/LB (sua classe, adaptada para múltiplas instâncias)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modbus_client_tcp.dart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Cliente TCP Modbus de baixo nível (sua classe, sem alterações)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models.dart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Modelos do app: Machine, OEEData, AppUser, etc.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modbus_data_source.dart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Ponte entre o app e a IHMInovance — gerencia uma IHM por máquina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modbus_parser.dart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Traduz array de registradores LW[0..25] para o modelo Machine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machine_data_source.dart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Interfaces abstratas (AuthSource, MachineDataSource, AppDataSource)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simulacao_service.dart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Fonte de dados simulados (Fase 1 — testes sem CLP)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main.dart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Ponto de entrada — flag kUsarModbusReal alterna entre simulação e Modbus real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t xml:space="preserve">4. Mapa de Registradores (LW)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 CLP deve organizar os dados em 26 registradores sequenciais (Holding Registers):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200"/>
        <w:gridCol w:w="39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E5A0"/>
                <w:sz w:val="20"/>
                <w:szCs w:val="20"/>
              </w:rPr>
              <w:t xml:space="preserve">Endereço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E5A0"/>
                <w:sz w:val="20"/>
                <w:szCs w:val="20"/>
              </w:rPr>
              <w:t xml:space="preserve">Dado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E5A0"/>
                <w:sz w:val="20"/>
                <w:szCs w:val="20"/>
              </w:rPr>
              <w:t xml:space="preserve">Exemplo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LW[0]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Status da máquina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0=Parada, 1=Em Ciclo, 2=Manutenção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LW[1]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Produção do dia (parte baixa)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1200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LW[2]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Produção do dia (parte alta)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 (usa dois quando &gt; 65535)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LW[3]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Produção do ciclo atual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85 peças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LW[4]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OEE Geral (×10)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823 = 82.3%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LW[5]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Disponibilidade (×10)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910 = 91.0%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LW[6]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Performance (×10)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876 = 87.6%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LW[7]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Qualidade (×10)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995 = 99.5%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LW[8]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Código do produto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1, 2, 3... (tabela no app)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LW[9]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Código do operador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1, 2, 3... (tabela no app)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LW[10–25]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Produção por hora (8 pares)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[hora, quantidade] por turno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OEE com escala ×10: </w:t>
      </w:r>
      <w:r>
        <w:rPr>
          <w:rFonts w:ascii="Arial" w:cs="Arial" w:eastAsia="Arial" w:hAnsi="Arial"/>
          <w:sz w:val="22"/>
          <w:szCs w:val="22"/>
        </w:rPr>
        <w:t xml:space="preserve">82.3% deve ser gravado como 823 no registrador.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Produção &gt; 65.535: </w:t>
      </w:r>
      <w:r>
        <w:rPr>
          <w:rFonts w:ascii="Arial" w:cs="Arial" w:eastAsia="Arial" w:hAnsi="Arial"/>
          <w:sz w:val="22"/>
          <w:szCs w:val="22"/>
        </w:rPr>
        <w:t xml:space="preserve">usa LW[1] + LW[2] combinados em 32 bits. Se nunca passa de 65.535, deixe LW[2] = 0.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Produto e Operador: </w:t>
      </w:r>
      <w:r>
        <w:rPr>
          <w:rFonts w:ascii="Arial" w:cs="Arial" w:eastAsia="Arial" w:hAnsi="Arial"/>
          <w:sz w:val="22"/>
          <w:szCs w:val="22"/>
        </w:rPr>
        <w:t xml:space="preserve">códigos numéricos. A tabela de nomes fica no modbus_parser.dart.</w:t>
      </w:r>
    </w:p>
    <w:p>
      <w:pPr>
        <w:pStyle w:val="Heading2"/>
      </w:pPr>
      <w:r>
        <w:t xml:space="preserve">5. O que Mudou na Classe app_inovance_ihm.dart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 classe foi mantida o mais próxima possível do original. Alterações mínimas: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80"/>
        <w:gridCol w:w="318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E5A0"/>
                <w:sz w:val="20"/>
                <w:szCs w:val="20"/>
              </w:rPr>
              <w:t xml:space="preserve">Item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E5A0"/>
                <w:sz w:val="20"/>
                <w:szCs w:val="20"/>
              </w:rPr>
              <w:t xml:space="preserve">Original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E5A0"/>
                <w:sz w:val="20"/>
                <w:szCs w:val="20"/>
              </w:rPr>
              <w:t xml:space="preserve">Adaptado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Singleton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Uma instância global (final IHM = IHMInovance())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Removido — agora cria uma instância por máquina via new IHMInovance()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isLittleEndian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true (padrão)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false — Modbus TCP usa Big Endian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_label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Não existia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Adicionado para identificar a máquina nos logs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prints de debug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print('LB...'), print('LW...')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Removidos — logs via Logger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IHMMap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Sem alteração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Sem alteração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LW, LB, Write_LW, Write_LB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Sem alteração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Sem alteração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_startContinuousReading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Sem alteração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Sem alteração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Métodos auxiliares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Sem alteração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Sem alteração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Motivo da remoção do Singleton: </w:t>
      </w:r>
      <w:r>
        <w:rPr>
          <w:rFonts w:ascii="Arial" w:cs="Arial" w:eastAsia="Arial" w:hAnsi="Arial"/>
          <w:sz w:val="22"/>
          <w:szCs w:val="22"/>
        </w:rPr>
        <w:t xml:space="preserve">o app monitora múltiplas máquinas simultaneamente, cada uma com seu IP. O Singleton permitia apenas uma conexão global. Agora cada máquina tem sua própria instância de IHMInovance gerenciada pelo ModbusDataSource.</w:t>
      </w:r>
    </w:p>
    <w:p>
      <w:pPr>
        <w:pStyle w:val="Heading2"/>
      </w:pPr>
      <w:r>
        <w:t xml:space="preserve">6. TEX por IP — a mesma estratégia aplicada à bancada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 bancada de estanqueidade TEX recebeu o mesmo tratamento descrito na seção 5: a classe que conversa com o equipamento (TexG4) deixou de ser um Singleton global e passou a ser instanciável — uma instância por bancada.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Cada TEX cadastrada abre a sua própria sessão (ModbusTexDataSource.connect), dona de um TexG4 ligado ao IP daquela máquina. Operar TEX 1, TEX 2… ao mesmo tempo significa conexões independentes, sem estado compartilhado.</w:t>
      </w:r>
    </w:p>
    <w:p>
      <w:pPr>
        <w:spacing w:after="60"/>
        <w:ind w:left="284" w:hanging="170"/>
      </w:pPr>
      <w:r>
        <w:rPr>
          <w:rFonts w:ascii="Arial" w:cs="Arial" w:eastAsia="Arial" w:hAnsi="Arial"/>
          <w:sz w:val="22"/>
          <w:szCs w:val="22"/>
        </w:rPr>
        <w:t xml:space="preserve">•  Singleton removido: antes final TEX = TexG4(); agora new TexG4() por bancada, gerenciado pela sessão.</w:t>
      </w:r>
    </w:p>
    <w:p>
      <w:pPr>
        <w:spacing w:after="60"/>
        <w:ind w:left="284" w:hanging="170"/>
      </w:pPr>
      <w:r>
        <w:rPr>
          <w:rFonts w:ascii="Arial" w:cs="Arial" w:eastAsia="Arial" w:hAnsi="Arial"/>
          <w:sz w:val="22"/>
          <w:szCs w:val="22"/>
        </w:rPr>
        <w:t xml:space="preserve">•  Leitura: bloco de 35 holding registers a partir do endereço 0; floats remontados em little-endian a partir dos registradores crus (isLittleEndian: false).</w:t>
      </w:r>
    </w:p>
    <w:p>
      <w:pPr>
        <w:spacing w:after="60"/>
        <w:ind w:left="284" w:hanging="170"/>
      </w:pPr>
      <w:r>
        <w:rPr>
          <w:rFonts w:ascii="Arial" w:cs="Arial" w:eastAsia="Arial" w:hAnsi="Arial"/>
          <w:sz w:val="22"/>
          <w:szCs w:val="22"/>
        </w:rPr>
        <w:t xml:space="preserve">•  Comandos: escrita de registrador único (fn06) — START grava 8 e STOP grava 4 no registrador 0; o BCD vai no registrador 2.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 mapa completo de registradores da TEX está na Documentação Técnica do Machine Monitor (seção 4.7).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0D2137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rFonts w:ascii="Arial" w:cs="Arial" w:eastAsia="Arial" w:hAnsi="Arial"/>
      <w:b/>
      <w:bCs/>
      <w:color w:val="0D2137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2026-05-05T04:35:37.775Z</dcterms:created>
  <dcterms:modified xsi:type="dcterms:W3CDTF">2026-05-05T04:35:37.795Z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