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0D47A1"/>
          <w:sz w:val="64"/>
          <w:szCs w:val="64"/>
        </w:rPr>
        <w:t xml:space="preserve">MACHINE MONITOR</w:t>
      </w:r>
    </w:p>
    <w:p>
      <w:pPr>
        <w:spacing w:after="40"/>
        <w:jc w:val="center"/>
      </w:pPr>
      <w:r>
        <w:rPr>
          <w:color w:val="16324F"/>
          <w:sz w:val="30"/>
          <w:szCs w:val="30"/>
        </w:rPr>
        <w:t xml:space="preserve">Sistema Unificado de Monitoramento Industrial</w:t>
      </w:r>
    </w:p>
    <w:p>
      <w:pPr>
        <w:spacing w:after="600"/>
        <w:jc w:val="center"/>
      </w:pPr>
      <w:r>
        <w:rPr>
          <w:color w:val="5A6B7B"/>
          <w:sz w:val="24"/>
          <w:szCs w:val="24"/>
        </w:rPr>
        <w:t xml:space="preserve">Monitor de Produção  +  Bancada de Estanqueidade TEX</w:t>
      </w:r>
    </w:p>
    <w:p>
      <w:pPr>
        <w:pStyle w:val="Heading1"/>
      </w:pPr>
      <w:r>
        <w:t xml:space="preserve">10. Atualização — Versão 2.1 (Conexão TEX real por IP)</w:t>
      </w:r>
    </w:p>
    <w:p>
      <w:pPr>
        <w:spacing w:after="140" w:line="276"/>
      </w:pPr>
      <w:r>
        <w:t xml:space="preserve">Esta versão integra a conexão real com a bancada TEX (antes apenas simulada) à arquitetura do app e a torna multi-instância. Resumo das mudanças:</w:t>
      </w:r>
    </w:p>
    <w:p>
      <w:pPr>
        <w:spacing w:after="80" w:line="276"/>
        <w:ind w:left="284" w:hanging="170"/>
      </w:pPr>
      <w:r>
        <w:t xml:space="preserve">•  Conexão TEX real por IP: a lógica verificada em campo, antes presa a um singleton global (TexG4), virou uma classe instanciável — cada bancada tem a sua conexão.</w:t>
      </w:r>
    </w:p>
    <w:p>
      <w:pPr>
        <w:spacing w:after="80" w:line="276"/>
        <w:ind w:left="284" w:hanging="170"/>
      </w:pPr>
      <w:r>
        <w:t xml:space="preserve">•  Mapa de registradores verificado: o mapa hipotético foi substituído pela decodificação real (seção 4.7); models/tex_data.dart concentra a conversão dos 35 holding registers.</w:t>
      </w:r>
    </w:p>
    <w:p>
      <w:pPr>
        <w:spacing w:after="80" w:line="276"/>
        <w:ind w:left="284" w:hanging="170"/>
      </w:pPr>
      <w:r>
        <w:t xml:space="preserve">•  Painel de setup no console TEX: a aba Operação ganhou seletores de BCD (escrito no CLP, registrador 2), câmara e testes por câmara. Câmara e testes são configuração local persistida por máquina.</w:t>
      </w:r>
    </w:p>
    <w:p>
      <w:pPr>
        <w:spacing w:after="80" w:line="276"/>
        <w:ind w:left="284" w:hanging="170"/>
      </w:pPr>
      <w:r>
        <w:t xml:space="preserve">•  Cadastro por IP com nome sugerido: ao cadastrar uma TEX, o app sugere o nome “TEX N” (editável) e impede IP duplicado.</w:t>
      </w:r>
    </w:p>
    <w:p>
      <w:pPr>
        <w:spacing w:after="80" w:line="276"/>
        <w:ind w:left="284" w:hanging="170"/>
      </w:pPr>
      <w:r>
        <w:t xml:space="preserve">•  Modbus real por padrão: AppConfig.useRealModbus passou a true.</w:t>
      </w:r>
    </w:p>
    <w:p>
      <w:pPr>
        <w:spacing w:after="80" w:line="276"/>
        <w:ind w:left="284" w:hanging="170"/>
      </w:pPr>
      <w:r>
        <w:t xml:space="preserve">•  Limpeza: removidos arquivos do sandbox que não compilavam ou não eram usados (testeTex.dart, cópia duplicada de modbus_client_tcp.dart, app_inovance_ihm.dart, robot_inovance.dart).</w:t>
      </w:r>
    </w:p>
    <w:p>
      <w:pPr>
        <w:spacing w:after="140" w:line="276"/>
      </w:pPr>
      <w:r>
        <w:t xml:space="preserve">Arquivos acrescentados: models/tex_data.dart, models/tex_setup.dart, services/tex/tex_g4.dart e widgets/tex/tex_stepper.dart.</w:t>
      </w:r>
    </w:p>
    <w:p>
      <w:pPr>
        <w:pBdr>
          <w:top w:val="single" w:color="00697A" w:sz="8" w:space="8"/>
        </w:pBdr>
        <w:spacing w:after="0" w:before="200"/>
        <w:jc w:val="center"/>
      </w:pPr>
      <w:r>
        <w:t xml:space="preserve"/>
      </w:r>
    </w:p>
    <w:p>
      <w:pPr>
        <w:spacing w:before="240"/>
        <w:jc w:val="center"/>
      </w:pPr>
      <w:r>
        <w:rPr>
          <w:b/>
          <w:bCs/>
          <w:color w:val="16324F"/>
          <w:sz w:val="26"/>
          <w:szCs w:val="26"/>
        </w:rPr>
        <w:t xml:space="preserve">Documentação Técnica</w:t>
      </w:r>
    </w:p>
    <w:p>
      <w:pPr>
        <w:spacing w:before="60"/>
        <w:jc w:val="center"/>
      </w:pPr>
      <w:r>
        <w:rPr>
          <w:color w:val="5A6B7B"/>
          <w:sz w:val="20"/>
          <w:szCs w:val="20"/>
        </w:rPr>
        <w:t xml:space="preserve">Arquitetura • Comunicação • Manutenção</w:t>
      </w:r>
    </w:p>
    <w:p>
      <w:pPr>
        <w:spacing w:before="1400"/>
        <w:jc w:val="center"/>
      </w:pPr>
      <w:r>
        <w:rPr>
          <w:color w:val="16324F"/>
          <w:sz w:val="20"/>
          <w:szCs w:val="20"/>
        </w:rPr>
        <w:t xml:space="preserve">Versão 2.1  ·  Flutter / Dart  ·  Modbus TCP/IP</w:t>
      </w:r>
    </w:p>
    <w:p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Visão Geral</w:t>
      </w:r>
    </w:p>
    <w:p>
      <w:pPr>
        <w:spacing w:after="140" w:line="276"/>
      </w:pPr>
      <w:r>
        <w:t xml:space="preserve">Este documento descreve a arquitetura e o funcionamento do Machine Monitor, um aplicativo Flutter que reúne, em um único produto, dois sistemas industriais que antes eram aplicativos separados: o monitoramento de produção de máquinas (OEE, status, produção horária) e a operação de bancadas de teste de estanqueidade da linha TEX “Anel Hídrico” (pressão, vazamento, entradas/saídas e diagnósticos).</w:t>
      </w:r>
    </w:p>
    <w:p>
      <w:pPr>
        <w:spacing w:after="140" w:line="276"/>
      </w:pPr>
      <w:r>
        <w:t xml:space="preserve">A unificação foi feita adotando a arquitetura do Machine Monitor como base e integrando a bancada TEX como um novo tipo de máquina. O usuário cadastra cada equipamento escolhendo seu tipo; a partir daí o aplicativo abre a tela certa e usa a fonte de dados certa, sem que nenhuma das duas áreas precise conhecer a outra.</w:t>
      </w:r>
    </w:p>
    <w:p>
      <w:pPr>
        <w:pStyle w:val="Heading2"/>
      </w:pPr>
      <w:r>
        <w:t xml:space="preserve">1.1. Os dois domínios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Domínio</w:t>
            </w:r>
          </w:p>
        </w:tc>
        <w:tc>
          <w:tcPr>
            <w:tcW w:type="dxa" w:w="358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Para que serve</w:t>
            </w:r>
          </w:p>
        </w:tc>
        <w:tc>
          <w:tcPr>
            <w:tcW w:type="dxa" w:w="358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Grandezas principais</w:t>
            </w:r>
          </w:p>
        </w:tc>
      </w:tr>
      <w:tr>
        <w:tc>
          <w:tcPr>
            <w:tcW w:type="dxa" w:w="2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Monitor de Produção</w:t>
            </w:r>
          </w:p>
        </w:tc>
        <w:tc>
          <w:tcPr>
            <w:tcW w:type="dxa" w:w="358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Acompanhar o desempenho de máquinas de chão de fábrica em tempo quase real.</w:t>
            </w:r>
          </w:p>
        </w:tc>
        <w:tc>
          <w:tcPr>
            <w:tcW w:type="dxa" w:w="358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Status (em ciclo/parada/manutenção), OEE, produção do dia, produção por hora, operador, produto.</w:t>
            </w:r>
          </w:p>
        </w:tc>
      </w:tr>
      <w:tr>
        <w:tc>
          <w:tcPr>
            <w:tcW w:type="dxa" w:w="2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Bancada TEX</w:t>
            </w:r>
          </w:p>
        </w:tc>
        <w:tc>
          <w:tcPr>
            <w:tcW w:type="dxa" w:w="358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Operar e supervisionar o ciclo de teste de estanqueidade de uma peça.</w:t>
            </w:r>
          </w:p>
        </w:tc>
        <w:tc>
          <w:tcPr>
            <w:tcW w:type="dxa" w:w="358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Fase do ciclo, pressão, vazamento, progresso, resultado (aprovado/reprovado), entradas/saídas digitais, diagnósticos.</w:t>
            </w:r>
          </w:p>
        </w:tc>
      </w:tr>
    </w:tbl>
    <w:p>
      <w:pPr>
        <w:pStyle w:val="Heading2"/>
      </w:pPr>
      <w:r>
        <w:t xml:space="preserve">1.2. Princípios que guiaram o projeto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Uma só arquitetura: </w:t>
      </w:r>
      <w:r>
        <w:t xml:space="preserve">as telas dependem de abstrações; as implementações concretas (simulação ou Modbus real) são injetadas em um único ponto.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Um só tema visual: </w:t>
      </w:r>
      <w:r>
        <w:t xml:space="preserve">a paleta nasceu no Machine Monitor (azul-marinho + ciano) e foi estendida com os tokens que a bancada TEX precisava. As duas áreas têm a mesma identidade.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Extensível por tipo: </w:t>
      </w:r>
      <w:r>
        <w:t xml:space="preserve">adicionar um novo tipo de equipamento é acrescentar um valor a um enum e tratar um caso de roteamento — o cadastro, a lista e a persistência já são genéricos.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Troca real/simulado sem tocar em telas: </w:t>
      </w:r>
      <w:r>
        <w:t xml:space="preserve">uma única flag decide se o app fala com CLPs via Modbus ou roda em simulação para testes.</w:t>
      </w:r>
    </w:p>
    <w:p>
      <w:pPr>
        <w:pStyle w:val="Heading2"/>
      </w:pPr>
      <w:r>
        <w:t xml:space="preserve">1.3. Pilha tecnológica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Camada</w:t>
            </w:r>
          </w:p>
        </w:tc>
        <w:tc>
          <w:tcPr>
            <w:tcW w:type="dxa" w:w="63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Tecnologia</w:t>
            </w:r>
          </w:p>
        </w:tc>
      </w:tr>
      <w:tr>
        <w:tc>
          <w:tcPr>
            <w:tcW w:type="dxa" w:w="3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Linguagem / framework</w:t>
            </w:r>
          </w:p>
        </w:tc>
        <w:tc>
          <w:tcPr>
            <w:tcW w:type="dxa" w:w="63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Dart e Flutter (Material 3, tema escuro).</w:t>
            </w:r>
          </w:p>
        </w:tc>
      </w:tr>
      <w:tr>
        <w:tc>
          <w:tcPr>
            <w:tcW w:type="dxa" w:w="3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Comunicação industrial</w:t>
            </w:r>
          </w:p>
        </w:tc>
        <w:tc>
          <w:tcPr>
            <w:tcW w:type="dxa" w:w="63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Modbus TCP/IP sobre socket TCP cru (sem dependências externas de Modbus).</w:t>
            </w:r>
          </w:p>
        </w:tc>
      </w:tr>
      <w:tr>
        <w:tc>
          <w:tcPr>
            <w:tcW w:type="dxa" w:w="3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Gráficos</w:t>
            </w:r>
          </w:p>
        </w:tc>
        <w:tc>
          <w:tcPr>
            <w:tcW w:type="dxa" w:w="63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fl_chart (gráfico de barras da produção por hora).</w:t>
            </w:r>
          </w:p>
        </w:tc>
      </w:tr>
      <w:tr>
        <w:tc>
          <w:tcPr>
            <w:tcW w:type="dxa" w:w="3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Persistência local</w:t>
            </w:r>
          </w:p>
        </w:tc>
        <w:tc>
          <w:tcPr>
            <w:tcW w:type="dxa" w:w="63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shared_preferences (identidade das máquinas e sessão).</w:t>
            </w:r>
          </w:p>
        </w:tc>
      </w:tr>
      <w:tr>
        <w:tc>
          <w:tcPr>
            <w:tcW w:type="dxa" w:w="3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Logs</w:t>
            </w:r>
          </w:p>
        </w:tc>
        <w:tc>
          <w:tcPr>
            <w:tcW w:type="dxa" w:w="63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package logging (eventos de rede e parsing).</w:t>
            </w:r>
          </w:p>
        </w:tc>
      </w:tr>
      <w:tr>
        <w:tc>
          <w:tcPr>
            <w:tcW w:type="dxa" w:w="3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Gerência de estado</w:t>
            </w:r>
          </w:p>
        </w:tc>
        <w:tc>
          <w:tcPr>
            <w:tcW w:type="dxa" w:w="63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StatefulWidget + setState (monitor) e ValueListenable/ValueNotifier (console TEX).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Arquitetura</w:t>
      </w:r>
    </w:p>
    <w:p>
      <w:pPr>
        <w:spacing w:after="140" w:line="276"/>
      </w:pPr>
      <w:r>
        <w:t xml:space="preserve">A arquitetura segue inversão de dependência com estratégia (strategy): cada responsabilidade tem uma interface, e o restante do app conversa apenas com essa interface. Quem decide qual implementação concreta usar é o ponto de entrada do programa.</w:t>
      </w:r>
    </w:p>
    <w:p>
      <w:pPr>
        <w:pStyle w:val="Heading2"/>
      </w:pPr>
      <w:r>
        <w:t xml:space="preserve">2.1. Camadas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660"/>
      </w:tblGrid>
      <w:tr>
        <w:trPr>
          <w:tblHeader/>
        </w:trPr>
        <w:tc>
          <w:tcPr>
            <w:tcW w:type="dxa" w:w="2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Camada</w:t>
            </w:r>
          </w:p>
        </w:tc>
        <w:tc>
          <w:tcPr>
            <w:tcW w:type="dxa" w:w="2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Pasta</w:t>
            </w:r>
          </w:p>
        </w:tc>
        <w:tc>
          <w:tcPr>
            <w:tcW w:type="dxa" w:w="4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Responsabilidade</w:t>
            </w:r>
          </w:p>
        </w:tc>
      </w:tr>
      <w:tr>
        <w:tc>
          <w:tcPr>
            <w:tcW w:type="dxa" w:w="2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Aplicação</w:t>
            </w:r>
          </w:p>
        </w:tc>
        <w:tc>
          <w:tcPr>
            <w:tcW w:type="dxa" w:w="2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lib/app</w:t>
            </w:r>
          </w:p>
        </w:tc>
        <w:tc>
          <w:tcPr>
            <w:tcW w:type="dxa" w:w="4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Configuração resolvida na inicialização (flag real/simulado, porta, intervalos de polling).</w:t>
            </w:r>
          </w:p>
        </w:tc>
      </w:tr>
      <w:tr>
        <w:tc>
          <w:tcPr>
            <w:tcW w:type="dxa" w:w="2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Núcleo</w:t>
            </w:r>
          </w:p>
        </w:tc>
        <w:tc>
          <w:tcPr>
            <w:tcW w:type="dxa" w:w="2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lib/core</w:t>
            </w:r>
          </w:p>
        </w:tc>
        <w:tc>
          <w:tcPr>
            <w:tcW w:type="dxa" w:w="4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Tema visual, pilha de rede Modbus e utilitários sem dependência de telas.</w:t>
            </w:r>
          </w:p>
        </w:tc>
      </w:tr>
      <w:tr>
        <w:tc>
          <w:tcPr>
            <w:tcW w:type="dxa" w:w="2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Modelos</w:t>
            </w:r>
          </w:p>
        </w:tc>
        <w:tc>
          <w:tcPr>
            <w:tcW w:type="dxa" w:w="2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lib/models</w:t>
            </w:r>
          </w:p>
        </w:tc>
        <w:tc>
          <w:tcPr>
            <w:tcW w:type="dxa" w:w="4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Tipos de domínio imutáveis. Não conhecem rede, UI ou disco.</w:t>
            </w:r>
          </w:p>
        </w:tc>
      </w:tr>
      <w:tr>
        <w:tc>
          <w:tcPr>
            <w:tcW w:type="dxa" w:w="2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Serviços</w:t>
            </w:r>
          </w:p>
        </w:tc>
        <w:tc>
          <w:tcPr>
            <w:tcW w:type="dxa" w:w="2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lib/services</w:t>
            </w:r>
          </w:p>
        </w:tc>
        <w:tc>
          <w:tcPr>
            <w:tcW w:type="dxa" w:w="4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Contratos das fontes de dados e suas implementações (simulada e Modbus), autenticação, parsing e persistência.</w:t>
            </w:r>
          </w:p>
        </w:tc>
      </w:tr>
      <w:tr>
        <w:tc>
          <w:tcPr>
            <w:tcW w:type="dxa" w:w="2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Telas</w:t>
            </w:r>
          </w:p>
        </w:tc>
        <w:tc>
          <w:tcPr>
            <w:tcW w:type="dxa" w:w="2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lib/screens</w:t>
            </w:r>
          </w:p>
        </w:tc>
        <w:tc>
          <w:tcPr>
            <w:tcW w:type="dxa" w:w="4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Interface. Dependem apenas dos contratos em services e dos modelos.</w:t>
            </w:r>
          </w:p>
        </w:tc>
      </w:tr>
      <w:tr>
        <w:tc>
          <w:tcPr>
            <w:tcW w:type="dxa" w:w="2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Widgets</w:t>
            </w:r>
          </w:p>
        </w:tc>
        <w:tc>
          <w:tcPr>
            <w:tcW w:type="dxa" w:w="2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lib/widgets</w:t>
            </w:r>
          </w:p>
        </w:tc>
        <w:tc>
          <w:tcPr>
            <w:tcW w:type="dxa" w:w="4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Componentes visuais reutilizáveis (cards, rótulos, painéis e botões TEX).</w:t>
            </w:r>
          </w:p>
        </w:tc>
      </w:tr>
    </w:tbl>
    <w:p>
      <w:pPr>
        <w:pStyle w:val="Heading2"/>
      </w:pPr>
      <w:r>
        <w:t xml:space="preserve">2.2. O eixo: fontes de dados injetáveis</w:t>
      </w:r>
    </w:p>
    <w:p>
      <w:pPr>
        <w:spacing w:after="140" w:line="276"/>
      </w:pPr>
      <w:r>
        <w:t xml:space="preserve">O arquivo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services/data_sources.dart</w:t>
      </w:r>
      <w:r>
        <w:t xml:space="preserve"> define três contratos —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AuthSource</w:t>
      </w:r>
      <w:r>
        <w:t xml:space="preserve">,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MachineDataSource</w:t>
      </w:r>
      <w:r>
        <w:t xml:space="preserve"> e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TexDataSource</w:t>
      </w:r>
      <w:r>
        <w:t xml:space="preserve"> — além de um registro global,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AppDataSource</w:t>
      </w:r>
      <w:r>
        <w:t xml:space="preserve">, que guarda as implementações ativas. As telas leem sempre de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AppDataSource.auth</w:t>
      </w:r>
      <w:r>
        <w:t xml:space="preserve">,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AppDataSource.machines</w:t>
      </w:r>
      <w:r>
        <w:t xml:space="preserve"> e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AppDataSource.tex</w:t>
      </w:r>
      <w:r>
        <w:t xml:space="preserve">; nunca instanciam nada concreto.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4E0" w:sz="4"/>
              <w:left w:val="single" w:color="00697A" w:sz="12"/>
              <w:bottom w:val="single" w:color="C9D4E0" w:sz="4"/>
              <w:right w:val="single" w:color="C9D4E0" w:sz="4"/>
            </w:tcBorders>
            <w:shd w:fill="F3F6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services/data_sources.dart  (trecho)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abstract class MachineDataSource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Future&lt;Machine&gt; fetchMachineData(Machine machine);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Future&lt;List&lt;Machine&gt;&gt; fetchAll(List&lt;Machine&gt; machines);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Future&lt;void&gt; dispose() async {}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class AppDataSource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static MachineDataSource get machines =&gt; _machines!;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static TexDataSource     get tex      =&gt; _tex!;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static void init({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required AuthSource auth,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required MachineDataSource machines,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required TexDataSource tex,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}) { _auth = auth; _machines = machines; _tex = tex;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}</w:t>
            </w:r>
          </w:p>
        </w:tc>
      </w:tr>
    </w:tbl>
    <w:p>
      <w:pPr>
        <w:spacing w:after="140" w:line="276"/>
      </w:pPr>
      <w:r>
        <w:t xml:space="preserve">No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main()</w:t>
      </w:r>
      <w:r>
        <w:t xml:space="preserve">, uma única flag (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AppConfig.useRealModbus</w:t>
      </w:r>
      <w:r>
        <w:t xml:space="preserve">) decide o que é injetado. Trocar de simulação para CLP real não toca em nenhuma tela: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4E0" w:sz="4"/>
              <w:left w:val="single" w:color="00697A" w:sz="12"/>
              <w:bottom w:val="single" w:color="C9D4E0" w:sz="4"/>
              <w:right w:val="single" w:color="C9D4E0" w:sz="4"/>
            </w:tcBorders>
            <w:shd w:fill="F3F6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// main.dart  (trecho)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AppDataSource.init(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auth: SimulatedAuthSource(),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machines: config.useRealModbus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? ModbusMachineDataSource(port: 502, unitId: 1)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: SimulatedMachineDataSource(),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tex: config.useRealModbus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? ModbusTexDataSource(port: 502, unitId: 1)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: SimulatedTexDataSource(),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);</w:t>
            </w:r>
          </w:p>
        </w:tc>
      </w:tr>
    </w:tbl>
    <w:p>
      <w:pPr>
        <w:pStyle w:val="Heading2"/>
      </w:pPr>
      <w:r>
        <w:t xml:space="preserve">2.3. Dois estilos de estado, um motivo</w:t>
      </w:r>
    </w:p>
    <w:p>
      <w:pPr>
        <w:spacing w:after="140" w:line="276"/>
      </w:pPr>
      <w:r>
        <w:t xml:space="preserve">As duas áreas têm necessidades diferentes de atualização, e o projeto respeita isso: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Monitor — polling pontual. </w:t>
      </w:r>
      <w:r>
        <w:t xml:space="preserve">A lista e o detalhe consultam o CLP em intervalos fixos (10 s e 2 s) e atualizam a tela com setState. É o suficiente para indicadores que mudam devagar.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TEX — fluxo contínuo. </w:t>
      </w:r>
      <w:r>
        <w:t xml:space="preserve">O console abre uma sessão que publica um TexSnapshot a cada ~100 ms via ValueNotifier; a tela se reconstrói sozinha com ValueListenableBuilder. É o comportamento esperado de uma IHM ao vivo.</w:t>
      </w:r>
    </w:p>
    <w:p>
      <w:pPr>
        <w:pStyle w:val="Heading2"/>
      </w:pPr>
      <w:r>
        <w:t xml:space="preserve">2.4. Fluxo de dados ponta a ponta</w:t>
      </w:r>
    </w:p>
    <w:p>
      <w:pPr>
        <w:spacing w:after="140" w:line="276"/>
      </w:pPr>
      <w:r>
        <w:t xml:space="preserve">Monitor (uma leitura):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4E0" w:sz="4"/>
              <w:left w:val="single" w:color="00697A" w:sz="12"/>
              <w:bottom w:val="single" w:color="C9D4E0" w:sz="4"/>
              <w:right w:val="single" w:color="C9D4E0" w:sz="4"/>
            </w:tcBorders>
            <w:shd w:fill="F3F6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CLP  ──Modbus TCP──&gt;  ModbusClientTcp  ──&gt;  IHMInovance (mapas LW/LB)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──&gt;  ModbusMachineDataSource  ──&gt;  ModbusParser  ──&gt;  Machine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──&gt;  setState  ──&gt;  MonitorDetailScreen</w:t>
            </w:r>
          </w:p>
        </w:tc>
      </w:tr>
    </w:tbl>
    <w:p>
      <w:pPr>
        <w:spacing w:after="140" w:line="276"/>
      </w:pPr>
      <w:r>
        <w:t xml:space="preserve">TEX (fluxo contínuo):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4E0" w:sz="4"/>
              <w:left w:val="single" w:color="00697A" w:sz="12"/>
              <w:bottom w:val="single" w:color="C9D4E0" w:sz="4"/>
              <w:right w:val="single" w:color="C9D4E0" w:sz="4"/>
            </w:tcBorders>
            <w:shd w:fill="F3F6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CLP  ──Modbus TCP──&gt;  IHMInovance  ──&gt;  _ModbusTexSession (timer ~100ms)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──&gt;  TexSnapshot (ValueNotifier)  ──&gt;  ValueListenableBuilder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──&gt;  TexConsoleScreen / OperationView / IoView / DiagnosticsView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Comandos do operador  ──&gt;  session.start()/stop()/...  ──&gt;  escrita de coils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Estrutura de Pastas</w:t>
      </w:r>
    </w:p>
    <w:p>
      <w:pPr>
        <w:spacing w:after="140" w:line="276"/>
      </w:pPr>
      <w:r>
        <w:t xml:space="preserve">O código-fonte vive em lib/, organizado por responsabilidade: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4E0" w:sz="4"/>
              <w:left w:val="single" w:color="00697A" w:sz="12"/>
              <w:bottom w:val="single" w:color="C9D4E0" w:sz="4"/>
              <w:right w:val="single" w:color="C9D4E0" w:sz="4"/>
            </w:tcBorders>
            <w:shd w:fill="F3F6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lib/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├── main.dart                      Ponto de entrada; injeta as fontes de dados.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├── app/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└── app_config.dart            Configuração central (real/simulado, porta, polling).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├── core/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├── theme/app_theme.dart       Tema único (paleta + tokens TEX).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├── network/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│   ├── modbus_client_tcp.dart Cliente Modbus TCP/IP (socket cru).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│   └── ihm_inovance.dart      Camada IHM sobre o cliente (mapas LW/LB).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└── utils/validators.dart      Validação de IP.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├── models/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├── models.dart                Usuário, Máquina, OEE, tipo de máquina.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└── tex_models.dart            Fase, resultado, E/S, snapshot TEX.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├── services/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├── data_sources.dart          Contratos + registro global (AppDataSource).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├── auth/simulated_auth_source.dart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├── monitor/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│   ├── modbus_parser.dart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│   ├── simulated_machine_data_source.dart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│   └── modbus_machine_data_source.dart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├── tex/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│   ├── tex_register_map.dart   Tradução de TexData para a UI (bits, status, resultado).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│   ├── simulated_tex_data_source.dart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│   └── modbus_tex_data_source.dart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└── storage/storage_service.dart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├── screens/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├── login_screen.dart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├── machine_list_screen.dart    Lista; roteia por tipo de máquina.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├── add_machine_screen.dart     Cadastro com seletor de tipo.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├── monitor/monitor_detail_screen.dart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└── tex/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    ├── tex_console_screen.dart Casca do console (header, abas, alarme).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    ├── operation_view.dart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    ├── io_view.dart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│       └── diagnostics_view.dart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└── widgets/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├── section_label.dart          Rótulo de seção + ponto de status.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├── info_tile.dart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└── tex/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├── tex_panel.dart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├── led_indicator.dart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├── value_readout.dart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    └── tex_action_button.dart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Comunicação com os CLPs</w:t>
      </w:r>
    </w:p>
    <w:p>
      <w:pPr>
        <w:spacing w:after="140" w:line="276"/>
      </w:pPr>
      <w:r>
        <w:t xml:space="preserve">Toda a comunicação industrial usa Modbus TCP/IP, falado diretamente sobre um socket TCP. As duas áreas (monitor e TEX) compartilham exatamente a mesma pilha de rede — a diferença está apenas em quais endereços cada uma lê e escreve.</w:t>
      </w:r>
    </w:p>
    <w:p>
      <w:pPr>
        <w:pStyle w:val="Heading2"/>
      </w:pPr>
      <w:r>
        <w:t xml:space="preserve">4.1. Conexão por IP</w:t>
      </w:r>
    </w:p>
    <w:p>
      <w:pPr>
        <w:spacing w:after="140" w:line="276"/>
      </w:pPr>
      <w:r>
        <w:t xml:space="preserve">Cada máquina cadastrada tem um endereço IP. Ao precisar dos dados, o app abre uma conexão TCP para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IP:porta</w:t>
      </w:r>
      <w:r>
        <w:t xml:space="preserve"> (porta padrão 502). O IP é validado no cadastro por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IpValidator</w:t>
      </w:r>
      <w:r>
        <w:t xml:space="preserve"> e a conexão é gerenciada por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ModbusClientTcp</w:t>
      </w:r>
      <w:r>
        <w:t xml:space="preserve">.</w:t>
      </w:r>
    </w:p>
    <w:p>
      <w:pPr>
        <w:pStyle w:val="Heading2"/>
      </w:pPr>
      <w:r>
        <w:t xml:space="preserve">4.2. Enquadramento das mensagens (MBAP)</w:t>
      </w:r>
    </w:p>
    <w:p>
      <w:pPr>
        <w:spacing w:after="140" w:line="276"/>
      </w:pPr>
      <w:r>
        <w:t xml:space="preserve">Modbus TCP encapsula cada requisição em um cabeçalho MBAP de 7 bytes seguido da PDU (função + dados). O cliente monta esse quadro, numera cada transação com um Transaction ID crescente e usa esse identificador para casar a resposta com a requisição correta — essencial quando várias leituras acontecem em paralelo.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4660"/>
      </w:tblGrid>
      <w:tr>
        <w:trPr>
          <w:tblHeader/>
        </w:trPr>
        <w:tc>
          <w:tcPr>
            <w:tcW w:type="dxa" w:w="3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Campo do MBAP</w:t>
            </w:r>
          </w:p>
        </w:tc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Tamanho</w:t>
            </w:r>
          </w:p>
        </w:tc>
        <w:tc>
          <w:tcPr>
            <w:tcW w:type="dxa" w:w="4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Função</w:t>
            </w:r>
          </w:p>
        </w:tc>
      </w:tr>
      <w:tr>
        <w:tc>
          <w:tcPr>
            <w:tcW w:type="dxa" w:w="3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Transaction ID</w:t>
            </w:r>
          </w:p>
        </w:tc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2 bytes</w:t>
            </w:r>
          </w:p>
        </w:tc>
        <w:tc>
          <w:tcPr>
            <w:tcW w:type="dxa" w:w="4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Identifica a transação; a resposta repete o mesmo valor.</w:t>
            </w:r>
          </w:p>
        </w:tc>
      </w:tr>
      <w:tr>
        <w:tc>
          <w:tcPr>
            <w:tcW w:type="dxa" w:w="3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Protocol ID</w:t>
            </w:r>
          </w:p>
        </w:tc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2 bytes</w:t>
            </w:r>
          </w:p>
        </w:tc>
        <w:tc>
          <w:tcPr>
            <w:tcW w:type="dxa" w:w="4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Sempre 0 para Modbus.</w:t>
            </w:r>
          </w:p>
        </w:tc>
      </w:tr>
      <w:tr>
        <w:tc>
          <w:tcPr>
            <w:tcW w:type="dxa" w:w="3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Length</w:t>
            </w:r>
          </w:p>
        </w:tc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2 bytes</w:t>
            </w:r>
          </w:p>
        </w:tc>
        <w:tc>
          <w:tcPr>
            <w:tcW w:type="dxa" w:w="4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Número de bytes que seguem.</w:t>
            </w:r>
          </w:p>
        </w:tc>
      </w:tr>
      <w:tr>
        <w:tc>
          <w:tcPr>
            <w:tcW w:type="dxa" w:w="3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Unit ID</w:t>
            </w:r>
          </w:p>
        </w:tc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1 byte</w:t>
            </w:r>
          </w:p>
        </w:tc>
        <w:tc>
          <w:tcPr>
            <w:tcW w:type="dxa" w:w="4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Endereço do escravo (CLP) na rede.</w:t>
            </w:r>
          </w:p>
        </w:tc>
      </w:tr>
      <w:tr>
        <w:tc>
          <w:tcPr>
            <w:tcW w:type="dxa" w:w="3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PDU</w:t>
            </w:r>
          </w:p>
        </w:tc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variável</w:t>
            </w:r>
          </w:p>
        </w:tc>
        <w:tc>
          <w:tcPr>
            <w:tcW w:type="dxa" w:w="4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Código de função + dados (ex.: ler holding registers).</w:t>
            </w:r>
          </w:p>
        </w:tc>
      </w:tr>
    </w:tbl>
    <w:p>
      <w:pPr>
        <w:pStyle w:val="Heading2"/>
      </w:pPr>
      <w:r>
        <w:t xml:space="preserve">4.3. Funções Modbus utilizadas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660"/>
      </w:tblGrid>
      <w:tr>
        <w:trPr>
          <w:tblHeader/>
        </w:trPr>
        <w:tc>
          <w:tcPr>
            <w:tcW w:type="dxa" w:w="15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Código</w:t>
            </w:r>
          </w:p>
        </w:tc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Função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Uso no app</w:t>
            </w:r>
          </w:p>
        </w:tc>
      </w:tr>
      <w:tr>
        <w:tc>
          <w:tcPr>
            <w:tcW w:type="dxa" w:w="15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fn01 / fn02</w:t>
            </w:r>
          </w:p>
        </w:tc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Ler coils / entradas discretas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Bits de estado (E/S, diagnósticos da TEX).</w:t>
            </w:r>
          </w:p>
        </w:tc>
      </w:tr>
      <w:tr>
        <w:tc>
          <w:tcPr>
            <w:tcW w:type="dxa" w:w="15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fn03 / fn04</w:t>
            </w:r>
          </w:p>
        </w:tc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Ler holding / input registers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Valores numéricos (produção, OEE, pressão...).</w:t>
            </w:r>
          </w:p>
        </w:tc>
      </w:tr>
      <w:tr>
        <w:tc>
          <w:tcPr>
            <w:tcW w:type="dxa" w:w="15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fn05 / fn06</w:t>
            </w:r>
          </w:p>
        </w:tc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Escrever 1 coil / 1 registrador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Comandos do operador na bancada TEX.</w:t>
            </w:r>
          </w:p>
        </w:tc>
      </w:tr>
      <w:tr>
        <w:tc>
          <w:tcPr>
            <w:tcW w:type="dxa" w:w="15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fn15 / fn16</w:t>
            </w:r>
          </w:p>
        </w:tc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Escrever múltiplos coils / registradores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Disponível para escrita em lote.</w:t>
            </w:r>
          </w:p>
        </w:tc>
      </w:tr>
    </w:tbl>
    <w:p>
      <w:pPr>
        <w:pStyle w:val="Heading2"/>
      </w:pPr>
      <w:r>
        <w:t xml:space="preserve">4.4. Tratamento de erros, timeout e reconexão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Timeout: </w:t>
      </w:r>
      <w:r>
        <w:t xml:space="preserve">cada requisição tem um tempo-limite de resposta (2 s na IHM). Se o CLP não responde, a transação falha e a máquina é marcada como “sem comunicação”.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Reconexão automática: </w:t>
      </w:r>
      <w:r>
        <w:t xml:space="preserve">se o socket cai, a próxima requisição reabre a conexão. No monitor, a fonte real recria a IHM quando detecta queda.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Serialização de envios: </w:t>
      </w:r>
      <w:r>
        <w:t xml:space="preserve">um lock assíncrono garante que apenas uma requisição use o socket por vez, evitando intercalar bytes de quadros diferentes.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Estado preservado: </w:t>
      </w:r>
      <w:r>
        <w:t xml:space="preserve">quando há falha, o monitor mantém na tela os últimos valores válidos e exibe um aviso, em vez de zerar os indicadores.</w:t>
      </w:r>
    </w:p>
    <w:p>
      <w:pPr>
        <w:pStyle w:val="Heading2"/>
      </w:pPr>
      <w:r>
        <w:t xml:space="preserve">4.5. A camada IHM</w:t>
      </w:r>
    </w:p>
    <w:p>
      <w:pPr>
        <w:spacing w:after="140" w:line="276"/>
      </w:pPr>
      <w:r>
        <w:t xml:space="preserve">Sobre o cliente Modbus há o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IHMInovance</w:t>
      </w:r>
      <w:r>
        <w:t xml:space="preserve">, que reproduz a forma de acesso de uma IHM Inovance: mapas observáveis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LW</w:t>
      </w:r>
      <w:r>
        <w:t xml:space="preserve"> (holding registers, valores) e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LB</w:t>
      </w:r>
      <w:r>
        <w:t xml:space="preserve"> (coils, bits). A IHM conecta uma vez e mantém leituras contínuas em segundo plano; as fontes de dados leem direto desses mapas, sem reabrir socket a cada consulta. Para escrever, usam-se os mapas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Write_LW</w:t>
      </w:r>
      <w:r>
        <w:t xml:space="preserve"> e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Write_LB</w:t>
      </w:r>
      <w:r>
        <w:t xml:space="preserve">.</w:t>
      </w:r>
    </w:p>
    <w:p>
      <w:pPr>
        <w:pStyle w:val="Heading2"/>
      </w:pPr>
      <w:r>
        <w:t xml:space="preserve">4.6. Mapa de registradores — Monitor</w:t>
      </w:r>
    </w:p>
    <w:p>
      <w:pPr>
        <w:spacing w:after="140" w:line="276"/>
      </w:pPr>
      <w:r>
        <w:t xml:space="preserve">A fonte do monitor lê um bloco de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26</w:t>
      </w:r>
      <w:r>
        <w:t xml:space="preserve"> registradores e o entrega ao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ModbusParser</w:t>
      </w:r>
      <w:r>
        <w:t xml:space="preserve">. O layout é o contrato entre o app e a programação do CLP: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00"/>
        <w:gridCol w:w="3660"/>
      </w:tblGrid>
      <w:tr>
        <w:trPr>
          <w:tblHeader/>
        </w:trPr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Índice (LW)</w:t>
            </w:r>
          </w:p>
        </w:tc>
        <w:tc>
          <w:tcPr>
            <w:tcW w:type="dxa" w:w="4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4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Status da máquina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0 = parada, 1 = em ciclo, 2 = manutenção.</w:t>
            </w:r>
          </w:p>
        </w:tc>
      </w:tr>
      <w:tr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1 e 2</w:t>
            </w:r>
          </w:p>
        </w:tc>
        <w:tc>
          <w:tcPr>
            <w:tcW w:type="dxa" w:w="4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Produção do dia (32 bits)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Parte baixa e parte alta combinadas.</w:t>
            </w:r>
          </w:p>
        </w:tc>
      </w:tr>
      <w:tr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Produção do ciclo atual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Peças no lote corrente.</w:t>
            </w:r>
          </w:p>
        </w:tc>
      </w:tr>
      <w:tr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OEE geral × 10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Ex.: 856 → 85,6%.</w:t>
            </w:r>
          </w:p>
        </w:tc>
      </w:tr>
      <w:tr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Disponibilidade × 10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Mesma escala.</w:t>
            </w:r>
          </w:p>
        </w:tc>
      </w:tr>
      <w:tr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Performance × 10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Mesma escala.</w:t>
            </w:r>
          </w:p>
        </w:tc>
      </w:tr>
      <w:tr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Qualidade × 10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Mesma escala.</w:t>
            </w:r>
          </w:p>
        </w:tc>
      </w:tr>
      <w:tr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Código do produto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Resolvido por catálogo para nome.</w:t>
            </w:r>
          </w:p>
        </w:tc>
      </w:tr>
      <w:tr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4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Código do operador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Resolvido por catálogo para nome.</w:t>
            </w:r>
          </w:p>
        </w:tc>
      </w:tr>
      <w:tr>
        <w:tc>
          <w:tcPr>
            <w:tcW w:type="dxa" w:w="17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10–25</w:t>
            </w:r>
          </w:p>
        </w:tc>
        <w:tc>
          <w:tcPr>
            <w:tcW w:type="dxa" w:w="40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8 pares (hora, produção)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Produção hora a hora do turno corrente.</w:t>
            </w:r>
          </w:p>
        </w:tc>
      </w:tr>
    </w:tbl>
    <w:p>
      <w:pPr>
        <w:pStyle w:val="Heading2"/>
      </w:pPr>
      <w:r>
        <w:t xml:space="preserve">4.7. Mapa de registradores — Bancada TEX</w:t>
      </w:r>
    </w:p>
    <w:p>
      <w:pPr>
        <w:spacing w:after="140" w:line="276"/>
      </w:pPr>
      <w:r>
        <w:t xml:space="preserve">Diferente das versões anteriores — em que o mapa da TEX era apenas um contrato hipotético, pois o app nunca havia lido um CLP — este mapa foi verificado contra o equipamento físico (TEX “Anel Hídrico”). A decodificação dos registradores vive em models/tex_data.dart (função registersToTexData); a tradução para a interface fica em services/tex/tex_register_map.dart.</w:t>
      </w:r>
    </w:p>
    <w:p>
      <w:pPr>
        <w:spacing w:after="140" w:line="276"/>
      </w:pPr>
      <w:r>
        <w:t xml:space="preserve">A fonte real lê continuamente um bloco de 35 holding registers a partir do endereço 0. Os registradores chegam crus (sem byte-swap); os valores de ponto flutuante são remontados em little-endian a partir de dois registradores de 16 bits (palavra baixa primeiro).</w:t>
      </w:r>
    </w:p>
    <w:p>
      <w:pPr>
        <w:spacing w:after="140" w:line="276"/>
      </w:pPr>
      <w:r>
        <w:rPr>
          <w:b/>
          <w:bCs/>
        </w:rPr>
        <w:t xml:space="preserve">Leitura </w:t>
      </w:r>
      <w:r>
        <w:t xml:space="preserve">(holding registers, a partir do endereço 0):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300"/>
        <w:gridCol w:w="3660"/>
      </w:tblGrid>
      <w:tr>
        <w:trPr>
          <w:tblHeader/>
        </w:trP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Endereço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Escala / Observação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Controle (control)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Bitfield de controle; recebe os comandos.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Saídas digitais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Bitfield — bit 1 APROVA, bit 2 REPROVA, bit 7 BUSY.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BCD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Código BCD selecionado (também escrito pelo operador).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Saídas auxiliares (output plus)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Bitfield complementar.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4–5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Tempo de teste (INT32)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Palavra baixa em 4, alta em 5; ÷10 → segundos.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9–10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Pressão de teste (FLOAT32)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Palavra baixa em 9; em bar.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11–12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Vazamento / vazão (FLOAT32)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Palavra baixa em 11.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Unidade de pressão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Código da unidade.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Unidade de vazamento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Código da unidade.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Diagnóstico de válvulas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Bitfield (auto-check).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Diagnóstico de E/S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Bitfield (diagnóstico de saída).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Espelho do controle (control mirror)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Reflete o controle corrente.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Status do teste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0 = parado; ≠ 0 = em andamento.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Câmara atual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Inteiro.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Lista de parâmetros atual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Inteiro.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23–28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Lote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6 caracteres ASCII (byte baixo de cada registrador).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29–30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Pressão diferencial (FLOAT32)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Palavra baixa em 29.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31–32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Pressão de retorno (FLOAT32)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Palavra baixa em 31.</w:t>
            </w:r>
          </w:p>
        </w:tc>
      </w:tr>
      <w:tr>
        <w:tc>
          <w:tcPr>
            <w:tcW w:type="dxa" w:w="14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43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Unidade da pressão de retorno</w:t>
            </w:r>
          </w:p>
        </w:tc>
        <w:tc>
          <w:tcPr>
            <w:tcW w:type="dxa" w:w="36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Código da unidade.</w:t>
            </w:r>
          </w:p>
        </w:tc>
      </w:tr>
    </w:tbl>
    <w:p>
      <w:pPr>
        <w:spacing w:after="140" w:line="276"/>
      </w:pPr>
      <w:r>
        <w:rPr>
          <w:b/>
          <w:bCs/>
        </w:rPr>
        <w:t xml:space="preserve">Comandos </w:t>
      </w:r>
      <w:r>
        <w:t xml:space="preserve">(escrita de registrador único — fn06):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160"/>
      </w:tblGrid>
      <w:tr>
        <w:trPr>
          <w:tblHeader/>
        </w:trPr>
        <w:tc>
          <w:tcPr>
            <w:tcW w:type="dxa" w:w="2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Registrador</w:t>
            </w:r>
          </w:p>
        </w:tc>
        <w:tc>
          <w:tcPr>
            <w:tcW w:type="dxa" w:w="1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Valor</w:t>
            </w:r>
          </w:p>
        </w:tc>
        <w:tc>
          <w:tcPr>
            <w:tcW w:type="dxa" w:w="51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Ação</w:t>
            </w:r>
          </w:p>
        </w:tc>
      </w:tr>
      <w:tr>
        <w:tc>
          <w:tcPr>
            <w:tcW w:type="dxa" w:w="2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0 (controle)</w:t>
            </w:r>
          </w:p>
        </w:tc>
        <w:tc>
          <w:tcPr>
            <w:tcW w:type="dxa" w:w="1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1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START — inicia o teste.</w:t>
            </w:r>
          </w:p>
        </w:tc>
      </w:tr>
      <w:tr>
        <w:tc>
          <w:tcPr>
            <w:tcW w:type="dxa" w:w="2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0 (controle)</w:t>
            </w:r>
          </w:p>
        </w:tc>
        <w:tc>
          <w:tcPr>
            <w:tcW w:type="dxa" w:w="1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STOP — interrompe o teste.</w:t>
            </w:r>
          </w:p>
        </w:tc>
      </w:tr>
      <w:tr>
        <w:tc>
          <w:tcPr>
            <w:tcW w:type="dxa" w:w="2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2 (BCD)</w:t>
            </w:r>
          </w:p>
        </w:tc>
        <w:tc>
          <w:tcPr>
            <w:tcW w:type="dxa" w:w="1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0–15</w:t>
            </w:r>
          </w:p>
        </w:tc>
        <w:tc>
          <w:tcPr>
            <w:tcW w:type="dxa" w:w="51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Seleciona o código BCD na bancada.</w:t>
            </w:r>
          </w:p>
        </w:tc>
      </w:tr>
    </w:tbl>
    <w:p>
      <w:pPr>
        <w:spacing w:after="140" w:line="276"/>
      </w:pPr>
      <w:r>
        <w:t xml:space="preserve">Câmara e quantidade de testes por câmara são configuração local do app (persistida por máquina via StorageService); ainda não há registrador confirmado no CLP para esses parâmetros.</w:t>
      </w:r>
    </w:p>
    <w:p>
      <w:pPr>
        <w:pStyle w:val="Heading1"/>
      </w:pPr>
      <w:r>
        <w:t xml:space="preserve">5. Funcionalidades por Tela</w:t>
      </w:r>
    </w:p>
    <w:p>
      <w:pPr>
        <w:pStyle w:val="Heading2"/>
      </w:pPr>
      <w:r>
        <w:t xml:space="preserve">5.1. Login</w:t>
      </w:r>
    </w:p>
    <w:p>
      <w:pPr>
        <w:spacing w:after="140" w:line="276"/>
      </w:pPr>
      <w:r>
        <w:t xml:space="preserve">Autentica via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AppDataSource.auth</w:t>
      </w:r>
      <w:r>
        <w:t xml:space="preserve">. Em caso de sucesso, salva a sessão e segue para a lista. Na fase de simulação, qualquer usuário não vazio com senha de 4+ caracteres entra com um perfil de exemplo.</w:t>
      </w:r>
    </w:p>
    <w:p>
      <w:pPr>
        <w:pStyle w:val="Heading2"/>
      </w:pPr>
      <w:r>
        <w:t xml:space="preserve">5.2. Lista de máquinas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Mostra todas as máquinas cadastradas em lista (telefone) ou grade (tablet).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Faz polling em segundo plano apenas das máquinas tipo monitor, preservando a posição de cada uma; as bancadas TEX ficam neutras (são abertas sob demanda).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Cabeçalho com saudação e contadores (monitores, em ciclo, paradas); faixa de aviso quando há máquinas sem comunicação.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Cada item exibe um selo do tipo (Monitor/TEX). Ao tocar, encaminha para a tela correta.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Pausa o polling ao navegar para um detalhe e o retoma ao voltar, além de pausar quando o app vai para segundo plano.</w:t>
      </w:r>
    </w:p>
    <w:p>
      <w:pPr>
        <w:pStyle w:val="Heading2"/>
      </w:pPr>
      <w:r>
        <w:t xml:space="preserve">5.3. Cadastro de máquina</w:t>
      </w:r>
    </w:p>
    <w:p>
      <w:pPr>
        <w:spacing w:after="140" w:line="276"/>
      </w:pPr>
      <w:r>
        <w:t xml:space="preserve">Formulário com seletor de tipo (Monitor ou TEX), nome e IP. O IP é validado por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IpValidator</w:t>
      </w:r>
      <w:r>
        <w:t xml:space="preserve">. O tipo escolhido define a tela de detalhe e a fonte de dados.</w:t>
      </w:r>
    </w:p>
    <w:p>
      <w:pPr>
        <w:pStyle w:val="Heading2"/>
      </w:pPr>
      <w:r>
        <w:t xml:space="preserve">5.4. Detalhe do Monitor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Card de status com ícone, rótulo e IP.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Seção de OEE com quatro indicadores (geral, disponibilidade, performance, qualidade), cada um colorido por faixa (verde ≥ 85%, amarelo ≥ 60%, vermelho abaixo).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Card de produção (dia e ciclo).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Gráfico de barras da produção por hora do turno (fl_chart).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Indicador de “última atualização” e aviso destacado quando sem comunicação.</w:t>
      </w:r>
    </w:p>
    <w:p>
      <w:pPr>
        <w:pStyle w:val="Heading2"/>
      </w:pPr>
      <w:r>
        <w:t xml:space="preserve">5.5. Console TEX</w:t>
      </w:r>
    </w:p>
    <w:p>
      <w:pPr>
        <w:spacing w:after="140" w:line="276"/>
      </w:pPr>
      <w:r>
        <w:t xml:space="preserve">Casca com cabeçalho (nome da máquina, programa e relógio ao vivo), três abas e barra de alarme no rodapé. Cria a sessão no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initState</w:t>
      </w:r>
      <w:r>
        <w:t xml:space="preserve"> e a descarta no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dispose</w:t>
      </w:r>
      <w:r>
        <w:t xml:space="preserve">, garantindo que timers e sockets não vazem ao sair.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Operação: </w:t>
      </w:r>
      <w:r>
        <w:t xml:space="preserve">painel de setup (seletores de BCD — enviado ao CLP —, câmara e testes por câmara), barra de progresso com status/tempo, leituras grandes de pressão e vazamento, e botões START / STOP / BLOQUEIO ESCAPE. Layout lado a lado em telas largas, empilhado em telas estreitas.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Entradas/Saídas: </w:t>
      </w:r>
      <w:r>
        <w:t xml:space="preserve">dois painéis de LEDs refletindo os bits digitais lidos do CLP.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Diagnósticos: </w:t>
      </w:r>
      <w:r>
        <w:t xml:space="preserve">painéis de auto-check e diagnóstico; LEDs acendem em vermelho quando há falha.</w:t>
      </w:r>
    </w:p>
    <w:p>
      <w:r>
        <w:br w:type="page"/>
      </w:r>
    </w:p>
    <w:p>
      <w:pPr>
        <w:pStyle w:val="Heading1"/>
      </w:pPr>
      <w:r>
        <w:t xml:space="preserve">6. Padrões de Projeto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Padrão</w:t>
            </w:r>
          </w:p>
        </w:tc>
        <w:tc>
          <w:tcPr>
            <w:tcW w:type="dxa" w:w="67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Onde aparece</w:t>
            </w:r>
          </w:p>
        </w:tc>
      </w:tr>
      <w:tr>
        <w:tc>
          <w:tcPr>
            <w:tcW w:type="dxa" w:w="2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Inversão de dependência</w:t>
            </w:r>
          </w:p>
        </w:tc>
        <w:tc>
          <w:tcPr>
            <w:tcW w:type="dxa" w:w="67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Telas dependem das interfaces em data_sources.dart, não das implementações.</w:t>
            </w:r>
          </w:p>
        </w:tc>
      </w:tr>
      <w:tr>
        <w:tc>
          <w:tcPr>
            <w:tcW w:type="dxa" w:w="2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Strategy</w:t>
            </w:r>
          </w:p>
        </w:tc>
        <w:tc>
          <w:tcPr>
            <w:tcW w:type="dxa" w:w="67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Simulação e Modbus real são estratégias intercambiáveis da mesma interface.</w:t>
            </w:r>
          </w:p>
        </w:tc>
      </w:tr>
      <w:tr>
        <w:tc>
          <w:tcPr>
            <w:tcW w:type="dxa" w:w="2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Injeção de dependência</w:t>
            </w:r>
          </w:p>
        </w:tc>
        <w:tc>
          <w:tcPr>
            <w:tcW w:type="dxa" w:w="67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AppDataSource.init() injeta as implementações ativas a partir do main().</w:t>
            </w:r>
          </w:p>
        </w:tc>
      </w:tr>
      <w:tr>
        <w:tc>
          <w:tcPr>
            <w:tcW w:type="dxa" w:w="2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Singleton de acesso</w:t>
            </w:r>
          </w:p>
        </w:tc>
        <w:tc>
          <w:tcPr>
            <w:tcW w:type="dxa" w:w="67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AppDataSource e AppConfig centralizam acesso e configuração.</w:t>
            </w:r>
          </w:p>
        </w:tc>
      </w:tr>
      <w:tr>
        <w:tc>
          <w:tcPr>
            <w:tcW w:type="dxa" w:w="2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Objeto imutável + copyWith</w:t>
            </w:r>
          </w:p>
        </w:tc>
        <w:tc>
          <w:tcPr>
            <w:tcW w:type="dxa" w:w="67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Machine e TexSnapshot são imutáveis; mudanças geram cópias controladas.</w:t>
            </w:r>
          </w:p>
        </w:tc>
      </w:tr>
      <w:tr>
        <w:tc>
          <w:tcPr>
            <w:tcW w:type="dxa" w:w="2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Observador</w:t>
            </w:r>
          </w:p>
        </w:tc>
        <w:tc>
          <w:tcPr>
            <w:tcW w:type="dxa" w:w="67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ValueNotifier/ValueListenable no console TEX; ValueListenableBuilder reconstrói a UI.</w:t>
            </w:r>
          </w:p>
        </w:tc>
      </w:tr>
      <w:tr>
        <w:tc>
          <w:tcPr>
            <w:tcW w:type="dxa" w:w="2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Adapter / camada anticorrupção</w:t>
            </w:r>
          </w:p>
        </w:tc>
        <w:tc>
          <w:tcPr>
            <w:tcW w:type="dxa" w:w="67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IHMInovance adapta o cliente Modbus cru à forma de acesso por mapas LW/LB.</w:t>
            </w:r>
          </w:p>
        </w:tc>
      </w:tr>
      <w:tr>
        <w:tc>
          <w:tcPr>
            <w:tcW w:type="dxa" w:w="26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Mapa de registradores como contrato</w:t>
            </w:r>
          </w:p>
        </w:tc>
        <w:tc>
          <w:tcPr>
            <w:tcW w:type="dxa" w:w="67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tex_register_map.dart e o layout do ModbusParser isolam o app dos endereços do CLP.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Manutenção e Extensão</w:t>
      </w:r>
    </w:p>
    <w:p>
      <w:pPr>
        <w:pStyle w:val="Heading2"/>
      </w:pPr>
      <w:r>
        <w:t xml:space="preserve">7.1. Alternar entre CLP real e simulação</w:t>
      </w:r>
    </w:p>
    <w:p>
      <w:pPr>
        <w:spacing w:after="140" w:line="276"/>
      </w:pPr>
      <w:r>
        <w:t xml:space="preserve">Mude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useRealModbus</w:t>
      </w:r>
      <w:r>
        <w:t xml:space="preserve"> em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lib/app/app_config.dart</w:t>
      </w:r>
      <w:r>
        <w:t xml:space="preserve">. Com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true</w:t>
      </w:r>
      <w:r>
        <w:t xml:space="preserve">, o app conecta nos CLPs; com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false</w:t>
      </w:r>
      <w:r>
        <w:t xml:space="preserve">, usa as fontes simuladas (úteis para desenvolvimento sem hardware). Nenhuma tela muda.</w:t>
      </w:r>
    </w:p>
    <w:p>
      <w:pPr>
        <w:pStyle w:val="Heading2"/>
      </w:pPr>
      <w:r>
        <w:t xml:space="preserve">7.2. Adicionar um novo tipo de máquina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Acrescente um valor ao enum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MachineType</w:t>
      </w:r>
      <w:r>
        <w:t xml:space="preserve"> em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models/models.dart</w:t>
      </w:r>
      <w:r>
        <w:t xml:space="preserve"> e ajuste os rótulos da extensão.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Crie a fonte de dados do novo tipo (implementando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MachineDataSource</w:t>
      </w:r>
      <w:r>
        <w:t xml:space="preserve"> ou um contrato próprio como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TexDataSource</w:t>
      </w:r>
      <w:r>
        <w:t xml:space="preserve">) e injete-a em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AppDataSource.init()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Crie a tela de detalhe e trate o novo caso em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MachineListScreen._openMachine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Se houver comunicação Modbus, crie um mapa de registradores no estilo de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tex_register_map.dart</w:t>
      </w:r>
      <w:r>
        <w:t xml:space="preserve">.</w:t>
      </w:r>
    </w:p>
    <w:p>
      <w:pPr>
        <w:spacing w:after="140" w:line="276"/>
      </w:pPr>
      <w:r>
        <w:t xml:space="preserve">O cadastro, a lista e a persistência já são genéricos e não precisam de alteração.</w:t>
      </w:r>
    </w:p>
    <w:p>
      <w:pPr>
        <w:pStyle w:val="Heading2"/>
      </w:pPr>
      <w:r>
        <w:t xml:space="preserve">7.3. Adicionar uma nova tela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Crie o arquivo em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lib/screens/</w:t>
      </w:r>
      <w:r>
        <w:t xml:space="preserve"> (ou subpasta do domínio).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Use os widgets compartilhados (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SectionLabel</w:t>
      </w:r>
      <w:r>
        <w:t xml:space="preserve">,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InfoTile</w:t>
      </w:r>
      <w:r>
        <w:t xml:space="preserve">, painéis TEX) e os tokens do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AppTheme</w:t>
      </w:r>
      <w:r>
        <w:t xml:space="preserve"> para manter a identidade visual.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Navegue até ela com Navigator.push a partir da tela de origem.</w:t>
      </w:r>
    </w:p>
    <w:p>
      <w:pPr>
        <w:pStyle w:val="Heading2"/>
      </w:pPr>
      <w:r>
        <w:t xml:space="preserve">7.4. Expandir o mapa de registradores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Adicione a constante de endereço no mapa correspondente (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tex_register_map.dart</w:t>
      </w:r>
      <w:r>
        <w:t xml:space="preserve"> ou os índices do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ModbusParser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Leia o novo valor na fonte de dados real e inclua-o no modelo/snapshot.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Atualize a fonte simulada para gerar o mesmo campo, mantendo simulação e real equivalentes.</w:t>
      </w:r>
    </w:p>
    <w:p>
      <w:pPr>
        <w:pStyle w:val="Heading2"/>
      </w:pPr>
      <w:r>
        <w:t xml:space="preserve">7.5. Ajustar intervalos de atualização</w:t>
      </w:r>
    </w:p>
    <w:p>
      <w:pPr>
        <w:spacing w:after="140" w:line="276"/>
      </w:pPr>
      <w:r>
        <w:t xml:space="preserve">Os intervalos de polling do monitor e a cadência do console TEX vivem em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AppConfig</w:t>
      </w:r>
      <w:r>
        <w:t xml:space="preserve"> (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listPollInterval</w:t>
      </w:r>
      <w:r>
        <w:t xml:space="preserve">,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detailPollInterval</w:t>
      </w:r>
      <w:r>
        <w:t xml:space="preserve">,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texRefreshInterval</w:t>
      </w:r>
      <w:r>
        <w:t xml:space="preserve">).</w:t>
      </w:r>
    </w:p>
    <w:p>
      <w:r>
        <w:br w:type="page"/>
      </w:r>
    </w:p>
    <w:p>
      <w:pPr>
        <w:pStyle w:val="Heading1"/>
      </w:pPr>
      <w:r>
        <w:t xml:space="preserve">8. Explicação de Código Crítico</w:t>
      </w:r>
    </w:p>
    <w:p>
      <w:pPr>
        <w:pStyle w:val="Heading2"/>
      </w:pPr>
      <w:r>
        <w:t xml:space="preserve">8.1. ModbusParser — do registrador ao modelo</w:t>
      </w:r>
    </w:p>
    <w:p>
      <w:pPr>
        <w:spacing w:after="140" w:line="276"/>
      </w:pPr>
      <w:r>
        <w:t xml:space="preserve">O parser recebe a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Machine</w:t>
      </w:r>
      <w:r>
        <w:t xml:space="preserve"> base e a lista de registradores e devolve uma nova máquina preenchida. Validações garantem o tamanho do bloco; valores de OEE chegam multiplicados por 10 e são divididos; a produção do dia é remontada a partir de duas palavras de 16 bits; códigos de produto e operador são resolvidos por catálogos. Repare no uso de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copyWith</w:t>
      </w:r>
      <w:r>
        <w:t xml:space="preserve">, que evita reconstruir a máquina campo a campo: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4E0" w:sz="4"/>
              <w:left w:val="single" w:color="00697A" w:sz="12"/>
              <w:bottom w:val="single" w:color="C9D4E0" w:sz="4"/>
              <w:right w:val="single" w:color="C9D4E0" w:sz="4"/>
            </w:tcBorders>
            <w:shd w:fill="F3F6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final atualizada = base.copyWith(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status: _parseStatus(regs[_iStatus]),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conexao: ConnectionStatus.ok,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producaoDia: (regs[_iProdDiaHigh] &lt;&lt; 16) | regs[_iProdDiaLow],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oee: OEEData(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oeeGeral: _scale10(regs[_iOeeGeral]),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disponibilidade: _scale10(regs[_iDisp]),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performance: _scale10(regs[_iPerf]),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  qualidade: _scale10(regs[_iQual]),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  producaoPorHora: horas,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A2733"/>
                <w:sz w:val="18"/>
                <w:szCs w:val="18"/>
              </w:rPr>
              <w:t xml:space="preserve">);</w:t>
            </w:r>
          </w:p>
        </w:tc>
      </w:tr>
    </w:tbl>
    <w:p>
      <w:pPr>
        <w:pStyle w:val="Heading2"/>
      </w:pPr>
      <w:r>
        <w:t xml:space="preserve">8.2. ModbusClientTcp — casando resposta com requisição</w:t>
      </w:r>
    </w:p>
    <w:p>
      <w:pPr>
        <w:spacing w:after="140" w:line="276"/>
      </w:pPr>
      <w:r>
        <w:t xml:space="preserve">O cliente numera cada transação e guarda um “pendente” por Transaction ID. Quando chegam bytes, ele desmonta o MBAP, encontra o pendente correspondente e o completa. Um lock assíncrono serializa os envios para que dois quadros não se misturem no mesmo socket, e um timer dispara o timeout se a resposta não chega.</w:t>
      </w:r>
    </w:p>
    <w:p>
      <w:pPr>
        <w:pStyle w:val="Heading2"/>
      </w:pPr>
      <w:r>
        <w:t xml:space="preserve">8.3. IHMInovance — leitura contínua e escrita observável</w:t>
      </w:r>
    </w:p>
    <w:p>
      <w:pPr>
        <w:spacing w:after="140" w:line="276"/>
      </w:pPr>
      <w:r>
        <w:t xml:space="preserve">A IHM inicia streams de leitura contínua de coils e holding registers, atualizando os mapas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LB</w:t>
      </w:r>
      <w:r>
        <w:t xml:space="preserve"> e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LW</w:t>
      </w:r>
      <w:r>
        <w:t xml:space="preserve">. As fontes de dados apenas consultam esses mapas. Já os mapas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Write_LB</w:t>
      </w:r>
      <w:r>
        <w:t xml:space="preserve"> e 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Write_LW</w:t>
      </w:r>
      <w:r>
        <w:t xml:space="preserve"> disparam a escrita no CLP quando recebem um valor novo — por isso o comando de um botão é, no fundo, uma atribuição a uma posição de mapa.</w:t>
      </w:r>
    </w:p>
    <w:p>
      <w:pPr>
        <w:pStyle w:val="Heading2"/>
      </w:pPr>
      <w:r>
        <w:t xml:space="preserve">8.4. Sessão TEX — uma instância por IP, comandos por registrador</w:t>
      </w:r>
    </w:p>
    <w:p>
      <w:pPr>
        <w:spacing w:after="140" w:line="276"/>
      </w:pPr>
      <w:r>
        <w:t xml:space="preserve">Cada bancada cadastrada abre a sua própria sessão (ModbusTexDataSource.connect), dona de uma instância de TexG4 ligada ao IP daquela máquina. Não há mais singleton global: abrir duas bancadas (TEX 1, TEX 2…) significa duas conexões independentes, sem estado compartilhado — antes, o singleton impedia operar mais de uma TEX ao mesmo tempo.</w:t>
      </w:r>
    </w:p>
    <w:p>
      <w:pPr>
        <w:spacing w:after="140" w:line="276"/>
      </w:pPr>
      <w:r>
        <w:t xml:space="preserve">Os comandos do operador são escritas de registrador único (fn06) no registrador de controle (0): START grava 8 e STOP grava 4; a seleção de BCD grava o código no registrador 2. A leitura contínua (bloco de 35 registradores) é convertida em TexSnapshot e publicada via ValueNotifier, e a tela se reconstrói com ValueListenableBuilder.</w:t>
      </w:r>
    </w:p>
    <w:p>
      <w:pPr>
        <w:pStyle w:val="Heading2"/>
      </w:pPr>
      <w:r>
        <w:t xml:space="preserve">8.5. Polling que não se atropela</w:t>
      </w:r>
    </w:p>
    <w:p>
      <w:pPr>
        <w:spacing w:after="140" w:line="276"/>
      </w:pPr>
      <w:r>
        <w:t xml:space="preserve">Tanto a lista quanto o detalhe usam uma trava simples (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_polling</w:t>
      </w:r>
      <w:r>
        <w:t xml:space="preserve">/</w:t>
      </w:r>
      <w:r>
        <w:rPr>
          <w:rFonts w:ascii="Consolas" w:cs="Consolas" w:eastAsia="Consolas" w:hAnsi="Consolas"/>
          <w:color w:val="1A2733"/>
          <w:sz w:val="19"/>
          <w:szCs w:val="19"/>
        </w:rPr>
        <w:t xml:space="preserve">_refreshing</w:t>
      </w:r>
      <w:r>
        <w:t xml:space="preserve">) para ignorar um novo ciclo enquanto o anterior ainda não terminou. Isso evita acumular requisições quando a rede está lenta. Além disso, o polling é pausado quando o app vai para segundo plano e quando o usuário entra em uma tela de detalhe.</w:t>
      </w:r>
    </w:p>
    <w:p>
      <w:r>
        <w:br w:type="page"/>
      </w:r>
    </w:p>
    <w:p>
      <w:pPr>
        <w:pStyle w:val="Heading1"/>
      </w:pPr>
      <w:r>
        <w:t xml:space="preserve">9. Correções e Limpezas na Unificação</w:t>
      </w:r>
    </w:p>
    <w:p>
      <w:pPr>
        <w:spacing w:after="140" w:line="276"/>
      </w:pPr>
      <w:r>
        <w:t xml:space="preserve">Durante a unificação, além da reorganização, foram corrigidos problemas que existiam nos projetos originais: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Problema</w:t>
            </w:r>
          </w:p>
        </w:tc>
        <w:tc>
          <w:tcPr>
            <w:tcW w:type="dxa" w:w="51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D5E1F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6324F"/>
                <w:sz w:val="19"/>
                <w:szCs w:val="19"/>
              </w:rPr>
              <w:t xml:space="preserve">Correção</w:t>
            </w:r>
          </w:p>
        </w:tc>
      </w:tr>
      <w:tr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 app apagava os dados salvos a cada inicialização (prefs.clear() esquecido do debug).</w:t>
            </w:r>
          </w:p>
        </w:tc>
        <w:tc>
          <w:tcPr>
            <w:tcW w:type="dxa" w:w="51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Removido; as máquinas e a sessão passam a persistir corretamente.</w:t>
            </w:r>
          </w:p>
        </w:tc>
      </w:tr>
      <w:tr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Mapa da IHM inicializava os bits sobrescrevendo os padrões com zero num laço duplicado.</w:t>
            </w:r>
          </w:p>
        </w:tc>
        <w:tc>
          <w:tcPr>
            <w:tcW w:type="dxa" w:w="51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Inicialização única e correta dos valores.</w:t>
            </w:r>
          </w:p>
        </w:tc>
      </w:tr>
      <w:tr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 IHM usava print() para erros.</w:t>
            </w:r>
          </w:p>
        </w:tc>
        <w:tc>
          <w:tcPr>
            <w:tcW w:type="dxa" w:w="51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Substituído pelo logger padrão.</w:t>
            </w:r>
          </w:p>
        </w:tc>
      </w:tr>
      <w:tr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Campos mortos/mal rotulados na IHM (registradores de entrada nunca usados).</w:t>
            </w:r>
          </w:p>
        </w:tc>
        <w:tc>
          <w:tcPr>
            <w:tcW w:type="dxa" w:w="51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Limpeza; mantidos apenas coils e holding registers efetivamente lidos.</w:t>
            </w:r>
          </w:p>
        </w:tc>
      </w:tr>
      <w:tr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Flag real/simulado espalhada em constantes soltas.</w:t>
            </w:r>
          </w:p>
        </w:tc>
        <w:tc>
          <w:tcPr>
            <w:tcW w:type="dxa" w:w="51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Centralizada em AppConfig.</w:t>
            </w:r>
          </w:p>
        </w:tc>
      </w:tr>
      <w:tr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Mistura de finais de linha (CRLF/LF) entre os projetos.</w:t>
            </w:r>
          </w:p>
        </w:tc>
        <w:tc>
          <w:tcPr>
            <w:tcW w:type="dxa" w:w="51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Normalizado para LF em todo o código.</w:t>
            </w:r>
          </w:p>
        </w:tc>
      </w:tr>
      <w:tr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Máquina reconstruída campo a campo em duas fontes de dados.</w:t>
            </w:r>
          </w:p>
        </w:tc>
        <w:tc>
          <w:tcPr>
            <w:tcW w:type="dxa" w:w="51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Adicionado Machine.copyWith, eliminando a duplicação.</w:t>
            </w:r>
          </w:p>
        </w:tc>
      </w:tr>
      <w:tr>
        <w:tc>
          <w:tcPr>
            <w:tcW w:type="dxa" w:w="420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Provider e google_fonts como dependências da TEX.</w:t>
            </w:r>
          </w:p>
        </w:tc>
        <w:tc>
          <w:tcPr>
            <w:tcW w:type="dxa" w:w="5160"/>
            <w:tcBorders>
              <w:top w:val="single" w:color="C9D4E0" w:sz="2"/>
              <w:left w:val="single" w:color="C9D4E0" w:sz="2"/>
              <w:bottom w:val="single" w:color="C9D4E0" w:sz="2"/>
              <w:right w:val="single" w:color="C9D4E0" w:sz="2"/>
            </w:tcBorders>
            <w:shd w:fill="EAF0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Removidos; a TEX passou a usar a mesma stack do monitor.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top w:val="single" w:color="00697A" w:sz="6" w:space="6"/>
        </w:pBdr>
        <w:spacing w:after="80" w:before="200"/>
      </w:pPr>
      <w:r>
        <w:t xml:space="preserve"/>
      </w:r>
    </w:p>
    <w:p>
      <w:pPr>
        <w:jc w:val="center"/>
      </w:pPr>
      <w:r>
        <w:rPr>
          <w:color w:val="5A6B7B"/>
          <w:sz w:val="18"/>
          <w:szCs w:val="18"/>
        </w:rPr>
        <w:t xml:space="preserve">Machine Monitor · Documentação Técnica · Versão 2.1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4E0" w:sz="4" w:space="6"/>
      </w:pBdr>
      <w:tabs>
        <w:tab w:val="right" w:pos="9026"/>
      </w:tabs>
    </w:pPr>
    <w:r>
      <w:rPr>
        <w:color w:val="5A6B7B"/>
        <w:sz w:val="16"/>
        <w:szCs w:val="16"/>
      </w:rPr>
      <w:t xml:space="preserve">Machine Monitor — Documentação Técnica</w:t>
    </w:r>
    <w:r>
      <w:rPr>
        <w:color w:val="5A6B7B"/>
        <w:sz w:val="16"/>
        <w:szCs w:val="16"/>
      </w:rPr>
      <w:t xml:space="preserve">	Página </w:t>
    </w:r>
    <w:r>
      <w:rPr>
        <w:color w:val="5A6B7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  <w:lvl w:ilvl="1" w15:tentative="1">
      <w:start w:val="1"/>
      <w:numFmt w:val="bullet"/>
      <w:lvlText w:val="–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A3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9C7D8" w:sz="6" w:space="6"/>
      </w:pBdr>
      <w:spacing w:after="200" w:before="280"/>
      <w:outlineLvl w:val="0"/>
    </w:pPr>
    <w:rPr>
      <w:rFonts w:ascii="Arial" w:cs="Arial" w:eastAsia="Arial" w:hAnsi="Arial"/>
      <w:b/>
      <w:bCs/>
      <w:color w:val="0D47A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6324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00697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— Machine Monitor</dc:title>
  <dc:creator>Machine Monitor</dc:creator>
  <cp:lastModifiedBy>Un-named</cp:lastModifiedBy>
  <cp:revision>1</cp:revision>
  <dcterms:created xsi:type="dcterms:W3CDTF">2026-05-29T18:04:07.013Z</dcterms:created>
  <dcterms:modified xsi:type="dcterms:W3CDTF">2026-05-29T18:04:07.027Z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