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</w:pPr>
      <w:r>
        <w:rPr>
          <w:b/>
        </w:rPr>
        <w:t>Atividade 5</w:t>
        <w:br/>
        <w:t>Bancos de Dados NoSQL</w:t>
        <w:br/>
        <w:t>Pedro Oliveira</w:t>
      </w:r>
    </w:p>
    <w:p>
      <w:r>
        <w:rPr>
          <w:b/>
        </w:rPr>
        <w:t xml:space="preserve">1. </w:t>
      </w:r>
      <w:r>
        <w:t>NoSQL é o nome dado aos bancos que não usam o modelo de tabelas e relações. Guardam o dado em estruturas próprias e não exigem esquema fixo na gravação: o esquema continua existindo, mas quem aplica é o programa, na leitura. A primeira vantagem sobre o relacional é a escala horizontal, porque cada registro se basta e não há junção entre máquinas, então ganhar capacidade é acrescentar servidor. A segunda é a liberdade de forma: registros de uma mesma coleção podem ter campos diferentes e incluir um campo novo não exige migração, o que atende o dado não estruturado do texto.</w:t>
      </w:r>
    </w:p>
    <w:p>
      <w:r>
        <w:rPr>
          <w:b/>
        </w:rPr>
        <w:t xml:space="preserve">2. </w:t>
      </w:r>
      <w:r>
        <w:t>No modelo de documentos o dado é um bloco em JSON ou BSON, lido e gravado inteiro, com consulta por qualquer campo interno e índices secundários. Dispensa junção, porque o que seriam várias tabelas vira um documento só. É o caso do MongoDB. No modelo de chave-valor o banco guarda um par de identificador e conteúdo e não olha dentro do valor: não há consulta por conteúdo, só pela chave, o que deixa o acesso barato e previsível. Redis e Riak são exemplos. No modelo de família de colunas as linhas se espalham por uma chave de partição e a modelagem parte da consulta, definindo antes o que será perguntado para montar a tabela que responde aquilo, o que sustenta volume alto de escrita. É o caso do Cassandra. Há ainda o modelo de grafos, como o Neo4j, em que o relacionamento é o próprio dado.</w:t>
      </w:r>
    </w:p>
    <w:p>
      <w:r>
        <w:rPr>
          <w:b/>
        </w:rPr>
        <w:t xml:space="preserve">3. </w:t>
      </w:r>
      <w:r>
        <w:t>Não ter SQL não livra de injeção, só muda o formato. No MongoDB a consulta é um objeto, e se o programa monta esse objeto com o que o usuário digitou sem conferir o tipo, o atacante manda um operador no lugar de um valor: um campo de senha que recebe $ne com valor nulo casa com qualquer documento e a autenticação cai. Com $gt e $regex dá para extrair conteúdo por tentativa, e o $where executa JavaScript no servidor. A tipagem fraca ajuda, porque o banco aceita um objeto onde se esperava texto. A defesa é converter o tipo da entrada antes de montar a consulta, nunca juntar texto do usuário à estrutura do filtro, desligar JavaScript no servidor e dar ao programa o menor privilégio.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both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