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Laboratory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09.25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Hunyady Csongor, Czehlár Gergely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Station 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M1.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Ue: 619mV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Ub: 1263mV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Uc: 7.42V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base-emitter collector emitter szamolni!!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208mv is the saturation value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525"/>
        <w:gridCol w:w="615"/>
        <w:gridCol w:w="675"/>
        <w:gridCol w:w="735"/>
        <w:gridCol w:w="735"/>
        <w:gridCol w:w="735"/>
        <w:gridCol w:w="735"/>
        <w:gridCol w:w="825"/>
        <w:gridCol w:w="825"/>
        <w:gridCol w:w="840"/>
        <w:gridCol w:w="1020"/>
        <w:tblGridChange w:id="0">
          <w:tblGrid>
            <w:gridCol w:w="1125"/>
            <w:gridCol w:w="525"/>
            <w:gridCol w:w="615"/>
            <w:gridCol w:w="675"/>
            <w:gridCol w:w="735"/>
            <w:gridCol w:w="735"/>
            <w:gridCol w:w="735"/>
            <w:gridCol w:w="735"/>
            <w:gridCol w:w="825"/>
            <w:gridCol w:w="825"/>
            <w:gridCol w:w="840"/>
            <w:gridCol w:w="1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f[Hz]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Uin[mV]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Uout[mv]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a[dB]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225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d,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based on extrapolated data from the previous exercise we expect around </w:t>
        <w:tab/>
        <w:t xml:space="preserve">76,88[Hz] for the lower and 82718.94[Hz] and at 5200mV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actual value lower: 57 Hz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actual value higher: 82.3 KHz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modified high cut off freq: 12 KHz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modified high cut off freq with cascade circuit: 271 KHz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a,b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 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1kHz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kHz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 kHz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MHz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7.2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 = 37 kOhm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Inital amplification: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Uin = 1100 mV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Uout = 970mV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Rin = 151 KOhm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Additional information: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 panel: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-T1 = 182 B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-T2 = 182 B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 panel: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-T1 = BC182A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3 Coaxials: RG58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 T-piece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