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ourceText"/>
        </w:rPr>
        <w:t>LEA vs MOV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----------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1)</w:t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LEA means Load Effective Address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MOV</w:t>
      </w:r>
      <w:r>
        <w:rPr/>
        <w:t xml:space="preserve"> means Load Value </w:t>
      </w:r>
    </w:p>
    <w:p>
      <w:pPr>
        <w:pStyle w:val="TextBody"/>
        <w:rPr/>
      </w:pPr>
      <w:r>
        <w:rPr/>
        <w:t xml:space="preserve">In short, </w:t>
      </w:r>
      <w:r>
        <w:rPr>
          <w:rStyle w:val="SourceText"/>
        </w:rPr>
        <w:t>LEA</w:t>
      </w:r>
      <w:r>
        <w:rPr/>
        <w:t xml:space="preserve"> loads a pointer to the item you're addressing whereas MOV loads the actual value at that address.</w:t>
      </w:r>
    </w:p>
    <w:p>
      <w:pPr>
        <w:pStyle w:val="TextBody"/>
        <w:rPr/>
      </w:pPr>
      <w:r>
        <w:rPr/>
        <w:t xml:space="preserve">The purpose of </w:t>
      </w:r>
      <w:r>
        <w:rPr>
          <w:rStyle w:val="SourceText"/>
        </w:rPr>
        <w:t>LEA</w:t>
      </w:r>
      <w:r>
        <w:rPr/>
        <w:t xml:space="preserve"> is to allow one to perform a non-trivial address calculation and store the result [for later usage]</w:t>
      </w:r>
    </w:p>
    <w:p>
      <w:pPr>
        <w:pStyle w:val="PreformattedText"/>
        <w:rPr/>
      </w:pPr>
      <w:r>
        <w:rPr>
          <w:rStyle w:val="SourceText"/>
        </w:rPr>
        <w:t>LEA ax, [BP+SI+5] ; Compute address of value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MOV ax, [BP+SI+5] ; Load value at that address</w:t>
      </w:r>
    </w:p>
    <w:p>
      <w:pPr>
        <w:pStyle w:val="TextBody"/>
        <w:rPr/>
      </w:pPr>
      <w:r>
        <w:rPr/>
        <w:t xml:space="preserve">Where there are just constants involved, </w:t>
      </w:r>
      <w:r>
        <w:rPr>
          <w:rStyle w:val="SourceText"/>
        </w:rPr>
        <w:t>MOV</w:t>
      </w:r>
      <w:r>
        <w:rPr/>
        <w:t xml:space="preserve"> (through the assembler's constant calculations) can sometimes appear to overlap with the simplest cases of usage of </w:t>
      </w:r>
      <w:r>
        <w:rPr>
          <w:rStyle w:val="SourceText"/>
        </w:rPr>
        <w:t>LEA</w:t>
      </w:r>
      <w:r>
        <w:rPr/>
        <w:t>. Its useful if you have a multi-part calculation with multiple base addresses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Given the following code:</w:t>
      </w:r>
    </w:p>
    <w:p>
      <w:pPr>
        <w:pStyle w:val="PreformattedText"/>
        <w:rPr/>
      </w:pPr>
      <w:r>
        <w:rPr>
          <w:rStyle w:val="SourceText"/>
        </w:rPr>
        <w:t>L1     db    "word",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al, [L1]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eax, L1</w:t>
      </w:r>
    </w:p>
    <w:p>
      <w:pPr>
        <w:pStyle w:val="TextBody"/>
        <w:rPr/>
      </w:pPr>
      <w:r>
        <w:rPr/>
        <w:t xml:space="preserve">What do the brackets ([L1]) represent?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[L1]</w:t>
      </w:r>
      <w:r>
        <w:rPr/>
        <w:t xml:space="preserve"> means the memory contents at address L1. After running </w:t>
      </w:r>
      <w:r>
        <w:rPr>
          <w:rStyle w:val="SourceText"/>
        </w:rPr>
        <w:t>mov al, [L1]</w:t>
      </w:r>
      <w:r>
        <w:rPr/>
        <w:t xml:space="preserve"> here, The </w:t>
      </w:r>
      <w:r>
        <w:rPr>
          <w:rStyle w:val="SourceText"/>
        </w:rPr>
        <w:t>al</w:t>
      </w:r>
      <w:r>
        <w:rPr/>
        <w:t xml:space="preserve"> register will receive the byte at address L1 (the letter 'w').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Operands of this type, such as </w:t>
      </w:r>
      <w:r>
        <w:rPr>
          <w:rStyle w:val="SourceText"/>
        </w:rPr>
        <w:t>[ebp]</w:t>
      </w:r>
      <w:r>
        <w:rPr/>
        <w:t xml:space="preserve">, are called </w:t>
      </w:r>
      <w:hyperlink r:id="rId2">
        <w:r>
          <w:rPr>
            <w:rStyle w:val="InternetLink"/>
          </w:rPr>
          <w:t>memory operands</w:t>
        </w:r>
      </w:hyperlink>
      <w:r>
        <w:rPr/>
        <w:t>.</w:t>
      </w:r>
    </w:p>
    <w:p>
      <w:pPr>
        <w:pStyle w:val="TextBody"/>
        <w:rPr/>
      </w:pPr>
      <w:r>
        <w:rPr/>
        <w:t xml:space="preserve">I see that none tells about the caveat in following this as a rigid rule - </w:t>
      </w:r>
      <w:r>
        <w:rPr>
          <w:rStyle w:val="Emphasis"/>
        </w:rPr>
        <w:t>if brackets, then dereference</w:t>
      </w:r>
      <w:r>
        <w:rPr/>
        <w:t xml:space="preserve">, </w:t>
      </w:r>
      <w:r>
        <w:rPr>
          <w:rStyle w:val="StrongEmphasis"/>
        </w:rPr>
        <w:t xml:space="preserve">except when it's the </w:t>
      </w:r>
      <w:r>
        <w:rPr>
          <w:rStyle w:val="SourceText"/>
        </w:rPr>
        <w:t>lea</w:t>
      </w:r>
      <w:r>
        <w:rPr>
          <w:rStyle w:val="StrongEmphasis"/>
        </w:rPr>
        <w:t xml:space="preserve"> instruction</w:t>
      </w:r>
      <w:r>
        <w:rPr/>
        <w:t>.</w:t>
      </w:r>
    </w:p>
    <w:p>
      <w:pPr>
        <w:pStyle w:val="TextBody"/>
        <w:rPr/>
      </w:pPr>
      <w:r>
        <w:rPr>
          <w:rStyle w:val="SourceText"/>
        </w:rPr>
        <w:t>lea</w:t>
      </w:r>
      <w:r>
        <w:rPr/>
        <w:t xml:space="preserve"> is an exception to the above rule. Say we've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brackets indicate that the resulting value is taken as an address and the value residing at that address is stored in </w:t>
      </w:r>
      <w:r>
        <w:rPr>
          <w:rStyle w:val="SourceText"/>
        </w:rPr>
        <w:t>eax</w:t>
      </w:r>
      <w:r>
        <w:rPr/>
        <w:t xml:space="preserve">. However, in </w:t>
      </w:r>
      <w:r>
        <w:rPr>
          <w:rStyle w:val="SourceText"/>
        </w:rPr>
        <w:t>lea</w:t>
      </w:r>
      <w:r>
        <w:rPr/>
        <w:t>'s case, the brackets wouldn't mean that: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resulting value is stored in </w:t>
      </w:r>
      <w:r>
        <w:rPr>
          <w:rStyle w:val="SourceText"/>
        </w:rPr>
        <w:t>eax</w:t>
      </w:r>
      <w:r>
        <w:rPr/>
        <w:t xml:space="preserve">. This instruction would just calculate the address and store the calculated value in the destination register. See </w:t>
      </w:r>
      <w:hyperlink r:id="rId3">
        <w:r>
          <w:rPr>
            <w:rStyle w:val="InternetLink"/>
          </w:rPr>
          <w:t>this post</w:t>
        </w:r>
      </w:hyperlink>
      <w:r>
        <w:rPr/>
        <w:t xml:space="preserve"> for further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Nasm syntax: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mov eax, var       == lea eax, [var]   ; i.e. mov r32, imm32</w:t>
      </w:r>
    </w:p>
    <w:p>
      <w:pPr>
        <w:pStyle w:val="PreformattedText"/>
        <w:rPr/>
      </w:pPr>
      <w:r>
        <w:rPr>
          <w:rStyle w:val="SourceText"/>
        </w:rPr>
        <w:t>lea eax, [var+16]  == mov eax, var+16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[eax*4]   == shl eax, 2        ; but without setting flags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-fPIE</w:t>
      </w:r>
    </w:p>
    <w:p>
      <w:pPr>
        <w:pStyle w:val="Normal"/>
        <w:bidi w:val="0"/>
        <w:jc w:val="left"/>
        <w:rPr/>
      </w:pPr>
      <w:r>
        <w:rPr/>
        <w:t>-fPIC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Mono PS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Nimbus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Nimbus Mono PS" w:hAnsi="Nimbus Mono PS" w:eastAsia="Nimbus Mono PS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ada.sdu.dk/Courses/DM18/Litteratur/IntelnATT.htm" TargetMode="External"/><Relationship Id="rId3" Type="http://schemas.openxmlformats.org/officeDocument/2006/relationships/hyperlink" Target="https://stackoverflow.com/a/1699778/18312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LibreOffice/6.4.2.2$Linux_X86_64 LibreOffice_project/40$Build-2</Application>
  <Pages>2</Pages>
  <Words>331</Words>
  <Characters>1500</Characters>
  <CharactersWithSpaces>1845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2020-04-03T11:43:54Z</dcterms:created>
  <dc:creator/>
  <dc:description/>
  <dc:language>en-US</dc:language>
  <cp:lastModifiedBy/>
  <dcterms:modified xsi:type="dcterms:W3CDTF">2020-04-14T16:32:19Z</dcterms:modified>
  <cp:revision>13</cp:revision>
  <dc:subject/>
  <dc:title/>
</cp:coreProperties>
</file>