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0" w:after="0" w:line="560" w:lineRule="exact"/>
        <w:rPr>
          <w:rFonts w:ascii="方正小标宋简体" w:eastAsia="方正小标宋简体"/>
          <w:b w:val="0"/>
          <w:sz w:val="44"/>
          <w:szCs w:val="44"/>
        </w:rPr>
      </w:pPr>
      <w:bookmarkStart w:id="0" w:name="OLE_LINK5"/>
      <w:bookmarkStart w:id="1" w:name="OLE_LINK6"/>
      <w:r>
        <w:rPr>
          <w:rFonts w:hint="eastAsia" w:ascii="方正小标宋简体" w:eastAsia="方正小标宋简体"/>
          <w:b w:val="0"/>
          <w:sz w:val="44"/>
          <w:szCs w:val="44"/>
        </w:rPr>
        <w:t>关于北京市海淀区政协十届一次会议</w:t>
      </w:r>
    </w:p>
    <w:p>
      <w:pPr>
        <w:pStyle w:val="11"/>
        <w:spacing w:before="0" w:after="0" w:line="560" w:lineRule="exact"/>
        <w:rPr>
          <w:rFonts w:ascii="方正小标宋简体" w:eastAsia="方正小标宋简体"/>
          <w:b w:val="0"/>
          <w:sz w:val="44"/>
          <w:szCs w:val="44"/>
        </w:rPr>
      </w:pPr>
      <w:r>
        <w:rPr>
          <w:rFonts w:hint="eastAsia" w:ascii="方正小标宋简体" w:eastAsia="方正小标宋简体"/>
          <w:b w:val="0"/>
          <w:sz w:val="44"/>
          <w:szCs w:val="44"/>
        </w:rPr>
        <w:t>第10114号提案的办理报告</w:t>
      </w:r>
    </w:p>
    <w:bookmarkEnd w:id="0"/>
    <w:bookmarkEnd w:id="1"/>
    <w:p>
      <w:pPr>
        <w:spacing w:line="560" w:lineRule="exact"/>
        <w:rPr>
          <w:rFonts w:ascii="仿宋_GB2312" w:hAnsi="仿宋" w:eastAsia="仿宋_GB2312"/>
          <w:color w:val="000000"/>
          <w:spacing w:val="-6"/>
          <w:sz w:val="32"/>
          <w:szCs w:val="32"/>
        </w:rPr>
      </w:pPr>
      <w:bookmarkStart w:id="2" w:name="OLE_LINK1"/>
      <w:bookmarkStart w:id="3" w:name="OLE_LINK2"/>
    </w:p>
    <w:p>
      <w:pPr>
        <w:spacing w:line="560" w:lineRule="exact"/>
        <w:rPr>
          <w:rFonts w:ascii="仿宋_GB2312" w:hAnsi="仿宋" w:eastAsia="仿宋_GB2312"/>
          <w:color w:val="000000"/>
          <w:spacing w:val="-6"/>
          <w:sz w:val="32"/>
          <w:szCs w:val="32"/>
        </w:rPr>
      </w:pPr>
      <w:r>
        <w:rPr>
          <w:rFonts w:hint="eastAsia" w:ascii="仿宋_GB2312" w:hAnsi="仿宋" w:eastAsia="仿宋_GB2312"/>
          <w:color w:val="000000"/>
          <w:spacing w:val="-6"/>
          <w:sz w:val="32"/>
          <w:szCs w:val="32"/>
        </w:rPr>
        <w:t>民进海淀区委：</w:t>
      </w:r>
    </w:p>
    <w:p>
      <w:pPr>
        <w:spacing w:line="560" w:lineRule="exact"/>
        <w:ind w:firstLine="636"/>
        <w:rPr>
          <w:rFonts w:ascii="仿宋_GB2312" w:hAnsi="仿宋" w:eastAsia="仿宋_GB2312"/>
          <w:color w:val="000000"/>
          <w:spacing w:val="-6"/>
          <w:sz w:val="32"/>
          <w:szCs w:val="32"/>
        </w:rPr>
      </w:pPr>
      <w:r>
        <w:rPr>
          <w:rFonts w:hint="eastAsia" w:ascii="仿宋_GB2312" w:eastAsia="仿宋_GB2312"/>
          <w:sz w:val="32"/>
          <w:szCs w:val="32"/>
        </w:rPr>
        <w:t>贵党派</w:t>
      </w:r>
      <w:r>
        <w:rPr>
          <w:rFonts w:hint="eastAsia" w:ascii="仿宋_GB2312" w:hAnsi="仿宋" w:eastAsia="仿宋_GB2312"/>
          <w:color w:val="000000"/>
          <w:spacing w:val="-6"/>
          <w:sz w:val="32"/>
          <w:szCs w:val="32"/>
        </w:rPr>
        <w:t>提出的关于“设立中关村科学城建设法务加速创新平台”的建议的提案收悉，现将办理情况报告如下：</w:t>
      </w:r>
    </w:p>
    <w:p>
      <w:pPr>
        <w:spacing w:line="560" w:lineRule="exact"/>
        <w:ind w:firstLine="636"/>
        <w:rPr>
          <w:rFonts w:ascii="仿宋_GB2312" w:hAnsi="仿宋" w:eastAsia="仿宋_GB2312"/>
          <w:color w:val="000000"/>
          <w:spacing w:val="-6"/>
          <w:sz w:val="32"/>
          <w:szCs w:val="32"/>
        </w:rPr>
      </w:pPr>
      <w:r>
        <w:rPr>
          <w:rFonts w:hint="eastAsia" w:ascii="仿宋_GB2312" w:hAnsi="仿宋" w:eastAsia="仿宋_GB2312"/>
          <w:color w:val="000000"/>
          <w:spacing w:val="-6"/>
          <w:sz w:val="32"/>
          <w:szCs w:val="32"/>
        </w:rPr>
        <w:t>根据机构职能，该提案由海淀园管委会（区科委）主办,司法局等部门协办。收到提案后，海淀园管委会领导非常重视，经研究决定由海淀园知识产权处（区知识产权局）具体承担，海淀园知识产权处（区知识产权局）及时布置任务，安排专人负责,组织协办单位召开专题座谈会,听取协办单位对此建议的具体意见,并通过电话、电子邮件或面谈等方式与提案人进行沟通，</w:t>
      </w:r>
      <w:bookmarkStart w:id="4" w:name="OLE_LINK8"/>
      <w:bookmarkStart w:id="5" w:name="OLE_LINK7"/>
      <w:r>
        <w:rPr>
          <w:rFonts w:hint="eastAsia" w:ascii="仿宋_GB2312" w:hAnsi="仿宋" w:eastAsia="仿宋_GB2312"/>
          <w:color w:val="000000"/>
          <w:spacing w:val="-6"/>
          <w:sz w:val="32"/>
          <w:szCs w:val="32"/>
        </w:rPr>
        <w:t>现</w:t>
      </w:r>
      <w:r>
        <w:rPr>
          <w:rFonts w:hint="eastAsia" w:ascii="仿宋_GB2312" w:eastAsia="仿宋_GB2312"/>
          <w:sz w:val="32"/>
          <w:szCs w:val="32"/>
        </w:rPr>
        <w:t>结合我们的实际工作形成了此办理报告</w:t>
      </w:r>
      <w:bookmarkEnd w:id="4"/>
      <w:bookmarkEnd w:id="5"/>
      <w:r>
        <w:rPr>
          <w:rFonts w:hint="eastAsia" w:ascii="仿宋_GB2312" w:hAnsi="仿宋" w:eastAsia="仿宋_GB2312"/>
          <w:color w:val="000000"/>
          <w:spacing w:val="-6"/>
          <w:sz w:val="32"/>
          <w:szCs w:val="32"/>
        </w:rPr>
        <w:t>。</w:t>
      </w:r>
    </w:p>
    <w:bookmarkEnd w:id="2"/>
    <w:bookmarkEnd w:id="3"/>
    <w:p>
      <w:pPr>
        <w:spacing w:line="560" w:lineRule="exact"/>
        <w:ind w:firstLine="560"/>
        <w:rPr>
          <w:rFonts w:ascii="仿宋_GB2312" w:hAnsi="仿宋" w:eastAsia="仿宋_GB2312"/>
          <w:sz w:val="32"/>
          <w:szCs w:val="32"/>
        </w:rPr>
      </w:pPr>
      <w:r>
        <w:rPr>
          <w:rFonts w:hint="eastAsia" w:ascii="仿宋_GB2312" w:hAnsi="仿宋" w:eastAsia="仿宋_GB2312"/>
          <w:sz w:val="32"/>
          <w:szCs w:val="32"/>
        </w:rPr>
        <w:t>下面，我们针对提案提出的具体建议答复如下，希望能得到大家的认可、理解与支持。</w:t>
      </w:r>
    </w:p>
    <w:p>
      <w:pPr>
        <w:pStyle w:val="2"/>
        <w:spacing w:before="0" w:after="0" w:line="560" w:lineRule="exact"/>
        <w:ind w:firstLine="640" w:firstLineChars="200"/>
        <w:rPr>
          <w:rFonts w:ascii="黑体" w:hAnsi="黑体" w:eastAsia="黑体"/>
          <w:b w:val="0"/>
          <w:sz w:val="32"/>
          <w:szCs w:val="32"/>
        </w:rPr>
      </w:pPr>
      <w:r>
        <w:rPr>
          <w:rFonts w:hint="eastAsia" w:ascii="黑体" w:hAnsi="黑体" w:eastAsia="黑体"/>
          <w:b w:val="0"/>
          <w:sz w:val="32"/>
          <w:szCs w:val="32"/>
        </w:rPr>
        <w:t>一、海淀区科技服务业基本情况</w:t>
      </w:r>
    </w:p>
    <w:p>
      <w:pPr>
        <w:spacing w:line="560" w:lineRule="exact"/>
        <w:ind w:firstLine="640" w:firstLineChars="200"/>
        <w:rPr>
          <w:rFonts w:eastAsia="仿宋_GB2312"/>
          <w:sz w:val="32"/>
          <w:szCs w:val="32"/>
        </w:rPr>
      </w:pPr>
      <w:r>
        <w:rPr>
          <w:rFonts w:hint="eastAsia" w:eastAsia="仿宋_GB2312"/>
          <w:sz w:val="32"/>
          <w:szCs w:val="32"/>
        </w:rPr>
        <w:t>科技服务业是</w:t>
      </w:r>
      <w:r>
        <w:rPr>
          <w:rFonts w:hint="eastAsia" w:ascii="仿宋_GB2312" w:eastAsia="仿宋_GB2312"/>
          <w:color w:val="000000"/>
          <w:sz w:val="32"/>
          <w:szCs w:val="32"/>
        </w:rPr>
        <w:t>海淀区</w:t>
      </w:r>
      <w:r>
        <w:rPr>
          <w:rFonts w:hint="eastAsia" w:eastAsia="仿宋_GB2312"/>
          <w:sz w:val="32"/>
          <w:szCs w:val="32"/>
        </w:rPr>
        <w:t>最具特色和优势的产业，海淀区1+4产业发展政策体系提出了全面优化创新创业环境，打造最富吸引力创新创业高地的任务，在强化科技创新服务支撑、完善创业孵化服务体系、优化创新创业的金融支撑、营造优质的知识产权服务环境等方面制定了一系列政策。近年在创新创业服务、科技金融、知识产权、技术转移等领域形成了一批商业模式新、市场化运作能力强、国际知名度高的机构，成为推动区域创新创业、服务我国高科技产业发展的重要载体。据不完全统计，海淀区已有154家各类创业服务机构，孵化器104家，其中国家级孵化器19家，大学科技园</w:t>
      </w:r>
      <w:r>
        <w:rPr>
          <w:rFonts w:eastAsia="仿宋_GB2312"/>
          <w:sz w:val="32"/>
          <w:szCs w:val="32"/>
        </w:rPr>
        <w:t>17</w:t>
      </w:r>
      <w:r>
        <w:rPr>
          <w:rFonts w:hint="eastAsia" w:eastAsia="仿宋_GB2312"/>
          <w:sz w:val="32"/>
          <w:szCs w:val="32"/>
        </w:rPr>
        <w:t>家；留创园</w:t>
      </w:r>
      <w:r>
        <w:rPr>
          <w:rFonts w:eastAsia="仿宋_GB2312"/>
          <w:sz w:val="32"/>
          <w:szCs w:val="32"/>
        </w:rPr>
        <w:t>21</w:t>
      </w:r>
      <w:r>
        <w:rPr>
          <w:rFonts w:hint="eastAsia" w:eastAsia="仿宋_GB2312"/>
          <w:sz w:val="32"/>
          <w:szCs w:val="32"/>
        </w:rPr>
        <w:t>家，科技企业加速器</w:t>
      </w:r>
      <w:r>
        <w:rPr>
          <w:rFonts w:eastAsia="仿宋_GB2312"/>
          <w:sz w:val="32"/>
          <w:szCs w:val="32"/>
        </w:rPr>
        <w:t>7</w:t>
      </w:r>
      <w:r>
        <w:rPr>
          <w:rFonts w:hint="eastAsia" w:eastAsia="仿宋_GB2312"/>
          <w:sz w:val="32"/>
          <w:szCs w:val="32"/>
        </w:rPr>
        <w:t>家，高端人才创业基地</w:t>
      </w:r>
      <w:r>
        <w:rPr>
          <w:rFonts w:eastAsia="仿宋_GB2312"/>
          <w:sz w:val="32"/>
          <w:szCs w:val="32"/>
        </w:rPr>
        <w:t>1</w:t>
      </w:r>
      <w:r>
        <w:rPr>
          <w:rFonts w:hint="eastAsia" w:eastAsia="仿宋_GB2312"/>
          <w:sz w:val="32"/>
          <w:szCs w:val="32"/>
        </w:rPr>
        <w:t>家。</w:t>
      </w:r>
    </w:p>
    <w:p>
      <w:pPr>
        <w:spacing w:line="560" w:lineRule="exact"/>
        <w:ind w:firstLine="643" w:firstLineChars="200"/>
        <w:rPr>
          <w:rFonts w:eastAsia="仿宋_GB2312"/>
          <w:sz w:val="32"/>
          <w:szCs w:val="32"/>
        </w:rPr>
      </w:pPr>
      <w:r>
        <w:rPr>
          <w:rFonts w:hint="eastAsia" w:eastAsia="仿宋_GB2312"/>
          <w:b/>
          <w:sz w:val="32"/>
          <w:szCs w:val="32"/>
        </w:rPr>
        <w:t>（一）以新兴孵化器、集中办公区等创新业态为载体，构建区域科技创新服务体系</w:t>
      </w:r>
    </w:p>
    <w:p>
      <w:pPr>
        <w:spacing w:line="560" w:lineRule="exact"/>
        <w:ind w:firstLine="640" w:firstLineChars="200"/>
        <w:rPr>
          <w:rFonts w:eastAsia="仿宋_GB2312"/>
          <w:sz w:val="32"/>
          <w:szCs w:val="32"/>
        </w:rPr>
      </w:pPr>
      <w:r>
        <w:rPr>
          <w:rFonts w:hint="eastAsia" w:eastAsia="仿宋_GB2312"/>
          <w:sz w:val="32"/>
          <w:szCs w:val="32"/>
        </w:rPr>
        <w:t>1989年，北京市第一家以服务留学人员创业为核心的科技企业孵化器——留学人员海淀创业园落户海淀。2009年，海淀园获批中关村国家自主创新示范区核心区后，实施“大孵化器”战略，发布了《促进科技中介发展实施办法》、《促进科技企业加速器发展暂行办法》、《促进公共技术服务平台建设实施办法》、《促进创业孵化机构和大学科技园发展支持办法》等系列支持企业孵化发展的举措，将科技型企业孵化器纳入园区专项资金支持范围。2013年，海淀区在北京市率先发布《海淀区创业期科技型企业集中办公区管理办法（试行）》，对符合科技型发展定位并达到规定孵化标准的楼宇业态，通过申请挂牌集中办公区，为创业型企业提供</w:t>
      </w:r>
      <w:r>
        <w:rPr>
          <w:rFonts w:hint="eastAsia" w:eastAsia="仿宋_GB2312"/>
          <w:color w:val="FF0000"/>
          <w:sz w:val="32"/>
          <w:szCs w:val="32"/>
        </w:rPr>
        <w:t>工位注册</w:t>
      </w:r>
      <w:r>
        <w:rPr>
          <w:rFonts w:hint="eastAsia" w:eastAsia="仿宋_GB2312"/>
          <w:sz w:val="32"/>
          <w:szCs w:val="32"/>
        </w:rPr>
        <w:t>等特色服务，大幅降低了初创期创业成本。截至目前，已有中国国际技术转移中心、车库咖啡等114家集中办公区在核心区挂牌成立，形成了孵化创新发展的新格局。同年，率先在北京市发布《中关村核心区科技服务业发展三年行动计划（2013-2015年）》，首次将科技服务业纳入海淀区产业发展战略。截至目前，已有厚德创新谷、动漫游戏孵化基地、中关村国际数字设计中心等19家新兴孵化器被科技部火炬中心纳入国家级科技企业孵化器管理系统。</w:t>
      </w:r>
    </w:p>
    <w:p>
      <w:pPr>
        <w:spacing w:line="560" w:lineRule="exact"/>
        <w:ind w:firstLine="643" w:firstLineChars="200"/>
        <w:rPr>
          <w:rFonts w:eastAsia="仿宋_GB2312"/>
          <w:b/>
          <w:sz w:val="32"/>
          <w:szCs w:val="32"/>
        </w:rPr>
      </w:pPr>
      <w:r>
        <w:rPr>
          <w:rFonts w:hint="eastAsia" w:eastAsia="仿宋_GB2312"/>
          <w:b/>
          <w:sz w:val="32"/>
          <w:szCs w:val="32"/>
        </w:rPr>
        <w:t>（二）整合线上线下创新资源，打造科技服务对接交流平台</w:t>
      </w:r>
    </w:p>
    <w:p>
      <w:pPr>
        <w:spacing w:line="560" w:lineRule="exact"/>
        <w:ind w:firstLine="640" w:firstLineChars="200"/>
        <w:rPr>
          <w:rFonts w:eastAsia="仿宋_GB2312"/>
          <w:sz w:val="32"/>
          <w:szCs w:val="32"/>
        </w:rPr>
      </w:pPr>
      <w:r>
        <w:rPr>
          <w:rFonts w:hint="eastAsia" w:eastAsia="仿宋_GB2312"/>
          <w:sz w:val="32"/>
          <w:szCs w:val="32"/>
        </w:rPr>
        <w:t>推进中关村协同创新服务、技术转移与知识产权服务、创新创业信息服务三大网络平台上线。</w:t>
      </w:r>
      <w:r>
        <w:rPr>
          <w:rFonts w:hint="eastAsia" w:eastAsia="仿宋_GB2312"/>
          <w:b/>
          <w:sz w:val="32"/>
          <w:szCs w:val="32"/>
        </w:rPr>
        <w:t>中关村协同创新服务平台</w:t>
      </w:r>
      <w:r>
        <w:rPr>
          <w:rFonts w:hint="eastAsia" w:eastAsia="仿宋_GB2312"/>
          <w:sz w:val="32"/>
          <w:szCs w:val="32"/>
        </w:rPr>
        <w:t>按照“市场化运作、开放协作、创新引导”的原则，围绕产业链部署创新链，部署线上线下一站式平台，截至目前，平台已与北京地区38家高校院所、19家产业联盟和行业组织、12家科技或产业园区、13家孵化器达成合作，共同提供协同创新服务。依托创新驿站、产业联盟资源，开展高校院所、企业研发中心的技术、成果推广、转化服务工作，共为250多个项目提供了对接服务。</w:t>
      </w:r>
      <w:r>
        <w:rPr>
          <w:rFonts w:hint="eastAsia" w:eastAsia="仿宋_GB2312"/>
          <w:b/>
          <w:sz w:val="32"/>
          <w:szCs w:val="32"/>
        </w:rPr>
        <w:t>技术转移与知识产权服务平台</w:t>
      </w:r>
      <w:r>
        <w:rPr>
          <w:rFonts w:hint="eastAsia" w:eastAsia="仿宋_GB2312"/>
          <w:sz w:val="32"/>
          <w:szCs w:val="32"/>
        </w:rPr>
        <w:t>以打造政府政策引导、市场择优选择的技术转移与知识产权服务业的互联网服务为模式，打造了技术转移与知识产权服务的“天猫商城”；</w:t>
      </w:r>
      <w:r>
        <w:rPr>
          <w:rFonts w:hint="eastAsia" w:eastAsia="仿宋_GB2312"/>
          <w:b/>
          <w:sz w:val="32"/>
          <w:szCs w:val="32"/>
        </w:rPr>
        <w:t>中关村核心区创新创业信息服务平台</w:t>
      </w:r>
      <w:r>
        <w:rPr>
          <w:rFonts w:hint="eastAsia" w:eastAsia="仿宋_GB2312"/>
          <w:sz w:val="32"/>
          <w:szCs w:val="32"/>
        </w:rPr>
        <w:t>由创新创业在线服务系统、服务机构运行管理系统、园区创业服务管理与决策支持系统、服务效能评价指标体系、手机端服务APP等五大系统构成，着力为企业以及创业者、高端人才提供在线管理与服务，以及资源对接服务。</w:t>
      </w:r>
    </w:p>
    <w:p>
      <w:pPr>
        <w:spacing w:line="560" w:lineRule="exact"/>
        <w:ind w:firstLine="643" w:firstLineChars="200"/>
        <w:rPr>
          <w:rFonts w:eastAsia="仿宋_GB2312"/>
          <w:b/>
          <w:sz w:val="32"/>
          <w:szCs w:val="32"/>
        </w:rPr>
      </w:pPr>
      <w:r>
        <w:rPr>
          <w:rFonts w:hint="eastAsia" w:eastAsia="仿宋_GB2312"/>
          <w:b/>
          <w:sz w:val="32"/>
          <w:szCs w:val="32"/>
        </w:rPr>
        <w:t>（三）推进知识产权和标准化一条街建设，提升知识产权综合服务能力</w:t>
      </w:r>
    </w:p>
    <w:p>
      <w:pPr>
        <w:spacing w:line="560" w:lineRule="exact"/>
        <w:ind w:firstLine="640" w:firstLineChars="200"/>
        <w:rPr>
          <w:rFonts w:eastAsia="仿宋_GB2312"/>
          <w:b/>
          <w:sz w:val="32"/>
          <w:szCs w:val="32"/>
        </w:rPr>
      </w:pPr>
      <w:r>
        <w:rPr>
          <w:rFonts w:hint="eastAsia" w:ascii="仿宋_GB2312" w:hAnsi="Calibri" w:eastAsia="仿宋_GB2312"/>
          <w:sz w:val="32"/>
          <w:szCs w:val="32"/>
        </w:rPr>
        <w:t>按照市领导部署，市、区两级联动，2013年在中关村核心区打造知识产权和标准化一条街，汇聚高端服务机构入驻，完善知识产权服务业产业链条，提升知识产权服务能力，服务区域创新发展。</w:t>
      </w:r>
      <w:r>
        <w:rPr>
          <w:rFonts w:hint="eastAsia" w:ascii="仿宋_GB2312" w:eastAsia="仿宋_GB2312"/>
          <w:sz w:val="32"/>
          <w:szCs w:val="32"/>
        </w:rPr>
        <w:t>目前，以中关村知识产权大厦为基点，先后形成中国国际技术转移中心、中国技术交易大厦、致真大厦、银谷大厦等空间载体，集聚各类知识产权服务机构160余家，科技中介服务初具规模。</w:t>
      </w:r>
      <w:r>
        <w:rPr>
          <w:rFonts w:hint="eastAsia" w:ascii="仿宋_GB2312" w:hAnsi="宋体" w:eastAsia="仿宋_GB2312"/>
          <w:sz w:val="32"/>
          <w:szCs w:val="32"/>
        </w:rPr>
        <w:t>作为首个集聚载体，中关村知识产权大厦吸引了从事知识产权代理、咨询、运营、信息、法律服务的专业服务机构以及北京专利代办处等公共服务机构共20余家，涵盖了知识产权服务的全部链条；</w:t>
      </w:r>
      <w:r>
        <w:rPr>
          <w:rFonts w:hint="eastAsia" w:ascii="仿宋_GB2312" w:eastAsia="仿宋_GB2312"/>
          <w:sz w:val="32"/>
          <w:szCs w:val="32"/>
        </w:rPr>
        <w:t>中关村西区鼎好大厦，作为中国国际技术转移中心集聚有创新科技国际联盟、中意技术转移中心等技术转移机构120余家。作为第四个空间集聚点的银谷大厦，2015年11月，引入德国史泰白</w:t>
      </w:r>
      <w:r>
        <w:rPr>
          <w:rFonts w:hint="eastAsia" w:ascii="仿宋_GB2312" w:hAnsi="微软雅黑" w:eastAsia="仿宋_GB2312"/>
          <w:color w:val="000000"/>
          <w:sz w:val="32"/>
          <w:szCs w:val="32"/>
        </w:rPr>
        <w:t>全业务的运营公司</w:t>
      </w:r>
      <w:r>
        <w:rPr>
          <w:rFonts w:hint="eastAsia" w:ascii="仿宋_GB2312" w:eastAsia="仿宋_GB2312"/>
          <w:sz w:val="32"/>
          <w:szCs w:val="32"/>
        </w:rPr>
        <w:t>进驻</w:t>
      </w:r>
      <w:r>
        <w:rPr>
          <w:rFonts w:hint="eastAsia" w:ascii="仿宋_GB2312" w:hAnsi="微软雅黑" w:eastAsia="仿宋_GB2312"/>
          <w:color w:val="000000"/>
          <w:sz w:val="32"/>
          <w:szCs w:val="32"/>
        </w:rPr>
        <w:t>中国</w:t>
      </w:r>
      <w:r>
        <w:rPr>
          <w:rFonts w:hint="eastAsia" w:ascii="仿宋_GB2312" w:eastAsia="仿宋_GB2312"/>
          <w:sz w:val="32"/>
          <w:szCs w:val="32"/>
        </w:rPr>
        <w:t>。2015年5月，北航致真大厦 A座成为新的知识产权服务机构聚集区，目前，已进驻知识产权服务机构13家。银谷大厦作为知识产权一条街的第四个集聚空间，欲将其打造成为国际知识产权服务机构集聚中心。</w:t>
      </w:r>
    </w:p>
    <w:p>
      <w:pPr>
        <w:spacing w:line="560" w:lineRule="exact"/>
        <w:ind w:firstLine="643" w:firstLineChars="200"/>
        <w:rPr>
          <w:rFonts w:eastAsia="仿宋_GB2312"/>
          <w:b/>
          <w:color w:val="000000" w:themeColor="text1"/>
          <w:sz w:val="32"/>
          <w:szCs w:val="32"/>
          <w14:textFill>
            <w14:solidFill>
              <w14:schemeClr w14:val="tx1"/>
            </w14:solidFill>
          </w14:textFill>
        </w:rPr>
      </w:pPr>
      <w:r>
        <w:rPr>
          <w:rFonts w:hint="eastAsia" w:eastAsia="仿宋_GB2312"/>
          <w:b/>
          <w:color w:val="000000" w:themeColor="text1"/>
          <w:sz w:val="32"/>
          <w:szCs w:val="32"/>
          <w14:textFill>
            <w14:solidFill>
              <w14:schemeClr w14:val="tx1"/>
            </w14:solidFill>
          </w14:textFill>
        </w:rPr>
        <w:t>（四）整合资源加强科技法律服务</w:t>
      </w:r>
    </w:p>
    <w:p>
      <w:pPr>
        <w:spacing w:line="560" w:lineRule="exact"/>
        <w:ind w:firstLine="640" w:firstLineChars="200"/>
        <w:rPr>
          <w:rFonts w:ascii="仿宋_GB2312" w:eastAsia="仿宋_GB2312"/>
          <w:sz w:val="32"/>
          <w:szCs w:val="32"/>
        </w:rPr>
      </w:pPr>
      <w:r>
        <w:rPr>
          <w:rFonts w:hint="eastAsia" w:ascii="仿宋_GB2312" w:hAnsi="Calibri" w:eastAsia="仿宋_GB2312"/>
          <w:sz w:val="32"/>
          <w:szCs w:val="32"/>
        </w:rPr>
        <w:t>结合海淀区科技企业发展需求，海淀园法律工作领导小组统筹协调区域行政、司法等资源，积极为企业发展提供服务。2012年开始，</w:t>
      </w:r>
      <w:r>
        <w:rPr>
          <w:rFonts w:hint="eastAsia" w:ascii="仿宋_GB2312" w:eastAsia="仿宋_GB2312"/>
          <w:sz w:val="32"/>
          <w:szCs w:val="32"/>
        </w:rPr>
        <w:t>海淀区法院、检察院、公安分局、司法局、民政局、知识产权局、文化委、工商分局、人力资源和社会保障局等10家单位联合签署《</w:t>
      </w:r>
      <w:bookmarkStart w:id="6" w:name="OLE_LINK12"/>
      <w:bookmarkStart w:id="7" w:name="OLE_LINK11"/>
      <w:r>
        <w:rPr>
          <w:rFonts w:hint="eastAsia" w:ascii="仿宋_GB2312" w:eastAsia="仿宋_GB2312"/>
          <w:sz w:val="32"/>
          <w:szCs w:val="32"/>
        </w:rPr>
        <w:t>海淀区司法助推中关村核心区建设</w:t>
      </w:r>
      <w:bookmarkEnd w:id="6"/>
      <w:bookmarkEnd w:id="7"/>
      <w:r>
        <w:rPr>
          <w:rFonts w:hint="eastAsia" w:ascii="仿宋_GB2312" w:eastAsia="仿宋_GB2312"/>
          <w:sz w:val="32"/>
          <w:szCs w:val="32"/>
        </w:rPr>
        <w:t>工作备忘录》，构建“司法助推核心区建设”战略格局，</w:t>
      </w:r>
      <w:bookmarkStart w:id="12" w:name="_GoBack"/>
      <w:bookmarkEnd w:id="12"/>
      <w:r>
        <w:rPr>
          <w:rFonts w:hint="eastAsia" w:ascii="仿宋_GB2312" w:eastAsia="仿宋_GB2312"/>
          <w:sz w:val="32"/>
          <w:szCs w:val="32"/>
        </w:rPr>
        <w:t>此后，各部门结合本部门职能和科技企业特点，相继出台得力措施，加强法制宣传，完善诉前调解、类案速裁、检企联络、警企沟通等机制和平台建设，积极协调法律服务资源开展“为企业送法律、送服务”活动，切实维护企业合法权益，保障公平有序的市场竞争秩序。</w:t>
      </w:r>
    </w:p>
    <w:p>
      <w:pPr>
        <w:spacing w:line="560" w:lineRule="exact"/>
        <w:ind w:firstLine="640" w:firstLineChars="200"/>
        <w:rPr>
          <w:rFonts w:ascii="仿宋_GB2312" w:hAnsi="Calibri" w:eastAsia="仿宋_GB2312"/>
          <w:sz w:val="32"/>
          <w:szCs w:val="32"/>
        </w:rPr>
      </w:pPr>
      <w:r>
        <w:rPr>
          <w:rFonts w:hint="eastAsia" w:ascii="仿宋_GB2312" w:hAnsi="Calibri" w:eastAsia="仿宋_GB2312"/>
          <w:sz w:val="32"/>
          <w:szCs w:val="32"/>
        </w:rPr>
        <w:t>同时，推动构建多元立体的知识产权保护，一方面加强知识产权行政和司法保护，一方面完善知识产权法律援助体系建设，目前，海淀区已经形成1+8格局的12330工作体系，海淀知识产权局在英、德、法、芬等发达国家搭建的7个知识产权海外维权援助基地为走出国门的企业夯实了知识产权海外维权援助的基石；成立的中关村知识产权纠纷诉前调解中心等逐步构建了知识产权纠纷解决多元化机制，进一步畅通核心区企业知识产权纠纷处理的便捷渠道；同时，我们也正在着力推进海淀区重点产业领域国家知识产权快速协同保护中心建设工作。</w:t>
      </w:r>
    </w:p>
    <w:p>
      <w:pPr>
        <w:spacing w:line="560" w:lineRule="exact"/>
        <w:ind w:firstLine="643" w:firstLineChars="200"/>
        <w:rPr>
          <w:rFonts w:ascii="仿宋_GB2312" w:eastAsia="仿宋_GB2312"/>
          <w:sz w:val="32"/>
          <w:szCs w:val="32"/>
        </w:rPr>
      </w:pPr>
      <w:r>
        <w:rPr>
          <w:rFonts w:hint="eastAsia" w:eastAsia="仿宋_GB2312"/>
          <w:b/>
          <w:sz w:val="32"/>
          <w:szCs w:val="32"/>
        </w:rPr>
        <w:t>（五）</w:t>
      </w:r>
      <w:r>
        <w:rPr>
          <w:rFonts w:hint="eastAsia" w:ascii="仿宋_GB2312" w:eastAsia="仿宋_GB2312"/>
          <w:b/>
          <w:sz w:val="32"/>
          <w:szCs w:val="32"/>
        </w:rPr>
        <w:t>加强政策引导，优化创新创业服务环境</w:t>
      </w:r>
    </w:p>
    <w:p>
      <w:pPr>
        <w:spacing w:line="560" w:lineRule="exact"/>
        <w:ind w:firstLine="640" w:firstLineChars="200"/>
        <w:rPr>
          <w:rFonts w:eastAsia="仿宋_GB2312"/>
          <w:sz w:val="32"/>
          <w:szCs w:val="32"/>
        </w:rPr>
      </w:pPr>
      <w:r>
        <w:rPr>
          <w:rFonts w:hint="eastAsia" w:ascii="仿宋_GB2312" w:eastAsia="仿宋_GB2312"/>
          <w:sz w:val="32"/>
          <w:szCs w:val="32"/>
        </w:rPr>
        <w:t>先后出台《核心区科技服务业三年行动计划》、《海淀区优化创新生态环境支持办法》、《海淀区激发科技创业活力支持办法》、</w:t>
      </w:r>
      <w:r>
        <w:rPr>
          <w:rFonts w:hint="eastAsia" w:ascii="仿宋_GB2312" w:hAnsi="Calibri" w:eastAsia="仿宋_GB2312"/>
          <w:sz w:val="32"/>
          <w:szCs w:val="32"/>
        </w:rPr>
        <w:t>《关于支持知识产权和标准化服务业在中关村示范区集聚创新发展的办法》</w:t>
      </w:r>
      <w:r>
        <w:rPr>
          <w:rFonts w:hint="eastAsia" w:ascii="仿宋_GB2312" w:eastAsia="仿宋_GB2312"/>
          <w:sz w:val="32"/>
          <w:szCs w:val="32"/>
        </w:rPr>
        <w:t>等政策，支持新型创业孵化器、创新研发服务机构等创新创业服务载体建设，支持各类创新创业服务载体提升投融资服务、研发支持、市场拓展、创业辅导、知识产权、云计算、大数据等专业服务能力，进一步强化创新创业的服务支撑。培育科技服务业生态环境，打造集创业孵化服务、研发检测服务、技术转移服务、知识产权服务、法律服务、科技咨询服务、科技金融服务等为一体的全链条科技服务体系。</w:t>
      </w:r>
    </w:p>
    <w:p>
      <w:pPr>
        <w:spacing w:line="560" w:lineRule="exact"/>
        <w:ind w:firstLine="643" w:firstLineChars="200"/>
        <w:rPr>
          <w:rFonts w:ascii="黑体" w:hAnsi="仿宋" w:eastAsia="黑体"/>
          <w:sz w:val="32"/>
          <w:szCs w:val="32"/>
        </w:rPr>
      </w:pPr>
      <w:r>
        <w:rPr>
          <w:rStyle w:val="26"/>
          <w:rFonts w:hint="eastAsia" w:ascii="仿宋_GB2312" w:eastAsia="仿宋_GB2312"/>
        </w:rPr>
        <w:t>二</w:t>
      </w:r>
      <w:r>
        <w:rPr>
          <w:rFonts w:hint="eastAsia" w:ascii="黑体" w:hAnsi="仿宋" w:eastAsia="黑体"/>
          <w:b/>
          <w:sz w:val="32"/>
          <w:szCs w:val="32"/>
        </w:rPr>
        <w:t>、</w:t>
      </w:r>
      <w:r>
        <w:rPr>
          <w:rFonts w:hint="eastAsia" w:ascii="黑体" w:hAnsi="仿宋" w:eastAsia="黑体"/>
          <w:sz w:val="32"/>
          <w:szCs w:val="32"/>
        </w:rPr>
        <w:t>提案办理具体措施</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海淀区一直以来鼓励并支持科技服务业大力发展，针对提案中提出的</w:t>
      </w:r>
      <w:r>
        <w:rPr>
          <w:rFonts w:hint="eastAsia" w:ascii="仿宋_GB2312" w:hAnsi="仿宋" w:eastAsia="仿宋_GB2312"/>
          <w:color w:val="FF0000"/>
          <w:sz w:val="32"/>
          <w:szCs w:val="32"/>
        </w:rPr>
        <w:t>以服务中关村科学城核心区建设创新产业发展为目的，整合司法机关、行政机关、法律服务机构、金融机构等多方力量，依托互联网和大数据技术，建立起一个高效便捷的综合性法律服务平台</w:t>
      </w:r>
      <w:r>
        <w:rPr>
          <w:rFonts w:hint="eastAsia" w:ascii="仿宋_GB2312" w:hAnsi="仿宋" w:eastAsia="仿宋_GB2312"/>
          <w:sz w:val="32"/>
          <w:szCs w:val="32"/>
        </w:rPr>
        <w:t>的建议，综合相关协办单位具体意见，海淀园将会同相关协办部门做好服务对接工作：</w:t>
      </w:r>
    </w:p>
    <w:p>
      <w:pPr>
        <w:spacing w:line="560" w:lineRule="exact"/>
        <w:ind w:firstLine="643" w:firstLineChars="200"/>
        <w:rPr>
          <w:rFonts w:ascii="仿宋_GB2312" w:hAnsi="仿宋" w:eastAsia="仿宋_GB2312"/>
          <w:b/>
          <w:sz w:val="32"/>
          <w:szCs w:val="32"/>
        </w:rPr>
      </w:pPr>
      <w:r>
        <w:rPr>
          <w:rFonts w:hint="eastAsia" w:ascii="仿宋_GB2312" w:hAnsi="仿宋" w:eastAsia="仿宋_GB2312"/>
          <w:b/>
          <w:sz w:val="32"/>
          <w:szCs w:val="32"/>
        </w:rPr>
        <w:t>（一）平台筹建对接服务</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一是根据平台建立具体需求协助提供海淀区目前可选办公空间信息等；二是协助推进平台实体登记注册工作。</w:t>
      </w:r>
    </w:p>
    <w:p>
      <w:pPr>
        <w:spacing w:line="560" w:lineRule="exact"/>
        <w:ind w:firstLine="643" w:firstLineChars="200"/>
        <w:rPr>
          <w:rFonts w:ascii="仿宋_GB2312" w:hAnsi="仿宋" w:eastAsia="仿宋_GB2312"/>
          <w:b/>
          <w:sz w:val="32"/>
          <w:szCs w:val="32"/>
        </w:rPr>
      </w:pPr>
      <w:r>
        <w:rPr>
          <w:rFonts w:hint="eastAsia" w:ascii="仿宋_GB2312" w:hAnsi="仿宋" w:eastAsia="仿宋_GB2312"/>
          <w:b/>
          <w:sz w:val="32"/>
          <w:szCs w:val="32"/>
        </w:rPr>
        <w:t>（二）对接提供相关政务服务</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如区政府支持平台设立，我们将按照区政府统一部署，根据平台发展需要可以协调推进开设工商、技术合同登记等政务服务窗口；司法局可根据需要提供相应律师、公证、法律援助服务。目前，公安经济侦查部门已经开通24小时的服务，能满足当前相应需求，同时，鉴于公平、公正等相关因素考量，公、检、法等部门的相关职能不宜参与到该平台，但是法院可以在推进多元调解方面开展对接。</w:t>
      </w:r>
    </w:p>
    <w:p>
      <w:pPr>
        <w:spacing w:line="560" w:lineRule="exact"/>
        <w:ind w:firstLine="643" w:firstLineChars="200"/>
        <w:rPr>
          <w:rFonts w:ascii="仿宋_GB2312" w:hAnsi="仿宋" w:eastAsia="仿宋_GB2312"/>
          <w:b/>
          <w:sz w:val="32"/>
          <w:szCs w:val="32"/>
        </w:rPr>
      </w:pPr>
      <w:r>
        <w:rPr>
          <w:rFonts w:hint="eastAsia" w:ascii="仿宋_GB2312" w:hAnsi="仿宋" w:eastAsia="仿宋_GB2312"/>
          <w:b/>
          <w:sz w:val="32"/>
          <w:szCs w:val="32"/>
        </w:rPr>
        <w:t>（三）科技服务业相关政策支持</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如该平台在海淀注册成立，根据海淀区产业发展政策,如平台提供的服务符合海淀区</w:t>
      </w:r>
      <w:bookmarkStart w:id="8" w:name="OLE_LINK27"/>
      <w:bookmarkStart w:id="9" w:name="OLE_LINK26"/>
      <w:r>
        <w:rPr>
          <w:rFonts w:hint="eastAsia" w:ascii="仿宋_GB2312" w:hAnsi="仿宋" w:eastAsia="仿宋_GB2312"/>
          <w:sz w:val="32"/>
          <w:szCs w:val="32"/>
        </w:rPr>
        <w:t>科技服务业发展</w:t>
      </w:r>
      <w:bookmarkEnd w:id="8"/>
      <w:bookmarkEnd w:id="9"/>
      <w:r>
        <w:rPr>
          <w:rFonts w:hint="eastAsia" w:ascii="仿宋_GB2312" w:hAnsi="仿宋" w:eastAsia="仿宋_GB2312"/>
          <w:sz w:val="32"/>
          <w:szCs w:val="32"/>
        </w:rPr>
        <w:t>及人才等相关政策，可以申报海淀区1+4产业发展专项资金中的科技服务业类相关专项，海淀区产业发展资金申报平台全年开放申报。主要相关政策如下：</w:t>
      </w:r>
    </w:p>
    <w:p>
      <w:pPr>
        <w:spacing w:line="520" w:lineRule="atLeast"/>
        <w:ind w:firstLine="643" w:firstLineChars="200"/>
        <w:jc w:val="left"/>
        <w:rPr>
          <w:rFonts w:ascii="仿宋_GB2312" w:hAnsi="仿宋" w:eastAsia="仿宋_GB2312"/>
          <w:sz w:val="32"/>
          <w:szCs w:val="32"/>
        </w:rPr>
      </w:pPr>
      <w:r>
        <w:rPr>
          <w:rFonts w:hint="eastAsia" w:ascii="仿宋_GB2312" w:hAnsi="仿宋" w:eastAsia="仿宋_GB2312"/>
          <w:b/>
          <w:sz w:val="32"/>
          <w:szCs w:val="32"/>
        </w:rPr>
        <w:t>1.支持服务载体专业化服务能力建设。</w:t>
      </w:r>
      <w:r>
        <w:rPr>
          <w:rFonts w:hint="eastAsia" w:ascii="仿宋_GB2312" w:hAnsi="仿宋" w:eastAsia="仿宋_GB2312"/>
          <w:bCs/>
          <w:sz w:val="32"/>
          <w:szCs w:val="32"/>
        </w:rPr>
        <w:t>《</w:t>
      </w:r>
      <w:r>
        <w:rPr>
          <w:rFonts w:hint="eastAsia" w:ascii="仿宋_GB2312" w:hAnsi="仿宋" w:eastAsia="仿宋_GB2312"/>
          <w:sz w:val="32"/>
          <w:szCs w:val="32"/>
        </w:rPr>
        <w:t>海淀区优化创新生态环境支持办法》第六条，优化中小企业公共服务环境。支持各类投资主体建设符合核心区重点产业方向的创新创业服务载体，对经认定的服务载体，加大支持力度，营造最适宜的创新创业服务环境。第一款规定：支持服务载体专业化服务能力建设，组织、引导服务载体为企业提供知识产权信息情报、营销及云计算、大数据等信息化服务以及创业辅导、融资等服务。按照服务能力、服务绩效等建立评价体系，对服务载体进行综合评价，根据评价结果给予最高50万元奖励。</w:t>
      </w:r>
    </w:p>
    <w:p>
      <w:pPr>
        <w:spacing w:line="520" w:lineRule="atLeast"/>
        <w:ind w:firstLine="643" w:firstLineChars="200"/>
        <w:jc w:val="left"/>
        <w:rPr>
          <w:rFonts w:ascii="仿宋_GB2312" w:hAnsi="仿宋" w:eastAsia="仿宋_GB2312"/>
          <w:sz w:val="32"/>
          <w:szCs w:val="32"/>
        </w:rPr>
      </w:pPr>
      <w:r>
        <w:rPr>
          <w:rFonts w:hint="eastAsia" w:ascii="仿宋_GB2312" w:hAnsi="仿宋" w:eastAsia="仿宋_GB2312"/>
          <w:b/>
          <w:sz w:val="32"/>
          <w:szCs w:val="32"/>
        </w:rPr>
        <w:t>2.知识产权与技术转移服务专项政策。</w:t>
      </w:r>
      <w:r>
        <w:rPr>
          <w:rFonts w:hint="eastAsia" w:ascii="仿宋_GB2312" w:hAnsi="仿宋" w:eastAsia="仿宋_GB2312"/>
          <w:bCs/>
          <w:sz w:val="32"/>
          <w:szCs w:val="32"/>
        </w:rPr>
        <w:t>《海淀区优化创新生态环境支持办法》第八条第一款，</w:t>
      </w:r>
      <w:r>
        <w:rPr>
          <w:rFonts w:hint="eastAsia" w:ascii="仿宋_GB2312" w:hAnsi="仿宋" w:eastAsia="仿宋_GB2312"/>
          <w:sz w:val="32"/>
          <w:szCs w:val="32"/>
        </w:rPr>
        <w:t>支持面向企业、高校院所、服务机构等各类市场主体，搭建技术转移与专利交易供需对接平台，为各类主体提供信息发布、竞价交易等基础服务。对技术转移服务机构、知识产权服务机构，根据其年度提供服务促成的技术交易额等进行奖励，最高奖励金额50万元。</w:t>
      </w:r>
    </w:p>
    <w:p>
      <w:pPr>
        <w:widowControl/>
        <w:spacing w:line="520" w:lineRule="atLeast"/>
        <w:ind w:firstLine="643" w:firstLineChars="200"/>
        <w:jc w:val="left"/>
        <w:rPr>
          <w:rFonts w:ascii="仿宋_GB2312" w:hAnsi="仿宋" w:eastAsia="仿宋_GB2312"/>
          <w:sz w:val="32"/>
          <w:szCs w:val="32"/>
        </w:rPr>
      </w:pPr>
      <w:r>
        <w:rPr>
          <w:rFonts w:hint="eastAsia" w:ascii="仿宋_GB2312" w:hAnsi="仿宋" w:eastAsia="仿宋_GB2312"/>
          <w:b/>
          <w:sz w:val="32"/>
          <w:szCs w:val="32"/>
        </w:rPr>
        <w:t>3.海英人才、创新领军人才、知识产权人才支持政策。</w:t>
      </w:r>
      <w:r>
        <w:rPr>
          <w:rFonts w:hint="eastAsia" w:ascii="仿宋_GB2312" w:hAnsi="仿宋" w:eastAsia="仿宋_GB2312"/>
          <w:sz w:val="32"/>
          <w:szCs w:val="32"/>
        </w:rPr>
        <w:t>《海淀区激发科技创业活力支持办法》第七条第一款，鼓励各类人才（团队）在核心区创新创业，经认定纳入“海英人才”予以支持。根据“海英人才”的创新成就、区级贡献等，给予最高30万元（团队最高50万元）奖励，连续实施三年；同时对“海英人才”等高端人才给予公租房配租、医疗、子女教育、房租补贴等方面支持。</w:t>
      </w:r>
      <w:bookmarkStart w:id="10" w:name="OLE_LINK55"/>
      <w:bookmarkStart w:id="11" w:name="OLE_LINK54"/>
    </w:p>
    <w:p>
      <w:pPr>
        <w:widowControl/>
        <w:spacing w:line="520" w:lineRule="atLeast"/>
        <w:ind w:firstLine="640" w:firstLineChars="200"/>
        <w:jc w:val="left"/>
        <w:rPr>
          <w:rFonts w:ascii="仿宋_GB2312" w:hAnsi="仿宋" w:eastAsia="仿宋_GB2312"/>
          <w:sz w:val="32"/>
          <w:szCs w:val="32"/>
        </w:rPr>
      </w:pPr>
      <w:r>
        <w:rPr>
          <w:rFonts w:hint="eastAsia" w:ascii="仿宋_GB2312" w:hAnsi="仿宋" w:eastAsia="仿宋_GB2312"/>
          <w:sz w:val="32"/>
          <w:szCs w:val="32"/>
        </w:rPr>
        <w:t>另外,入驻知识产权一条街的高端知识产权服务机构可以享受房租补贴等相关政策支持,海淀区科技服务机构除享受海淀区产业发展专项政策支持以外，同时也能享受中关村管委会</w:t>
      </w:r>
      <w:bookmarkEnd w:id="10"/>
      <w:bookmarkEnd w:id="11"/>
      <w:r>
        <w:rPr>
          <w:rFonts w:hint="eastAsia" w:ascii="仿宋_GB2312" w:hAnsi="仿宋" w:eastAsia="仿宋_GB2312"/>
          <w:sz w:val="32"/>
          <w:szCs w:val="32"/>
        </w:rPr>
        <w:t>、北京市知识产权局、市科委等部门在创新服务、国际化活动及人才等方面政策的优先支持。</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对于“千人计划”等高端人才引进落户等问题是按照国家和北京市相关政策按程序予以支持，根据相关政策，中组部“千人计划”、北京市“海聚工程”、中关村“高聚工程”等三类项目的中国籍入选者可以视实际贡献及本人需求，办理人才引进落户；外籍入选者及其随迁外籍配偶和未成年子女，可办理《外国人永久居留证》，或2-5年有效期的多次往返签证。</w:t>
      </w:r>
    </w:p>
    <w:p>
      <w:pPr>
        <w:spacing w:line="560" w:lineRule="exact"/>
        <w:ind w:firstLine="640" w:firstLineChars="200"/>
        <w:rPr>
          <w:rFonts w:ascii="仿宋_GB2312" w:hAnsi="仿宋" w:eastAsia="仿宋_GB2312"/>
          <w:kern w:val="0"/>
          <w:sz w:val="32"/>
          <w:szCs w:val="32"/>
        </w:rPr>
      </w:pPr>
      <w:r>
        <w:rPr>
          <w:rFonts w:hint="eastAsia" w:ascii="仿宋_GB2312" w:hAnsi="仿宋" w:eastAsia="仿宋_GB2312"/>
          <w:sz w:val="32"/>
          <w:szCs w:val="32"/>
        </w:rPr>
        <w:t>对于建议中提及的税收补贴政策，由于管理权限限制，基层部门只能按国家相关税务政策执行，并提供相应服务。</w:t>
      </w:r>
    </w:p>
    <w:p>
      <w:pPr>
        <w:spacing w:line="560" w:lineRule="exact"/>
        <w:ind w:firstLine="640" w:firstLineChars="200"/>
        <w:rPr>
          <w:rFonts w:ascii="仿宋_GB2312" w:hAnsi="仿宋" w:eastAsia="仿宋_GB2312"/>
          <w:kern w:val="0"/>
          <w:sz w:val="32"/>
          <w:szCs w:val="32"/>
        </w:rPr>
      </w:pPr>
    </w:p>
    <w:p>
      <w:pPr>
        <w:spacing w:line="560" w:lineRule="exact"/>
        <w:ind w:firstLine="640" w:firstLineChars="200"/>
        <w:rPr>
          <w:rFonts w:ascii="仿宋_GB2312" w:hAnsi="仿宋" w:eastAsia="仿宋_GB2312"/>
          <w:sz w:val="32"/>
          <w:szCs w:val="32"/>
        </w:rPr>
      </w:pPr>
      <w:r>
        <w:rPr>
          <w:rFonts w:hint="eastAsia" w:ascii="仿宋_GB2312" w:hAnsi="仿宋" w:eastAsia="仿宋_GB2312"/>
          <w:kern w:val="0"/>
          <w:sz w:val="32"/>
          <w:szCs w:val="32"/>
        </w:rPr>
        <w:t>针对</w:t>
      </w:r>
      <w:r>
        <w:rPr>
          <w:rFonts w:hint="eastAsia" w:ascii="仿宋_GB2312" w:hAnsi="仿宋" w:eastAsia="仿宋_GB2312"/>
          <w:sz w:val="32"/>
          <w:szCs w:val="32"/>
        </w:rPr>
        <w:t>贵党派提出的关于设立“中关村科学城建设法务加速创新平台”的建议，</w:t>
      </w:r>
      <w:r>
        <w:rPr>
          <w:rFonts w:hint="eastAsia" w:ascii="仿宋_GB2312" w:eastAsia="仿宋_GB2312" w:cs="Adobe 仿宋 Std R"/>
          <w:kern w:val="0"/>
          <w:sz w:val="32"/>
          <w:szCs w:val="32"/>
        </w:rPr>
        <w:t>海淀园将结合具体工作实际情况，下一步待该平台设立后，将协同相关部门共同努力推进此项工作。</w:t>
      </w:r>
    </w:p>
    <w:p>
      <w:pPr>
        <w:pStyle w:val="3"/>
        <w:spacing w:line="560" w:lineRule="exact"/>
        <w:rPr>
          <w:rFonts w:ascii="仿宋_GB2312" w:hAnsi="仿宋"/>
          <w:szCs w:val="32"/>
        </w:rPr>
      </w:pPr>
      <w:r>
        <w:rPr>
          <w:rFonts w:hint="eastAsia" w:ascii="仿宋_GB2312" w:hAnsi="仿宋"/>
          <w:szCs w:val="32"/>
        </w:rPr>
        <w:t>以上答复不知妥否，还请继续提出宝贵意见和建议。衷心感谢贵党派对海淀区科技创新发展工作的关注、关心，我们将虚心接受大家的建议，认真结合海淀区创新驱动发展及科技服务工作发展实际，与其他有关部门通力协作，进一步推动政府引导、市场化运作的科技服务业市场繁荣发展，更好服务于区域企业创新驱动发展，服务于中关村科学城建设，推进全国科技创新中心核心区建设。</w:t>
      </w:r>
    </w:p>
    <w:p>
      <w:pPr>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感谢贵党派对我们工作的关注与支持！</w:t>
      </w:r>
    </w:p>
    <w:p>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        </w:t>
      </w:r>
    </w:p>
    <w:p>
      <w:pPr>
        <w:snapToGrid w:val="0"/>
        <w:spacing w:line="560" w:lineRule="exact"/>
        <w:ind w:right="55"/>
        <w:jc w:val="center"/>
        <w:rPr>
          <w:rFonts w:ascii="仿宋_GB2312" w:hAnsi="仿宋" w:eastAsia="仿宋_GB2312"/>
          <w:sz w:val="32"/>
          <w:szCs w:val="32"/>
        </w:rPr>
      </w:pPr>
      <w:r>
        <w:rPr>
          <w:rFonts w:hint="eastAsia" w:ascii="仿宋_GB2312" w:hAnsi="仿宋" w:eastAsia="仿宋_GB2312"/>
          <w:sz w:val="32"/>
          <w:szCs w:val="32"/>
        </w:rPr>
        <w:t xml:space="preserve">       </w:t>
      </w:r>
    </w:p>
    <w:p>
      <w:pPr>
        <w:snapToGrid w:val="0"/>
        <w:spacing w:line="560" w:lineRule="exact"/>
        <w:ind w:right="55"/>
        <w:jc w:val="center"/>
        <w:rPr>
          <w:rFonts w:ascii="仿宋_GB2312" w:hAnsi="仿宋" w:eastAsia="仿宋_GB2312"/>
          <w:sz w:val="32"/>
          <w:szCs w:val="32"/>
        </w:rPr>
      </w:pPr>
      <w:r>
        <w:rPr>
          <w:rFonts w:hint="eastAsia" w:ascii="仿宋_GB2312" w:hAnsi="仿宋" w:eastAsia="仿宋_GB2312"/>
          <w:sz w:val="32"/>
          <w:szCs w:val="32"/>
        </w:rPr>
        <w:t xml:space="preserve">                   </w:t>
      </w:r>
    </w:p>
    <w:p>
      <w:pPr>
        <w:spacing w:line="560" w:lineRule="exact"/>
        <w:ind w:left="630" w:leftChars="300" w:firstLine="4000" w:firstLineChars="1250"/>
        <w:rPr>
          <w:rFonts w:ascii="仿宋_GB2312" w:eastAsia="仿宋_GB2312"/>
          <w:b/>
          <w:sz w:val="32"/>
        </w:rPr>
      </w:pPr>
      <w:r>
        <w:rPr>
          <w:rFonts w:hint="eastAsia" w:ascii="仿宋_GB2312" w:eastAsia="仿宋_GB2312"/>
          <w:sz w:val="32"/>
        </w:rPr>
        <w:t>中关村科技园区海淀园管委会</w:t>
      </w:r>
    </w:p>
    <w:p>
      <w:pPr>
        <w:spacing w:line="560" w:lineRule="exact"/>
        <w:ind w:firstLine="5600" w:firstLineChars="1750"/>
        <w:rPr>
          <w:rFonts w:ascii="仿宋_GB2312" w:eastAsia="仿宋_GB2312"/>
          <w:sz w:val="32"/>
        </w:rPr>
      </w:pPr>
      <w:r>
        <w:rPr>
          <w:rFonts w:hint="eastAsia" w:ascii="仿宋_GB2312" w:eastAsia="仿宋_GB2312"/>
          <w:sz w:val="32"/>
        </w:rPr>
        <w:t>2017年4月28日</w:t>
      </w:r>
    </w:p>
    <w:p>
      <w:pPr>
        <w:spacing w:line="560" w:lineRule="exact"/>
        <w:rPr>
          <w:rFonts w:ascii="仿宋_GB2312" w:hAnsi="宋体" w:eastAsia="仿宋_GB2312" w:cs="仿宋_GB2312"/>
          <w:spacing w:val="20"/>
          <w:kern w:val="0"/>
          <w:sz w:val="32"/>
          <w:szCs w:val="32"/>
        </w:rPr>
      </w:pPr>
    </w:p>
    <w:p>
      <w:pPr>
        <w:spacing w:line="560" w:lineRule="exact"/>
        <w:rPr>
          <w:rFonts w:ascii="仿宋_GB2312" w:hAnsi="宋体" w:eastAsia="仿宋_GB2312" w:cs="仿宋_GB2312"/>
          <w:spacing w:val="20"/>
          <w:kern w:val="0"/>
          <w:sz w:val="32"/>
          <w:szCs w:val="32"/>
        </w:rPr>
      </w:pPr>
      <w:r>
        <w:rPr>
          <w:rFonts w:hint="eastAsia" w:ascii="仿宋_GB2312" w:hAnsi="宋体" w:eastAsia="仿宋_GB2312" w:cs="仿宋_GB2312"/>
          <w:spacing w:val="20"/>
          <w:kern w:val="0"/>
          <w:sz w:val="32"/>
          <w:szCs w:val="32"/>
        </w:rPr>
        <w:t>联系人：</w:t>
      </w:r>
    </w:p>
    <w:p>
      <w:pPr>
        <w:spacing w:line="560" w:lineRule="exact"/>
        <w:rPr>
          <w:rFonts w:ascii="仿宋_GB2312" w:hAnsi="宋体" w:eastAsia="仿宋_GB2312" w:cs="仿宋_GB2312"/>
          <w:spacing w:val="20"/>
          <w:kern w:val="0"/>
          <w:sz w:val="32"/>
          <w:szCs w:val="32"/>
        </w:rPr>
      </w:pPr>
      <w:r>
        <w:rPr>
          <w:rFonts w:hint="eastAsia" w:ascii="仿宋_GB2312" w:hAnsi="宋体" w:eastAsia="仿宋_GB2312" w:cs="仿宋_GB2312"/>
          <w:spacing w:val="20"/>
          <w:kern w:val="0"/>
          <w:sz w:val="32"/>
          <w:szCs w:val="32"/>
        </w:rPr>
        <w:t xml:space="preserve">单位主要领导签字：  </w:t>
      </w:r>
    </w:p>
    <w:p>
      <w:pPr>
        <w:spacing w:line="560" w:lineRule="exact"/>
        <w:rPr>
          <w:rFonts w:ascii="黑体" w:hAnsi="黑体" w:eastAsia="黑体"/>
          <w:b/>
          <w:bCs/>
          <w:sz w:val="44"/>
        </w:rPr>
      </w:pPr>
      <w:r>
        <w:rPr>
          <w:rFonts w:hint="eastAsia" w:ascii="仿宋_GB2312" w:hAnsi="宋体" w:eastAsia="仿宋_GB2312" w:cs="仿宋_GB2312"/>
          <w:spacing w:val="20"/>
          <w:kern w:val="0"/>
          <w:sz w:val="32"/>
          <w:szCs w:val="32"/>
        </w:rPr>
        <w:t>区主管领导签字：</w:t>
      </w:r>
    </w:p>
    <w:p>
      <w:pPr>
        <w:widowControl/>
        <w:jc w:val="left"/>
        <w:rPr>
          <w:rFonts w:ascii="仿宋_GB2312" w:eastAsia="仿宋_GB2312"/>
          <w:b/>
          <w:sz w:val="32"/>
          <w:szCs w:val="32"/>
        </w:rPr>
      </w:pPr>
    </w:p>
    <w:sectPr>
      <w:footerReference r:id="rId3" w:type="default"/>
      <w:footerReference r:id="rId4" w:type="even"/>
      <w:pgSz w:w="11906" w:h="16838"/>
      <w:pgMar w:top="2098" w:right="1474" w:bottom="1985" w:left="1588" w:header="851" w:footer="992" w:gutter="0"/>
      <w:pgNumType w:fmt="numberInDash"/>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Adobe 仿宋 Std R">
    <w:altName w:val="宋体"/>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3"/>
        <w:rFonts w:ascii="宋体" w:hAnsi="宋体"/>
        <w:sz w:val="28"/>
        <w:szCs w:val="28"/>
      </w:rPr>
    </w:pPr>
    <w:r>
      <w:rPr>
        <w:rStyle w:val="13"/>
        <w:rFonts w:ascii="宋体" w:hAnsi="宋体"/>
        <w:sz w:val="28"/>
        <w:szCs w:val="28"/>
      </w:rPr>
      <w:fldChar w:fldCharType="begin"/>
    </w:r>
    <w:r>
      <w:rPr>
        <w:rStyle w:val="13"/>
        <w:rFonts w:ascii="宋体" w:hAnsi="宋体"/>
        <w:sz w:val="28"/>
        <w:szCs w:val="28"/>
      </w:rPr>
      <w:instrText xml:space="preserve">PAGE  </w:instrText>
    </w:r>
    <w:r>
      <w:rPr>
        <w:rStyle w:val="13"/>
        <w:rFonts w:ascii="宋体" w:hAnsi="宋体"/>
        <w:sz w:val="28"/>
        <w:szCs w:val="28"/>
      </w:rPr>
      <w:fldChar w:fldCharType="separate"/>
    </w:r>
    <w:r>
      <w:rPr>
        <w:rStyle w:val="13"/>
        <w:rFonts w:ascii="宋体" w:hAnsi="宋体"/>
        <w:sz w:val="28"/>
        <w:szCs w:val="28"/>
      </w:rPr>
      <w:t>- 9 -</w:t>
    </w:r>
    <w:r>
      <w:rPr>
        <w:rStyle w:val="13"/>
        <w:rFonts w:ascii="宋体" w:hAnsi="宋体"/>
        <w:sz w:val="28"/>
        <w:szCs w:val="28"/>
      </w:rPr>
      <w:fldChar w:fldCharType="end"/>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3"/>
      </w:rPr>
    </w:pPr>
    <w:r>
      <w:rPr>
        <w:rStyle w:val="13"/>
      </w:rPr>
      <w:fldChar w:fldCharType="begin"/>
    </w:r>
    <w:r>
      <w:rPr>
        <w:rStyle w:val="13"/>
      </w:rPr>
      <w:instrText xml:space="preserve">PAGE  </w:instrText>
    </w:r>
    <w:r>
      <w:rPr>
        <w:rStyle w:val="13"/>
      </w:rPr>
      <w:fldChar w:fldCharType="end"/>
    </w:r>
  </w:p>
  <w:p>
    <w:pPr>
      <w:pStyle w:val="6"/>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3866"/>
    <w:multiLevelType w:val="multilevel"/>
    <w:tmpl w:val="05AF3866"/>
    <w:lvl w:ilvl="0" w:tentative="0">
      <w:start w:val="1"/>
      <w:numFmt w:val="japaneseCounting"/>
      <w:pStyle w:val="18"/>
      <w:lvlText w:val="%1、"/>
      <w:lvlJc w:val="left"/>
      <w:pPr>
        <w:tabs>
          <w:tab w:val="left" w:pos="1360"/>
        </w:tabs>
        <w:ind w:left="1360" w:hanging="720"/>
      </w:pPr>
      <w:rPr>
        <w:rFonts w:hint="default"/>
      </w:rPr>
    </w:lvl>
    <w:lvl w:ilvl="1" w:tentative="0">
      <w:start w:val="1"/>
      <w:numFmt w:val="lowerLetter"/>
      <w:lvlText w:val="%2)"/>
      <w:lvlJc w:val="left"/>
      <w:pPr>
        <w:tabs>
          <w:tab w:val="left" w:pos="1480"/>
        </w:tabs>
        <w:ind w:left="1480" w:hanging="420"/>
      </w:pPr>
    </w:lvl>
    <w:lvl w:ilvl="2" w:tentative="0">
      <w:start w:val="1"/>
      <w:numFmt w:val="lowerRoman"/>
      <w:lvlText w:val="%3."/>
      <w:lvlJc w:val="right"/>
      <w:pPr>
        <w:tabs>
          <w:tab w:val="left" w:pos="1900"/>
        </w:tabs>
        <w:ind w:left="1900" w:hanging="420"/>
      </w:pPr>
    </w:lvl>
    <w:lvl w:ilvl="3" w:tentative="0">
      <w:start w:val="1"/>
      <w:numFmt w:val="decimal"/>
      <w:lvlText w:val="%4."/>
      <w:lvlJc w:val="left"/>
      <w:pPr>
        <w:tabs>
          <w:tab w:val="left" w:pos="2320"/>
        </w:tabs>
        <w:ind w:left="2320" w:hanging="420"/>
      </w:pPr>
    </w:lvl>
    <w:lvl w:ilvl="4" w:tentative="0">
      <w:start w:val="1"/>
      <w:numFmt w:val="lowerLetter"/>
      <w:lvlText w:val="%5)"/>
      <w:lvlJc w:val="left"/>
      <w:pPr>
        <w:tabs>
          <w:tab w:val="left" w:pos="2740"/>
        </w:tabs>
        <w:ind w:left="2740" w:hanging="420"/>
      </w:pPr>
    </w:lvl>
    <w:lvl w:ilvl="5" w:tentative="0">
      <w:start w:val="1"/>
      <w:numFmt w:val="lowerRoman"/>
      <w:lvlText w:val="%6."/>
      <w:lvlJc w:val="right"/>
      <w:pPr>
        <w:tabs>
          <w:tab w:val="left" w:pos="3160"/>
        </w:tabs>
        <w:ind w:left="3160" w:hanging="420"/>
      </w:pPr>
    </w:lvl>
    <w:lvl w:ilvl="6" w:tentative="0">
      <w:start w:val="1"/>
      <w:numFmt w:val="decimal"/>
      <w:lvlText w:val="%7."/>
      <w:lvlJc w:val="left"/>
      <w:pPr>
        <w:tabs>
          <w:tab w:val="left" w:pos="3580"/>
        </w:tabs>
        <w:ind w:left="3580" w:hanging="420"/>
      </w:pPr>
    </w:lvl>
    <w:lvl w:ilvl="7" w:tentative="0">
      <w:start w:val="1"/>
      <w:numFmt w:val="lowerLetter"/>
      <w:lvlText w:val="%8)"/>
      <w:lvlJc w:val="left"/>
      <w:pPr>
        <w:tabs>
          <w:tab w:val="left" w:pos="4000"/>
        </w:tabs>
        <w:ind w:left="4000" w:hanging="420"/>
      </w:pPr>
    </w:lvl>
    <w:lvl w:ilvl="8" w:tentative="0">
      <w:start w:val="1"/>
      <w:numFmt w:val="lowerRoman"/>
      <w:lvlText w:val="%9."/>
      <w:lvlJc w:val="right"/>
      <w:pPr>
        <w:tabs>
          <w:tab w:val="left" w:pos="4420"/>
        </w:tabs>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661"/>
    <w:rsid w:val="000047F2"/>
    <w:rsid w:val="00054C85"/>
    <w:rsid w:val="000A122C"/>
    <w:rsid w:val="000A5F73"/>
    <w:rsid w:val="000B478F"/>
    <w:rsid w:val="000B5C96"/>
    <w:rsid w:val="000D58ED"/>
    <w:rsid w:val="00107C68"/>
    <w:rsid w:val="0011760C"/>
    <w:rsid w:val="0012349F"/>
    <w:rsid w:val="00127C61"/>
    <w:rsid w:val="00144FDC"/>
    <w:rsid w:val="00155506"/>
    <w:rsid w:val="00164486"/>
    <w:rsid w:val="00177FCB"/>
    <w:rsid w:val="001849BC"/>
    <w:rsid w:val="00197741"/>
    <w:rsid w:val="001A2E9D"/>
    <w:rsid w:val="001C4E96"/>
    <w:rsid w:val="0024133A"/>
    <w:rsid w:val="00256E0A"/>
    <w:rsid w:val="002B208C"/>
    <w:rsid w:val="002B375E"/>
    <w:rsid w:val="002D28DC"/>
    <w:rsid w:val="002F2B80"/>
    <w:rsid w:val="003150B9"/>
    <w:rsid w:val="00333644"/>
    <w:rsid w:val="00342DA6"/>
    <w:rsid w:val="00350BE2"/>
    <w:rsid w:val="00357001"/>
    <w:rsid w:val="00391D31"/>
    <w:rsid w:val="003C4642"/>
    <w:rsid w:val="00447972"/>
    <w:rsid w:val="00460556"/>
    <w:rsid w:val="004A6452"/>
    <w:rsid w:val="004B0925"/>
    <w:rsid w:val="004E0C19"/>
    <w:rsid w:val="0050570A"/>
    <w:rsid w:val="005364F7"/>
    <w:rsid w:val="00557D50"/>
    <w:rsid w:val="0058337F"/>
    <w:rsid w:val="005B4F81"/>
    <w:rsid w:val="00606DC8"/>
    <w:rsid w:val="00691164"/>
    <w:rsid w:val="006A5909"/>
    <w:rsid w:val="006B5F26"/>
    <w:rsid w:val="006D7DDD"/>
    <w:rsid w:val="006E0249"/>
    <w:rsid w:val="00737D6D"/>
    <w:rsid w:val="00786D8C"/>
    <w:rsid w:val="007B71A8"/>
    <w:rsid w:val="007C583E"/>
    <w:rsid w:val="007E07A6"/>
    <w:rsid w:val="007F0AC5"/>
    <w:rsid w:val="00812A1F"/>
    <w:rsid w:val="008516A5"/>
    <w:rsid w:val="00855633"/>
    <w:rsid w:val="00881A53"/>
    <w:rsid w:val="00885DC5"/>
    <w:rsid w:val="008B15D6"/>
    <w:rsid w:val="008C567F"/>
    <w:rsid w:val="009327CC"/>
    <w:rsid w:val="00966E9A"/>
    <w:rsid w:val="0098334F"/>
    <w:rsid w:val="00994A86"/>
    <w:rsid w:val="009B5093"/>
    <w:rsid w:val="009D0A4B"/>
    <w:rsid w:val="00A42B3A"/>
    <w:rsid w:val="00A43638"/>
    <w:rsid w:val="00A55FAD"/>
    <w:rsid w:val="00A87ED3"/>
    <w:rsid w:val="00AB01AF"/>
    <w:rsid w:val="00AD2E4B"/>
    <w:rsid w:val="00B11CD8"/>
    <w:rsid w:val="00B3176A"/>
    <w:rsid w:val="00B812AF"/>
    <w:rsid w:val="00BB4DA1"/>
    <w:rsid w:val="00BC207D"/>
    <w:rsid w:val="00BE1ED2"/>
    <w:rsid w:val="00BF086E"/>
    <w:rsid w:val="00C14C66"/>
    <w:rsid w:val="00C335F0"/>
    <w:rsid w:val="00C35298"/>
    <w:rsid w:val="00C730B2"/>
    <w:rsid w:val="00CA4E8F"/>
    <w:rsid w:val="00D144B0"/>
    <w:rsid w:val="00D57631"/>
    <w:rsid w:val="00D73F2B"/>
    <w:rsid w:val="00D8266F"/>
    <w:rsid w:val="00D93A4C"/>
    <w:rsid w:val="00E45412"/>
    <w:rsid w:val="00E6039F"/>
    <w:rsid w:val="00E6061B"/>
    <w:rsid w:val="00E75637"/>
    <w:rsid w:val="00E80D23"/>
    <w:rsid w:val="00ED0544"/>
    <w:rsid w:val="00EE2C2B"/>
    <w:rsid w:val="00EF4274"/>
    <w:rsid w:val="00F04D54"/>
    <w:rsid w:val="00F104D7"/>
    <w:rsid w:val="00F64661"/>
    <w:rsid w:val="00F96AA1"/>
    <w:rsid w:val="00FC580D"/>
    <w:rsid w:val="00FD4471"/>
    <w:rsid w:val="00FD5F65"/>
    <w:rsid w:val="00FD7595"/>
    <w:rsid w:val="00FE2717"/>
    <w:rsid w:val="0A142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character" w:default="1" w:styleId="12">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3">
    <w:name w:val="Body Text Indent"/>
    <w:basedOn w:val="1"/>
    <w:link w:val="23"/>
    <w:qFormat/>
    <w:uiPriority w:val="0"/>
    <w:pPr>
      <w:ind w:firstLine="640" w:firstLineChars="200"/>
    </w:pPr>
    <w:rPr>
      <w:rFonts w:eastAsia="仿宋_GB2312"/>
      <w:sz w:val="32"/>
      <w:szCs w:val="20"/>
    </w:rPr>
  </w:style>
  <w:style w:type="paragraph" w:styleId="4">
    <w:name w:val="Date"/>
    <w:basedOn w:val="1"/>
    <w:next w:val="1"/>
    <w:link w:val="21"/>
    <w:qFormat/>
    <w:uiPriority w:val="0"/>
    <w:pPr>
      <w:ind w:left="100" w:leftChars="2500"/>
    </w:pPr>
  </w:style>
  <w:style w:type="paragraph" w:styleId="5">
    <w:name w:val="Balloon Text"/>
    <w:basedOn w:val="1"/>
    <w:link w:val="22"/>
    <w:qFormat/>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iPriority w:val="0"/>
    <w:rPr>
      <w:b/>
      <w:sz w:val="32"/>
    </w:rPr>
  </w:style>
  <w:style w:type="paragraph" w:styleId="9">
    <w:name w:val="Subtitle"/>
    <w:basedOn w:val="1"/>
    <w:next w:val="1"/>
    <w:link w:val="26"/>
    <w:qFormat/>
    <w:uiPriority w:val="0"/>
    <w:pPr>
      <w:spacing w:before="240" w:after="60" w:line="312" w:lineRule="auto"/>
      <w:jc w:val="center"/>
      <w:outlineLvl w:val="1"/>
    </w:pPr>
    <w:rPr>
      <w:rFonts w:ascii="Cambria" w:hAnsi="Cambria"/>
      <w:b/>
      <w:bCs/>
      <w:kern w:val="28"/>
      <w:sz w:val="32"/>
      <w:szCs w:val="32"/>
    </w:rPr>
  </w:style>
  <w:style w:type="paragraph" w:styleId="10">
    <w:name w:val="toc 2"/>
    <w:basedOn w:val="1"/>
    <w:next w:val="1"/>
    <w:semiHidden/>
    <w:uiPriority w:val="0"/>
    <w:pPr>
      <w:spacing w:line="560" w:lineRule="exact"/>
      <w:ind w:left="200" w:leftChars="200"/>
    </w:pPr>
    <w:rPr>
      <w:rFonts w:eastAsia="仿宋_GB2312"/>
      <w:sz w:val="30"/>
    </w:rPr>
  </w:style>
  <w:style w:type="paragraph" w:styleId="11">
    <w:name w:val="Title"/>
    <w:basedOn w:val="1"/>
    <w:next w:val="1"/>
    <w:link w:val="24"/>
    <w:qFormat/>
    <w:uiPriority w:val="0"/>
    <w:pPr>
      <w:spacing w:before="240" w:after="60"/>
      <w:jc w:val="center"/>
      <w:outlineLvl w:val="0"/>
    </w:pPr>
    <w:rPr>
      <w:rFonts w:ascii="Cambria" w:hAnsi="Cambria"/>
      <w:b/>
      <w:bCs/>
      <w:sz w:val="32"/>
      <w:szCs w:val="32"/>
    </w:rPr>
  </w:style>
  <w:style w:type="character" w:styleId="13">
    <w:name w:val="page number"/>
    <w:basedOn w:val="12"/>
    <w:uiPriority w:val="0"/>
  </w:style>
  <w:style w:type="character" w:styleId="14">
    <w:name w:val="Hyperlink"/>
    <w:basedOn w:val="12"/>
    <w:qFormat/>
    <w:uiPriority w:val="0"/>
    <w:rPr>
      <w:color w:val="0000FF" w:themeColor="hyperlink"/>
      <w:u w:val="single"/>
      <w14:textFill>
        <w14:solidFill>
          <w14:schemeClr w14:val="hlink"/>
        </w14:solidFill>
      </w14:textFill>
    </w:rPr>
  </w:style>
  <w:style w:type="paragraph" w:customStyle="1" w:styleId="16">
    <w:name w:val="文章大标题"/>
    <w:basedOn w:val="1"/>
    <w:uiPriority w:val="0"/>
    <w:pPr>
      <w:spacing w:line="560" w:lineRule="exact"/>
      <w:jc w:val="center"/>
    </w:pPr>
    <w:rPr>
      <w:rFonts w:eastAsia="方正小标宋简体"/>
      <w:sz w:val="44"/>
    </w:rPr>
  </w:style>
  <w:style w:type="paragraph" w:customStyle="1" w:styleId="17">
    <w:name w:val="摘编新闻标题"/>
    <w:basedOn w:val="2"/>
    <w:uiPriority w:val="0"/>
    <w:pPr>
      <w:widowControl/>
      <w:spacing w:before="0" w:after="0" w:line="480" w:lineRule="exact"/>
      <w:jc w:val="center"/>
    </w:pPr>
    <w:rPr>
      <w:rFonts w:ascii="黑体" w:hAnsi="宋体" w:eastAsia="黑体" w:cs="宋体"/>
      <w:kern w:val="0"/>
      <w:sz w:val="28"/>
      <w:szCs w:val="28"/>
    </w:rPr>
  </w:style>
  <w:style w:type="paragraph" w:customStyle="1" w:styleId="18">
    <w:name w:val="文档段落标题"/>
    <w:basedOn w:val="1"/>
    <w:qFormat/>
    <w:uiPriority w:val="0"/>
    <w:pPr>
      <w:numPr>
        <w:ilvl w:val="0"/>
        <w:numId w:val="1"/>
      </w:numPr>
      <w:spacing w:line="560" w:lineRule="exact"/>
    </w:pPr>
    <w:rPr>
      <w:rFonts w:ascii="宋体" w:hAnsi="宋体" w:eastAsia="黑体"/>
      <w:sz w:val="32"/>
      <w:szCs w:val="32"/>
    </w:rPr>
  </w:style>
  <w:style w:type="paragraph" w:customStyle="1" w:styleId="19">
    <w:name w:val="大标题"/>
    <w:basedOn w:val="1"/>
    <w:uiPriority w:val="0"/>
    <w:pPr>
      <w:spacing w:line="560" w:lineRule="exact"/>
      <w:jc w:val="center"/>
    </w:pPr>
    <w:rPr>
      <w:rFonts w:ascii="方正小标宋简体" w:hAnsi="宋体" w:eastAsia="方正小标宋简体"/>
      <w:sz w:val="44"/>
      <w:szCs w:val="44"/>
    </w:rPr>
  </w:style>
  <w:style w:type="paragraph" w:styleId="20">
    <w:name w:val="List Paragraph"/>
    <w:basedOn w:val="1"/>
    <w:qFormat/>
    <w:uiPriority w:val="34"/>
    <w:pPr>
      <w:ind w:firstLine="420" w:firstLineChars="200"/>
    </w:pPr>
  </w:style>
  <w:style w:type="character" w:customStyle="1" w:styleId="21">
    <w:name w:val="日期 Char"/>
    <w:basedOn w:val="12"/>
    <w:link w:val="4"/>
    <w:qFormat/>
    <w:uiPriority w:val="0"/>
    <w:rPr>
      <w:kern w:val="2"/>
      <w:sz w:val="21"/>
      <w:szCs w:val="24"/>
    </w:rPr>
  </w:style>
  <w:style w:type="character" w:customStyle="1" w:styleId="22">
    <w:name w:val="批注框文本 Char"/>
    <w:basedOn w:val="12"/>
    <w:link w:val="5"/>
    <w:qFormat/>
    <w:uiPriority w:val="0"/>
    <w:rPr>
      <w:kern w:val="2"/>
      <w:sz w:val="18"/>
      <w:szCs w:val="18"/>
    </w:rPr>
  </w:style>
  <w:style w:type="character" w:customStyle="1" w:styleId="23">
    <w:name w:val="正文文本缩进 Char"/>
    <w:basedOn w:val="12"/>
    <w:link w:val="3"/>
    <w:qFormat/>
    <w:uiPriority w:val="0"/>
    <w:rPr>
      <w:rFonts w:eastAsia="仿宋_GB2312"/>
      <w:kern w:val="2"/>
      <w:sz w:val="32"/>
    </w:rPr>
  </w:style>
  <w:style w:type="character" w:customStyle="1" w:styleId="24">
    <w:name w:val="标题 Char"/>
    <w:basedOn w:val="12"/>
    <w:link w:val="11"/>
    <w:qFormat/>
    <w:uiPriority w:val="0"/>
    <w:rPr>
      <w:rFonts w:ascii="Cambria" w:hAnsi="Cambria"/>
      <w:b/>
      <w:bCs/>
      <w:kern w:val="2"/>
      <w:sz w:val="32"/>
      <w:szCs w:val="32"/>
    </w:rPr>
  </w:style>
  <w:style w:type="character" w:customStyle="1" w:styleId="25">
    <w:name w:val="标题 1 Char"/>
    <w:link w:val="2"/>
    <w:qFormat/>
    <w:uiPriority w:val="0"/>
    <w:rPr>
      <w:b/>
      <w:bCs/>
      <w:kern w:val="44"/>
      <w:sz w:val="44"/>
      <w:szCs w:val="44"/>
    </w:rPr>
  </w:style>
  <w:style w:type="character" w:customStyle="1" w:styleId="26">
    <w:name w:val="副标题 Char"/>
    <w:basedOn w:val="12"/>
    <w:link w:val="9"/>
    <w:qFormat/>
    <w:uiPriority w:val="0"/>
    <w:rPr>
      <w:rFonts w:ascii="Cambria" w:hAnsi="Cambria"/>
      <w:b/>
      <w:bCs/>
      <w:kern w:val="28"/>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706</Words>
  <Characters>4025</Characters>
  <Lines>33</Lines>
  <Paragraphs>9</Paragraphs>
  <TotalTime>0</TotalTime>
  <ScaleCrop>false</ScaleCrop>
  <LinksUpToDate>false</LinksUpToDate>
  <CharactersWithSpaces>4722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2017-05-03T08:47:00Z</dcterms:created>
  <dc:creator>HDZSJ</dc:creator>
  <cp:lastModifiedBy>南瓜松饼人</cp:lastModifiedBy>
  <cp:lastPrinted>2017-05-02T06:26:00Z</cp:lastPrinted>
  <dcterms:modified xsi:type="dcterms:W3CDTF">2017-12-01T05:36:28Z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