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平台名称：</w:t>
      </w:r>
      <w:r>
        <w:rPr>
          <w:rFonts w:hint="eastAsia"/>
        </w:rPr>
        <w:t>中关村科学城知识产权保护与服务平台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项目背景、定位、目标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差异化核心能力（真正的一站式，业务主体流转关系）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平台如何建立主体，建立哪些主体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平台业务（行政申请，维权保护，中介服务，数据服务）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业务流程（提交资料（泳道图），在线交易（泳道图</w:t>
      </w:r>
      <w:bookmarkStart w:id="0" w:name="_GoBack"/>
      <w:bookmarkEnd w:id="0"/>
      <w:r>
        <w:rPr>
          <w:rFonts w:hint="eastAsia"/>
          <w:lang w:val="en-US" w:eastAsia="zh-CN"/>
        </w:rPr>
        <w:t>），）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平台功能板块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数据服务应用场景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会员专区的意义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开放平台的意义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1AA4"/>
    <w:multiLevelType w:val="singleLevel"/>
    <w:tmpl w:val="5A211A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80821"/>
    <w:rsid w:val="2C980821"/>
    <w:rsid w:val="59C0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2017-12-01T07:29:00Z</dcterms:created>
  <dc:creator>南瓜松饼人</dc:creator>
  <cp:lastModifiedBy>南瓜松饼人</cp:lastModifiedBy>
  <dcterms:modified xsi:type="dcterms:W3CDTF">2017-12-01T09:32:54Z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