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6B" w:rsidRDefault="00E8516B" w:rsidP="00E8516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E"/>
        </w:rPr>
      </w:pPr>
      <w:r w:rsidRPr="00E8516B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E"/>
        </w:rPr>
        <w:t>Defining the features and duration of antibody responses to SARS-CoV-2 infection associated with disease severity and outcome</w:t>
      </w:r>
      <w:bookmarkStart w:id="0" w:name="_GoBack"/>
      <w:bookmarkEnd w:id="0"/>
    </w:p>
    <w:p w:rsidR="00E8516B" w:rsidRPr="00E8516B" w:rsidRDefault="00E8516B" w:rsidP="00E8516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E"/>
        </w:rPr>
      </w:pPr>
      <w:r w:rsidRPr="00E8516B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E"/>
        </w:rPr>
        <w:t>Abstract</w:t>
      </w:r>
    </w:p>
    <w:p w:rsidR="00E8516B" w:rsidRPr="00E8516B" w:rsidRDefault="00E8516B" w:rsidP="00E8516B">
      <w:pPr>
        <w:spacing w:before="56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</w:pPr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 xml:space="preserve">SARS-CoV-2-specific antibodies, particularly those preventing viral spike receptor binding domain (RBD) interaction with host angiotensin-converting enzyme 2 (ACE2) receptor, can neutralize the virus. It is, however, unknown which features of the serological response may affect clinical outcomes of COVID-19 patients. We </w:t>
      </w:r>
      <w:proofErr w:type="spellStart"/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>analyzed</w:t>
      </w:r>
      <w:proofErr w:type="spellEnd"/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 xml:space="preserve"> 983 longitudinal plasma samples from 79 hospitalized COVID-19 patients and 175 SARS-CoV-2-infected outpatients and asymptomatic individuals. Within this cohort, 25 patients died of their illness. Higher ratios of IgG antibodies targeting S1 or RBD domains of spike compared to </w:t>
      </w:r>
      <w:proofErr w:type="spellStart"/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>nucleocapsid</w:t>
      </w:r>
      <w:proofErr w:type="spellEnd"/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 xml:space="preserve"> antigen were seen in outpatients who had mild illness versus severely ill patients. Plasma antibody increases correlated with decreases in viral </w:t>
      </w:r>
      <w:proofErr w:type="spellStart"/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>RNAemia</w:t>
      </w:r>
      <w:proofErr w:type="spellEnd"/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 xml:space="preserve">, but antibody responses in acute illness were insufficient to predict inpatient outcomes. </w:t>
      </w:r>
      <w:proofErr w:type="spellStart"/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>Pseudovirus</w:t>
      </w:r>
      <w:proofErr w:type="spellEnd"/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 xml:space="preserve"> neutralization assays and a scalable ELISA measuring antibodies blocking RBD-ACE2 interaction were well correlated with patient IgG </w:t>
      </w:r>
      <w:proofErr w:type="spellStart"/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>titers</w:t>
      </w:r>
      <w:proofErr w:type="spellEnd"/>
      <w:r w:rsidRPr="00E8516B">
        <w:rPr>
          <w:rFonts w:ascii="Helvetica" w:eastAsia="Times New Roman" w:hAnsi="Helvetica" w:cs="Helvetica"/>
          <w:color w:val="333333"/>
          <w:sz w:val="24"/>
          <w:szCs w:val="24"/>
          <w:lang w:eastAsia="en-IE"/>
        </w:rPr>
        <w:t xml:space="preserve"> to RBD. Outpatient and asymptomatic individuals’ SARS-CoV-2 antibodies, including IgG, progressively decreased during observation up to five months post-infection.</w:t>
      </w:r>
    </w:p>
    <w:p w:rsidR="002D061A" w:rsidRDefault="002D061A"/>
    <w:sectPr w:rsidR="002D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6B"/>
    <w:rsid w:val="002D061A"/>
    <w:rsid w:val="00E8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C53C-A17E-4DF2-A16C-DEF856DC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16B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8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</dc:creator>
  <cp:keywords/>
  <dc:description/>
  <cp:lastModifiedBy>khurshid</cp:lastModifiedBy>
  <cp:revision>1</cp:revision>
  <dcterms:created xsi:type="dcterms:W3CDTF">2020-12-22T12:58:00Z</dcterms:created>
  <dcterms:modified xsi:type="dcterms:W3CDTF">2020-12-22T13:00:00Z</dcterms:modified>
</cp:coreProperties>
</file>