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EC3" w:rsidRPr="00F74661" w:rsidRDefault="00212EC3" w:rsidP="00212EC3">
      <w:pPr>
        <w:jc w:val="center"/>
        <w:rPr>
          <w:b/>
          <w:szCs w:val="24"/>
        </w:rPr>
      </w:pPr>
      <w:r w:rsidRPr="00F74661">
        <w:rPr>
          <w:b/>
          <w:szCs w:val="24"/>
        </w:rPr>
        <w:t>ŠILUMINIO SPINDULIAVIMO TYRIMAS</w:t>
      </w:r>
    </w:p>
    <w:p w:rsidR="00212EC3" w:rsidRDefault="00212EC3" w:rsidP="00212EC3">
      <w:pPr>
        <w:ind w:left="5760"/>
        <w:rPr>
          <w:b/>
          <w:i/>
          <w:sz w:val="20"/>
        </w:rPr>
      </w:pPr>
    </w:p>
    <w:p w:rsidR="00212EC3" w:rsidRDefault="00212EC3" w:rsidP="00212EC3">
      <w:pPr>
        <w:ind w:left="5760"/>
        <w:rPr>
          <w:sz w:val="20"/>
        </w:rPr>
      </w:pPr>
      <w:r w:rsidRPr="000A3483">
        <w:rPr>
          <w:sz w:val="20"/>
        </w:rPr>
        <w:t>Atliko</w:t>
      </w:r>
      <w:r>
        <w:rPr>
          <w:sz w:val="20"/>
        </w:rPr>
        <w:t>:</w:t>
      </w:r>
      <w:r w:rsidRPr="000A3483">
        <w:rPr>
          <w:sz w:val="20"/>
        </w:rPr>
        <w:t xml:space="preserve"> </w:t>
      </w:r>
      <w:r>
        <w:rPr>
          <w:noProof/>
          <w:sz w:val="22"/>
          <w:szCs w:val="22"/>
        </w:rPr>
        <w:t>Tautvydas Petkus IF-1/9 gr.</w:t>
      </w:r>
    </w:p>
    <w:p w:rsidR="00212EC3" w:rsidRDefault="00212EC3" w:rsidP="00212EC3">
      <w:pPr>
        <w:ind w:left="5760"/>
        <w:rPr>
          <w:sz w:val="20"/>
        </w:rPr>
      </w:pPr>
      <w:r>
        <w:rPr>
          <w:sz w:val="20"/>
        </w:rPr>
        <w:t>Data: 2012-10-08</w:t>
      </w:r>
    </w:p>
    <w:p w:rsidR="00212EC3" w:rsidRPr="000A3483" w:rsidRDefault="00212EC3" w:rsidP="00212EC3">
      <w:pPr>
        <w:ind w:left="5760"/>
        <w:rPr>
          <w:sz w:val="20"/>
        </w:rPr>
      </w:pPr>
      <w:r>
        <w:rPr>
          <w:sz w:val="20"/>
        </w:rPr>
        <w:t>Dėstytojai</w:t>
      </w:r>
      <w:r w:rsidRPr="000A3483">
        <w:rPr>
          <w:sz w:val="20"/>
        </w:rPr>
        <w:t xml:space="preserve">: </w:t>
      </w:r>
      <w:r w:rsidRPr="00D42FFF">
        <w:rPr>
          <w:sz w:val="22"/>
          <w:szCs w:val="22"/>
        </w:rPr>
        <w:t xml:space="preserve">Ramūnas Naujokaitis, </w:t>
      </w:r>
      <w:r w:rsidRPr="00D42FFF">
        <w:rPr>
          <w:sz w:val="22"/>
          <w:szCs w:val="22"/>
        </w:rPr>
        <w:br/>
        <w:t>Kristina Bočkutė</w:t>
      </w:r>
    </w:p>
    <w:p w:rsidR="00212EC3" w:rsidRDefault="00212EC3" w:rsidP="00212EC3">
      <w:pPr>
        <w:ind w:left="6480"/>
        <w:rPr>
          <w:b/>
          <w:i/>
          <w:sz w:val="20"/>
        </w:rPr>
      </w:pPr>
    </w:p>
    <w:p w:rsidR="00212EC3" w:rsidRDefault="00212EC3" w:rsidP="00212EC3">
      <w:pPr>
        <w:jc w:val="both"/>
        <w:rPr>
          <w:sz w:val="20"/>
        </w:rPr>
      </w:pPr>
      <w:r>
        <w:rPr>
          <w:sz w:val="20"/>
        </w:rPr>
        <w:tab/>
      </w:r>
      <w:r>
        <w:rPr>
          <w:b/>
          <w:sz w:val="20"/>
        </w:rPr>
        <w:t xml:space="preserve">Darbo užduotis. </w:t>
      </w:r>
      <w:r>
        <w:rPr>
          <w:sz w:val="20"/>
        </w:rPr>
        <w:t>Ištirti įvairių paviršių spinduliavimo energijos tankio priklausomybę nuo paviršiaus temperatūros.</w:t>
      </w:r>
    </w:p>
    <w:p w:rsidR="00212EC3" w:rsidRDefault="00212EC3" w:rsidP="00212EC3">
      <w:pPr>
        <w:jc w:val="both"/>
        <w:rPr>
          <w:sz w:val="20"/>
        </w:rPr>
      </w:pPr>
      <w:r>
        <w:rPr>
          <w:sz w:val="20"/>
        </w:rPr>
        <w:tab/>
      </w:r>
      <w:r>
        <w:rPr>
          <w:b/>
          <w:sz w:val="20"/>
        </w:rPr>
        <w:t>Teorinė dalis.</w:t>
      </w:r>
      <w:r>
        <w:rPr>
          <w:sz w:val="20"/>
        </w:rPr>
        <w:t xml:space="preserve"> ŠiluminiaiS virpesiais sukeltas elektromagnetinis spinduliavimas vadinamas </w:t>
      </w:r>
      <w:r>
        <w:rPr>
          <w:b/>
          <w:sz w:val="20"/>
        </w:rPr>
        <w:t>šiluminiu</w:t>
      </w:r>
      <w:r>
        <w:rPr>
          <w:sz w:val="20"/>
        </w:rPr>
        <w:t xml:space="preserve">, arba </w:t>
      </w:r>
      <w:r>
        <w:rPr>
          <w:b/>
          <w:sz w:val="20"/>
        </w:rPr>
        <w:t>temperatūriniu</w:t>
      </w:r>
      <w:r>
        <w:rPr>
          <w:sz w:val="20"/>
        </w:rPr>
        <w:t xml:space="preserve">. Įvairiais kitais būdais sužadintas spinduliavimas vadinamas </w:t>
      </w:r>
      <w:r>
        <w:rPr>
          <w:b/>
          <w:sz w:val="20"/>
        </w:rPr>
        <w:t>liuminescenciniu</w:t>
      </w:r>
      <w:r>
        <w:rPr>
          <w:sz w:val="20"/>
        </w:rPr>
        <w:t>.</w:t>
      </w:r>
      <w:r w:rsidR="005B3062">
        <w:rPr>
          <w:noProof/>
          <w:sz w:val="20"/>
        </w:rPr>
        <w:pict>
          <v:group id="_x0000_s1026" style="position:absolute;left:0;text-align:left;margin-left:1.3pt;margin-top:72.7pt;width:136.45pt;height:100.65pt;z-index:251660288;mso-position-horizontal-relative:text;mso-position-vertical-relative:text" coordorigin="7214,4482" coordsize="2729,2013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214;top:4482;width:2729;height:1509;mso-wrap-distance-top:14.2pt;mso-wrap-distance-right:14.2pt;mso-wrap-distance-bottom:42.55pt;mso-position-horizontal-relative:margin" o:allowincell="f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661;top:6138;width:2134;height:357" filled="f" stroked="f">
              <v:textbox style="mso-next-textbox:#_x0000_s1028">
                <w:txbxContent>
                  <w:p w:rsidR="00212EC3" w:rsidRDefault="00212EC3" w:rsidP="00212EC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5.2 pav.</w:t>
                    </w:r>
                  </w:p>
                </w:txbxContent>
              </v:textbox>
            </v:shape>
            <w10:wrap type="square"/>
          </v:group>
        </w:pict>
      </w:r>
      <w:r>
        <w:rPr>
          <w:sz w:val="20"/>
        </w:rPr>
        <w:t xml:space="preserve"> Šiluminio spinduliavimo spektrą apibūdina: spinduliuojančio kūno </w:t>
      </w:r>
      <w:r>
        <w:rPr>
          <w:b/>
          <w:sz w:val="20"/>
        </w:rPr>
        <w:t>emisijos geba</w:t>
      </w:r>
      <w:r>
        <w:rPr>
          <w:sz w:val="20"/>
        </w:rPr>
        <w:t xml:space="preserve"> (spektrinis energijos spinduliavimo tankis) </w:t>
      </w:r>
      <w:r w:rsidRPr="0077432A">
        <w:rPr>
          <w:position w:val="-14"/>
          <w:sz w:val="20"/>
        </w:rPr>
        <w:object w:dxaOrig="480" w:dyaOrig="380">
          <v:shape id="_x0000_i1025" type="#_x0000_t75" style="width:24pt;height:18.75pt" o:ole="" fillcolor="window">
            <v:imagedata r:id="rId7" o:title=""/>
          </v:shape>
          <o:OLEObject Type="Embed" ProgID="Equation.3" ShapeID="_x0000_i1025" DrawAspect="Content" ObjectID="_1413789902" r:id="rId8"/>
        </w:object>
      </w:r>
      <w:r>
        <w:rPr>
          <w:sz w:val="20"/>
        </w:rPr>
        <w:t xml:space="preserve"> ir </w:t>
      </w:r>
      <w:r>
        <w:rPr>
          <w:b/>
          <w:sz w:val="20"/>
        </w:rPr>
        <w:t xml:space="preserve">absorbcijos geba </w:t>
      </w:r>
      <w:r w:rsidRPr="0077432A">
        <w:rPr>
          <w:b/>
          <w:position w:val="-14"/>
          <w:sz w:val="20"/>
        </w:rPr>
        <w:object w:dxaOrig="480" w:dyaOrig="380">
          <v:shape id="_x0000_i1026" type="#_x0000_t75" style="width:24pt;height:18.75pt" o:ole="" fillcolor="window">
            <v:imagedata r:id="rId9" o:title=""/>
          </v:shape>
          <o:OLEObject Type="Embed" ProgID="Equation.3" ShapeID="_x0000_i1026" DrawAspect="Content" ObjectID="_1413789903" r:id="rId10"/>
        </w:object>
      </w:r>
      <w:r>
        <w:rPr>
          <w:sz w:val="20"/>
        </w:rPr>
        <w:t xml:space="preserve">. Kūno emisijos gebą nusako jo paviršiaus ploto vieneto išspinduliuotos visomis kryptimis per laiko vienetą energijos srautas </w:t>
      </w:r>
      <w:r>
        <w:rPr>
          <w:i/>
          <w:sz w:val="20"/>
        </w:rPr>
        <w:sym w:font="Symbol" w:char="F046"/>
      </w:r>
      <w:r>
        <w:rPr>
          <w:sz w:val="20"/>
        </w:rPr>
        <w:t xml:space="preserve">. Kūno absorbcijos gebą išreiškia jo paviršiaus ploto vieneto absorbuotos energijos srauto </w:t>
      </w:r>
      <w:r w:rsidRPr="0077432A">
        <w:rPr>
          <w:i/>
          <w:position w:val="-4"/>
          <w:sz w:val="20"/>
        </w:rPr>
        <w:object w:dxaOrig="320" w:dyaOrig="260">
          <v:shape id="_x0000_i1027" type="#_x0000_t75" style="width:15.75pt;height:12.75pt" o:ole="" fillcolor="window">
            <v:imagedata r:id="rId11" o:title=""/>
          </v:shape>
          <o:OLEObject Type="Embed" ProgID="Equation.3" ShapeID="_x0000_i1027" DrawAspect="Content" ObjectID="_1413789904" r:id="rId12"/>
        </w:object>
      </w:r>
      <w:r>
        <w:rPr>
          <w:sz w:val="20"/>
        </w:rPr>
        <w:t xml:space="preserve"> santykis su kritusiu į jį energijos srautu </w:t>
      </w:r>
      <w:r>
        <w:rPr>
          <w:i/>
          <w:sz w:val="20"/>
        </w:rPr>
        <w:sym w:font="Symbol" w:char="F046"/>
      </w:r>
      <w:r>
        <w:rPr>
          <w:sz w:val="20"/>
        </w:rPr>
        <w:t xml:space="preserve"> </w:t>
      </w:r>
    </w:p>
    <w:p w:rsidR="00212EC3" w:rsidRDefault="00212EC3" w:rsidP="00212EC3">
      <w:pPr>
        <w:ind w:left="794" w:firstLine="397"/>
        <w:jc w:val="both"/>
        <w:rPr>
          <w:sz w:val="20"/>
        </w:rPr>
      </w:pPr>
      <w:r w:rsidRPr="0077432A">
        <w:rPr>
          <w:position w:val="-24"/>
          <w:sz w:val="20"/>
        </w:rPr>
        <w:object w:dxaOrig="1020" w:dyaOrig="620">
          <v:shape id="_x0000_i1028" type="#_x0000_t75" style="width:51pt;height:30.75pt" o:ole="" fillcolor="window">
            <v:imagedata r:id="rId13" o:title=""/>
          </v:shape>
          <o:OLEObject Type="Embed" ProgID="Equation.3" ShapeID="_x0000_i1028" DrawAspect="Content" ObjectID="_1413789905" r:id="rId14"/>
        </w:object>
      </w:r>
      <w:r>
        <w:rPr>
          <w:sz w:val="20"/>
        </w:rPr>
        <w:t>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Eksperimentiškai nustatyta, kad kietųjų kūnų emisijos ir absorbcijos gebos priklauso nuo skleidžiamų arba sugeriamų bangų dažnio </w:t>
      </w:r>
      <w:r>
        <w:rPr>
          <w:sz w:val="20"/>
        </w:rPr>
        <w:sym w:font="Symbol" w:char="F06E"/>
      </w:r>
      <w:r>
        <w:rPr>
          <w:sz w:val="20"/>
        </w:rPr>
        <w:t>, kūno temperatūros, jo cheminės sudėties ir paviršiaus būsenos.</w:t>
      </w:r>
    </w:p>
    <w:p w:rsidR="00212EC3" w:rsidRDefault="00212EC3" w:rsidP="00212EC3">
      <w:pPr>
        <w:jc w:val="both"/>
        <w:rPr>
          <w:sz w:val="20"/>
        </w:rPr>
      </w:pPr>
      <w:r>
        <w:rPr>
          <w:sz w:val="20"/>
        </w:rPr>
        <w:tab/>
        <w:t xml:space="preserve">Pilnutinė galia žymima </w:t>
      </w:r>
      <w:r w:rsidRPr="0077432A">
        <w:rPr>
          <w:position w:val="-10"/>
          <w:sz w:val="20"/>
        </w:rPr>
        <w:object w:dxaOrig="340" w:dyaOrig="340">
          <v:shape id="_x0000_i1029" type="#_x0000_t75" style="width:17.25pt;height:17.25pt" o:ole="" fillcolor="window">
            <v:imagedata r:id="rId15" o:title=""/>
          </v:shape>
          <o:OLEObject Type="Embed" ProgID="Equation.3" ShapeID="_x0000_i1029" DrawAspect="Content" ObjectID="_1413789906" r:id="rId16"/>
        </w:object>
      </w:r>
      <w:r>
        <w:rPr>
          <w:sz w:val="20"/>
        </w:rPr>
        <w:t xml:space="preserve"> ir vadinama </w:t>
      </w:r>
      <w:r>
        <w:rPr>
          <w:b/>
          <w:sz w:val="20"/>
        </w:rPr>
        <w:t>kūno energiniu šviesiu (išspindžiu)</w:t>
      </w:r>
      <w:r>
        <w:rPr>
          <w:sz w:val="20"/>
        </w:rPr>
        <w:t xml:space="preserve">, arba </w:t>
      </w:r>
      <w:r>
        <w:rPr>
          <w:b/>
          <w:sz w:val="20"/>
        </w:rPr>
        <w:t>pilnutine emisijos geba</w:t>
      </w:r>
      <w:r>
        <w:rPr>
          <w:sz w:val="20"/>
        </w:rPr>
        <w:t xml:space="preserve">. Matematiškai jis išreiškiamas šitaip:  </w:t>
      </w:r>
      <w:r w:rsidRPr="0077432A">
        <w:rPr>
          <w:position w:val="-34"/>
          <w:sz w:val="20"/>
        </w:rPr>
        <w:object w:dxaOrig="1579" w:dyaOrig="800">
          <v:shape id="_x0000_i1030" type="#_x0000_t75" style="width:78.75pt;height:39.75pt" o:ole="">
            <v:imagedata r:id="rId17" o:title=""/>
          </v:shape>
          <o:OLEObject Type="Embed" ProgID="Equation.2" ShapeID="_x0000_i1030" DrawAspect="Content" ObjectID="_1413789907" r:id="rId18"/>
        </w:object>
      </w:r>
      <w:r w:rsidR="005605BF">
        <w:rPr>
          <w:sz w:val="20"/>
        </w:rPr>
        <w:t xml:space="preserve"> .</w:t>
      </w:r>
      <w:r w:rsidR="005605BF">
        <w:rPr>
          <w:sz w:val="20"/>
        </w:rPr>
        <w:tab/>
      </w:r>
      <w:r w:rsidR="005605BF">
        <w:rPr>
          <w:sz w:val="20"/>
        </w:rPr>
        <w:tab/>
      </w:r>
      <w:r w:rsidR="005605BF">
        <w:rPr>
          <w:sz w:val="20"/>
        </w:rPr>
        <w:tab/>
      </w:r>
      <w:r>
        <w:rPr>
          <w:sz w:val="20"/>
        </w:rPr>
        <w:tab/>
      </w:r>
    </w:p>
    <w:p w:rsidR="00212EC3" w:rsidRDefault="00212EC3" w:rsidP="00212EC3">
      <w:pPr>
        <w:tabs>
          <w:tab w:val="left" w:pos="709"/>
          <w:tab w:val="left" w:pos="3402"/>
          <w:tab w:val="right" w:pos="9072"/>
        </w:tabs>
        <w:jc w:val="both"/>
        <w:rPr>
          <w:sz w:val="20"/>
        </w:rPr>
      </w:pPr>
      <w:r>
        <w:rPr>
          <w:sz w:val="20"/>
        </w:rPr>
        <w:tab/>
        <w:t xml:space="preserve">Kūnas, kuris, esant bet kokiai temperatūrai, absorbuoja visą į jį krintančių elektromagnetinių bangų energiją nepriklausomai nuo jų dažnio, vadinamas </w:t>
      </w:r>
      <w:r>
        <w:rPr>
          <w:b/>
          <w:sz w:val="20"/>
        </w:rPr>
        <w:t>absoliučiai juodu</w:t>
      </w:r>
      <w:r>
        <w:rPr>
          <w:sz w:val="20"/>
        </w:rPr>
        <w:t xml:space="preserve"> (</w:t>
      </w:r>
      <w:r w:rsidRPr="0077432A">
        <w:rPr>
          <w:position w:val="-14"/>
          <w:sz w:val="20"/>
        </w:rPr>
        <w:object w:dxaOrig="840" w:dyaOrig="360">
          <v:shape id="_x0000_i1031" type="#_x0000_t75" style="width:42pt;height:18pt" o:ole="">
            <v:imagedata r:id="rId19" o:title=""/>
          </v:shape>
          <o:OLEObject Type="Embed" ProgID="Equation.2" ShapeID="_x0000_i1031" DrawAspect="Content" ObjectID="_1413789908" r:id="rId20"/>
        </w:object>
      </w:r>
      <w:r>
        <w:rPr>
          <w:sz w:val="20"/>
        </w:rPr>
        <w:t xml:space="preserve">). Kūnas, kurio absorbcijos geba pastovi esant bet kokiam spinduliavimo dažniui, tačiau mažesnė už vienetą, vadinamas </w:t>
      </w:r>
      <w:r>
        <w:rPr>
          <w:b/>
          <w:sz w:val="20"/>
        </w:rPr>
        <w:t>pilkuoju</w:t>
      </w:r>
      <w:r>
        <w:rPr>
          <w:sz w:val="20"/>
        </w:rPr>
        <w:t>.</w:t>
      </w:r>
    </w:p>
    <w:p w:rsidR="00212EC3" w:rsidRDefault="00212EC3" w:rsidP="00212EC3">
      <w:pPr>
        <w:tabs>
          <w:tab w:val="left" w:pos="709"/>
          <w:tab w:val="left" w:pos="3402"/>
          <w:tab w:val="right" w:pos="9072"/>
        </w:tabs>
        <w:jc w:val="both"/>
        <w:rPr>
          <w:sz w:val="20"/>
        </w:rPr>
      </w:pPr>
      <w:r>
        <w:rPr>
          <w:sz w:val="20"/>
        </w:rPr>
        <w:tab/>
        <w:t xml:space="preserve">Kirchhofas, remdamasis eksperimentinio tyrimo duomenimis bei termodinamikos dėsniais, nustatė pagrindinį šiluminio spinduliavimo dėsnį: </w:t>
      </w:r>
      <w:r>
        <w:rPr>
          <w:b/>
          <w:sz w:val="20"/>
        </w:rPr>
        <w:t>bet kurio kūno emisijos ir absorbcijos gebų</w:t>
      </w:r>
      <w:r>
        <w:rPr>
          <w:sz w:val="20"/>
        </w:rPr>
        <w:t xml:space="preserve"> </w:t>
      </w:r>
      <w:r w:rsidRPr="0077432A">
        <w:rPr>
          <w:position w:val="-14"/>
          <w:sz w:val="20"/>
        </w:rPr>
        <w:object w:dxaOrig="1300" w:dyaOrig="360">
          <v:shape id="_x0000_i1032" type="#_x0000_t75" style="width:65.25pt;height:18pt" o:ole="">
            <v:imagedata r:id="rId21" o:title=""/>
          </v:shape>
          <o:OLEObject Type="Embed" ProgID="Equation.2" ShapeID="_x0000_i1032" DrawAspect="Content" ObjectID="_1413789909" r:id="rId22"/>
        </w:object>
      </w:r>
      <w:r>
        <w:rPr>
          <w:sz w:val="20"/>
        </w:rPr>
        <w:t xml:space="preserve"> </w:t>
      </w:r>
      <w:r>
        <w:rPr>
          <w:b/>
          <w:sz w:val="20"/>
        </w:rPr>
        <w:t>santykis nepriklauso nuo kūno prigimties, o priklauso tik nuo spinduliuojamų bangų dažnio ir spinduliuojančio kūno temperatūros</w:t>
      </w:r>
      <w:r>
        <w:rPr>
          <w:sz w:val="20"/>
        </w:rPr>
        <w:t xml:space="preserve">; taigi </w:t>
      </w:r>
      <w:r w:rsidRPr="0077432A">
        <w:rPr>
          <w:position w:val="-32"/>
          <w:sz w:val="20"/>
        </w:rPr>
        <w:object w:dxaOrig="540" w:dyaOrig="740">
          <v:shape id="_x0000_i1033" type="#_x0000_t75" style="width:27pt;height:36.75pt" o:ole="">
            <v:imagedata r:id="rId23" o:title=""/>
          </v:shape>
          <o:OLEObject Type="Embed" ProgID="Equation.2" ShapeID="_x0000_i1033" DrawAspect="Content" ObjectID="_1413789910" r:id="rId24"/>
        </w:object>
      </w:r>
      <w:r>
        <w:rPr>
          <w:sz w:val="20"/>
        </w:rPr>
        <w:t xml:space="preserve"> yra universali dažnio ir temperatūros funkcija. Kirchhofo dėsnis parodo, kad įvairūs kūnai toje pačioje temperatūroje išspinduliuoja nevienodą energijos kiekį. Kūnas, kurio absorbcijos geba didesnė, pasižymi ir didesne emisijos geba.</w:t>
      </w:r>
    </w:p>
    <w:p w:rsidR="00212EC3" w:rsidRDefault="00212EC3" w:rsidP="00212EC3">
      <w:pPr>
        <w:tabs>
          <w:tab w:val="left" w:pos="709"/>
          <w:tab w:val="left" w:pos="3402"/>
          <w:tab w:val="right" w:pos="9072"/>
        </w:tabs>
        <w:jc w:val="both"/>
        <w:rPr>
          <w:sz w:val="20"/>
        </w:rPr>
      </w:pPr>
      <w:r>
        <w:rPr>
          <w:sz w:val="20"/>
        </w:rPr>
        <w:tab/>
      </w:r>
      <w:r>
        <w:rPr>
          <w:b/>
          <w:sz w:val="20"/>
        </w:rPr>
        <w:t xml:space="preserve">Aparatūra ir darbo metodas. </w:t>
      </w:r>
      <w:r>
        <w:rPr>
          <w:sz w:val="20"/>
        </w:rPr>
        <w:t xml:space="preserve">Leslio kubas užpildytas karštu vandeniu. Skaitmeniniu voltmetru matuojama termobaterijoje atsirandanti termoelektrovara </w:t>
      </w:r>
      <w:r>
        <w:rPr>
          <w:rFonts w:ascii="Coronet" w:hAnsi="Coronet"/>
          <w:sz w:val="20"/>
        </w:rPr>
        <w:t>E</w:t>
      </w:r>
      <w:r>
        <w:rPr>
          <w:sz w:val="20"/>
        </w:rPr>
        <w:t xml:space="preserve"> ir žinant, kad jos jautris </w:t>
      </w:r>
      <w:r w:rsidRPr="0077432A">
        <w:rPr>
          <w:position w:val="-10"/>
          <w:sz w:val="20"/>
        </w:rPr>
        <w:object w:dxaOrig="2000" w:dyaOrig="360">
          <v:shape id="_x0000_i1034" type="#_x0000_t75" style="width:99.75pt;height:18pt" o:ole="">
            <v:imagedata r:id="rId25" o:title=""/>
          </v:shape>
          <o:OLEObject Type="Embed" ProgID="Equation.3" ShapeID="_x0000_i1034" DrawAspect="Content" ObjectID="_1413789911" r:id="rId26"/>
        </w:object>
      </w:r>
      <w:r>
        <w:rPr>
          <w:sz w:val="20"/>
        </w:rPr>
        <w:t>, paskaičiuojamas spinduliavimo energijos tankis:</w:t>
      </w:r>
      <w:r w:rsidRPr="0077432A">
        <w:rPr>
          <w:position w:val="-10"/>
          <w:sz w:val="20"/>
        </w:rPr>
        <w:object w:dxaOrig="900" w:dyaOrig="340">
          <v:shape id="_x0000_i1035" type="#_x0000_t75" style="width:45pt;height:17.25pt" o:ole="" fillcolor="window">
            <v:imagedata r:id="rId27" o:title=""/>
          </v:shape>
          <o:OLEObject Type="Embed" ProgID="Equation.3" ShapeID="_x0000_i1035" DrawAspect="Content" ObjectID="_1413789912" r:id="rId28"/>
        </w:object>
      </w:r>
      <w:r w:rsidR="005605BF">
        <w:rPr>
          <w:sz w:val="20"/>
        </w:rPr>
        <w:t xml:space="preserve"> .</w:t>
      </w:r>
      <w:r>
        <w:rPr>
          <w:sz w:val="20"/>
        </w:rPr>
        <w:tab/>
      </w:r>
    </w:p>
    <w:p w:rsidR="00212EC3" w:rsidRDefault="00212EC3" w:rsidP="00212EC3">
      <w:pPr>
        <w:tabs>
          <w:tab w:val="left" w:pos="709"/>
          <w:tab w:val="left" w:pos="3402"/>
          <w:tab w:val="right" w:pos="9072"/>
        </w:tabs>
      </w:pPr>
      <w:r>
        <w:t xml:space="preserve">                                </w:t>
      </w:r>
      <w:r>
        <w:rPr>
          <w:noProof/>
          <w:lang w:val="en-US"/>
        </w:rPr>
        <w:drawing>
          <wp:inline distT="0" distB="0" distL="0" distR="0">
            <wp:extent cx="3419475" cy="1600200"/>
            <wp:effectExtent l="19050" t="0" r="9525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EC3" w:rsidRDefault="00212EC3" w:rsidP="00212EC3">
      <w:pPr>
        <w:tabs>
          <w:tab w:val="left" w:pos="709"/>
          <w:tab w:val="left" w:pos="3402"/>
          <w:tab w:val="right" w:pos="9072"/>
        </w:tabs>
        <w:jc w:val="both"/>
        <w:rPr>
          <w:sz w:val="20"/>
        </w:rPr>
      </w:pPr>
      <w:r>
        <w:rPr>
          <w:sz w:val="20"/>
        </w:rPr>
        <w:t xml:space="preserve">Aparatūrą sudaro: 1 </w:t>
      </w:r>
      <w:r>
        <w:rPr>
          <w:sz w:val="20"/>
        </w:rPr>
        <w:sym w:font="Symbol" w:char="F02D"/>
      </w:r>
      <w:r>
        <w:rPr>
          <w:sz w:val="20"/>
        </w:rPr>
        <w:t xml:space="preserve"> Leslio kubas; 2 </w:t>
      </w:r>
      <w:r>
        <w:rPr>
          <w:sz w:val="20"/>
        </w:rPr>
        <w:sym w:font="Symbol" w:char="F02D"/>
      </w:r>
      <w:r>
        <w:rPr>
          <w:sz w:val="20"/>
        </w:rPr>
        <w:t xml:space="preserve"> termobaterija; 3 </w:t>
      </w:r>
      <w:r>
        <w:rPr>
          <w:sz w:val="20"/>
        </w:rPr>
        <w:sym w:font="Symbol" w:char="F02D"/>
      </w:r>
      <w:r>
        <w:rPr>
          <w:sz w:val="20"/>
        </w:rPr>
        <w:t xml:space="preserve"> skaitmeninis temperatūros indikatorius; 4 </w:t>
      </w:r>
      <w:r>
        <w:rPr>
          <w:sz w:val="20"/>
        </w:rPr>
        <w:sym w:font="Symbol" w:char="F02D"/>
      </w:r>
      <w:r>
        <w:rPr>
          <w:sz w:val="20"/>
        </w:rPr>
        <w:t xml:space="preserve"> skaitmeninis voltmetras; 5 </w:t>
      </w:r>
      <w:r>
        <w:rPr>
          <w:sz w:val="20"/>
        </w:rPr>
        <w:sym w:font="Symbol" w:char="F02D"/>
      </w:r>
      <w:r>
        <w:rPr>
          <w:sz w:val="20"/>
        </w:rPr>
        <w:t xml:space="preserve"> termopora vandens temperatūrai matuoti Leslio kube; 6 </w:t>
      </w:r>
      <w:r>
        <w:rPr>
          <w:sz w:val="20"/>
        </w:rPr>
        <w:sym w:font="Symbol" w:char="F02D"/>
      </w:r>
      <w:r>
        <w:rPr>
          <w:sz w:val="20"/>
        </w:rPr>
        <w:t xml:space="preserve"> veržlė termoporai fiksuoti; 7 </w:t>
      </w:r>
      <w:r>
        <w:rPr>
          <w:sz w:val="20"/>
        </w:rPr>
        <w:sym w:font="Symbol" w:char="F02D"/>
      </w:r>
      <w:r>
        <w:rPr>
          <w:sz w:val="20"/>
        </w:rPr>
        <w:t xml:space="preserve"> indas vandeniui pašildyti; 8 </w:t>
      </w:r>
      <w:r>
        <w:rPr>
          <w:sz w:val="20"/>
        </w:rPr>
        <w:sym w:font="Symbol" w:char="F02D"/>
      </w:r>
      <w:r>
        <w:rPr>
          <w:sz w:val="20"/>
        </w:rPr>
        <w:t xml:space="preserve"> kaitintuvas; 9 </w:t>
      </w:r>
      <w:r>
        <w:rPr>
          <w:sz w:val="20"/>
        </w:rPr>
        <w:sym w:font="Symbol" w:char="F02D"/>
      </w:r>
      <w:r>
        <w:rPr>
          <w:sz w:val="20"/>
        </w:rPr>
        <w:t xml:space="preserve"> termometras.</w:t>
      </w:r>
    </w:p>
    <w:p w:rsidR="00212EC3" w:rsidRDefault="00212EC3" w:rsidP="00212EC3">
      <w:pPr>
        <w:tabs>
          <w:tab w:val="left" w:pos="709"/>
          <w:tab w:val="left" w:pos="3402"/>
          <w:tab w:val="right" w:pos="9072"/>
        </w:tabs>
        <w:jc w:val="both"/>
        <w:rPr>
          <w:sz w:val="20"/>
        </w:rPr>
      </w:pPr>
    </w:p>
    <w:p w:rsidR="00212EC3" w:rsidRPr="00FA2D34" w:rsidRDefault="00212EC3" w:rsidP="00212EC3">
      <w:pPr>
        <w:tabs>
          <w:tab w:val="left" w:pos="709"/>
          <w:tab w:val="left" w:pos="3402"/>
          <w:tab w:val="right" w:pos="9072"/>
        </w:tabs>
        <w:jc w:val="both"/>
        <w:rPr>
          <w:b/>
          <w:sz w:val="20"/>
        </w:rPr>
      </w:pPr>
      <w:r w:rsidRPr="00FA2D34">
        <w:rPr>
          <w:b/>
          <w:sz w:val="20"/>
        </w:rPr>
        <w:t>Rezultatai.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6"/>
        <w:gridCol w:w="1626"/>
        <w:gridCol w:w="1626"/>
        <w:gridCol w:w="1626"/>
        <w:gridCol w:w="1626"/>
        <w:gridCol w:w="1626"/>
      </w:tblGrid>
      <w:tr w:rsidR="00212EC3" w:rsidRPr="008521A4" w:rsidTr="007C7DDB">
        <w:tc>
          <w:tcPr>
            <w:tcW w:w="1626" w:type="dxa"/>
            <w:vMerge w:val="restart"/>
            <w:shd w:val="clear" w:color="auto" w:fill="D9D9D9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t, min</w:t>
            </w:r>
          </w:p>
        </w:tc>
        <w:tc>
          <w:tcPr>
            <w:tcW w:w="1626" w:type="dxa"/>
            <w:vMerge w:val="restart"/>
            <w:shd w:val="clear" w:color="auto" w:fill="D9D9D9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t, °C</w:t>
            </w:r>
          </w:p>
        </w:tc>
        <w:tc>
          <w:tcPr>
            <w:tcW w:w="3252" w:type="dxa"/>
            <w:gridSpan w:val="2"/>
            <w:shd w:val="clear" w:color="auto" w:fill="D9D9D9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Veidrodinė sienelė</w:t>
            </w:r>
          </w:p>
        </w:tc>
        <w:tc>
          <w:tcPr>
            <w:tcW w:w="3252" w:type="dxa"/>
            <w:gridSpan w:val="2"/>
            <w:shd w:val="clear" w:color="auto" w:fill="D9D9D9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Juoda sienelė</w:t>
            </w:r>
          </w:p>
        </w:tc>
      </w:tr>
      <w:tr w:rsidR="00212EC3" w:rsidRPr="008521A4" w:rsidTr="007C7DDB">
        <w:tc>
          <w:tcPr>
            <w:tcW w:w="1626" w:type="dxa"/>
            <w:vMerge/>
            <w:shd w:val="clear" w:color="auto" w:fill="D9D9D9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</w:p>
        </w:tc>
        <w:tc>
          <w:tcPr>
            <w:tcW w:w="1626" w:type="dxa"/>
            <w:vMerge/>
            <w:shd w:val="clear" w:color="auto" w:fill="D9D9D9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</w:p>
        </w:tc>
        <w:tc>
          <w:tcPr>
            <w:tcW w:w="1626" w:type="dxa"/>
            <w:shd w:val="clear" w:color="auto" w:fill="D9D9D9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ε, V</w:t>
            </w:r>
          </w:p>
        </w:tc>
        <w:tc>
          <w:tcPr>
            <w:tcW w:w="1626" w:type="dxa"/>
            <w:shd w:val="clear" w:color="auto" w:fill="D9D9D9"/>
            <w:vAlign w:val="center"/>
          </w:tcPr>
          <w:p w:rsidR="00212EC3" w:rsidRPr="008521A4" w:rsidRDefault="005605BF" w:rsidP="00CE0ED8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w(W\m²)</w:t>
            </w:r>
          </w:p>
        </w:tc>
        <w:tc>
          <w:tcPr>
            <w:tcW w:w="1626" w:type="dxa"/>
            <w:shd w:val="clear" w:color="auto" w:fill="D9D9D9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ε, V</w:t>
            </w:r>
          </w:p>
        </w:tc>
        <w:tc>
          <w:tcPr>
            <w:tcW w:w="1626" w:type="dxa"/>
            <w:shd w:val="clear" w:color="auto" w:fill="D9D9D9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w</w:t>
            </w:r>
            <w:r w:rsidR="005605BF">
              <w:rPr>
                <w:sz w:val="20"/>
              </w:rPr>
              <w:t>(W\m²)</w:t>
            </w:r>
          </w:p>
        </w:tc>
      </w:tr>
      <w:tr w:rsidR="00212EC3" w:rsidRPr="008521A4" w:rsidTr="007C7DDB"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0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79,9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0,85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30141,84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18,83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667730,50</w:t>
            </w:r>
          </w:p>
        </w:tc>
      </w:tr>
      <w:tr w:rsidR="00212EC3" w:rsidRPr="008521A4" w:rsidTr="007C7DDB"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5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73,8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0,82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29078,01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15,15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537234,04</w:t>
            </w:r>
          </w:p>
        </w:tc>
      </w:tr>
      <w:tr w:rsidR="00212EC3" w:rsidRPr="008521A4" w:rsidTr="007C7DDB"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10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71,3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0,79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28014,18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13,68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485106,38</w:t>
            </w:r>
          </w:p>
        </w:tc>
      </w:tr>
      <w:tr w:rsidR="00212EC3" w:rsidRPr="008521A4" w:rsidTr="007C7DDB"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15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68,2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0,72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25531,91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12,66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448936,17</w:t>
            </w:r>
          </w:p>
        </w:tc>
      </w:tr>
      <w:tr w:rsidR="00212EC3" w:rsidRPr="008521A4" w:rsidTr="007C7DDB"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20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65,5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0,65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23049,65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11,52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408510,64</w:t>
            </w:r>
          </w:p>
        </w:tc>
      </w:tr>
      <w:tr w:rsidR="00212EC3" w:rsidRPr="008521A4" w:rsidTr="007C7DDB"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25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63,3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0,57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20212,77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10,49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371985,82</w:t>
            </w:r>
          </w:p>
        </w:tc>
      </w:tr>
      <w:tr w:rsidR="00212EC3" w:rsidRPr="008521A4" w:rsidTr="007C7DDB"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30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61,0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0,55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19503,55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9,64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341843,97</w:t>
            </w:r>
          </w:p>
        </w:tc>
      </w:tr>
      <w:tr w:rsidR="00212EC3" w:rsidRPr="008521A4" w:rsidTr="007C7DDB"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35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58,9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0,45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15957,45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8,99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318794,33</w:t>
            </w:r>
          </w:p>
        </w:tc>
      </w:tr>
      <w:tr w:rsidR="00212EC3" w:rsidRPr="008521A4" w:rsidTr="007C7DDB"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40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56,9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0,19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6737,59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8,11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287588,65</w:t>
            </w:r>
          </w:p>
        </w:tc>
      </w:tr>
      <w:tr w:rsidR="00212EC3" w:rsidRPr="008521A4" w:rsidTr="007C7DDB"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45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55,1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0,08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2836,88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7,48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265248,23</w:t>
            </w:r>
          </w:p>
        </w:tc>
      </w:tr>
      <w:tr w:rsidR="00212EC3" w:rsidRPr="008521A4" w:rsidTr="007C7DDB"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50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 w:rsidRPr="008521A4">
              <w:rPr>
                <w:sz w:val="20"/>
              </w:rPr>
              <w:t>53,4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0,02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709,22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6,63</w:t>
            </w:r>
          </w:p>
        </w:tc>
        <w:tc>
          <w:tcPr>
            <w:tcW w:w="1626" w:type="dxa"/>
            <w:vAlign w:val="center"/>
          </w:tcPr>
          <w:p w:rsidR="00212EC3" w:rsidRPr="008521A4" w:rsidRDefault="00212EC3" w:rsidP="007C7DDB">
            <w:pPr>
              <w:tabs>
                <w:tab w:val="left" w:pos="709"/>
                <w:tab w:val="left" w:pos="3402"/>
                <w:tab w:val="right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235106,38</w:t>
            </w:r>
          </w:p>
        </w:tc>
      </w:tr>
    </w:tbl>
    <w:p w:rsidR="00212EC3" w:rsidRDefault="00212EC3" w:rsidP="00212EC3">
      <w:pPr>
        <w:tabs>
          <w:tab w:val="left" w:pos="709"/>
          <w:tab w:val="left" w:pos="3402"/>
          <w:tab w:val="right" w:pos="9072"/>
        </w:tabs>
        <w:jc w:val="both"/>
        <w:outlineLvl w:val="0"/>
        <w:rPr>
          <w:b/>
          <w:sz w:val="20"/>
        </w:rPr>
      </w:pPr>
    </w:p>
    <w:p w:rsidR="00212EC3" w:rsidRDefault="00212EC3" w:rsidP="00212EC3">
      <w:pPr>
        <w:tabs>
          <w:tab w:val="left" w:pos="709"/>
          <w:tab w:val="left" w:pos="3402"/>
          <w:tab w:val="right" w:pos="9072"/>
        </w:tabs>
        <w:jc w:val="both"/>
        <w:outlineLvl w:val="0"/>
        <w:rPr>
          <w:b/>
          <w:sz w:val="20"/>
        </w:rPr>
      </w:pPr>
    </w:p>
    <w:p w:rsidR="00212EC3" w:rsidRPr="00212EC3" w:rsidRDefault="00212EC3" w:rsidP="00212EC3">
      <w:pPr>
        <w:tabs>
          <w:tab w:val="left" w:pos="709"/>
          <w:tab w:val="left" w:pos="3402"/>
          <w:tab w:val="right" w:pos="9072"/>
        </w:tabs>
        <w:ind w:left="283"/>
        <w:jc w:val="both"/>
        <w:outlineLvl w:val="0"/>
      </w:pPr>
      <w:r>
        <w:rPr>
          <w:noProof/>
          <w:lang w:val="en-US"/>
        </w:rPr>
        <w:drawing>
          <wp:inline distT="0" distB="0" distL="0" distR="0">
            <wp:extent cx="5486400" cy="3619500"/>
            <wp:effectExtent l="1905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212EC3" w:rsidRPr="00AB3BF1" w:rsidRDefault="00212EC3" w:rsidP="00212EC3">
      <w:pPr>
        <w:tabs>
          <w:tab w:val="left" w:pos="709"/>
          <w:tab w:val="left" w:pos="3402"/>
          <w:tab w:val="right" w:pos="9072"/>
        </w:tabs>
        <w:ind w:left="283"/>
        <w:jc w:val="both"/>
        <w:outlineLvl w:val="0"/>
        <w:rPr>
          <w:b/>
          <w:sz w:val="20"/>
        </w:rPr>
      </w:pPr>
    </w:p>
    <w:p w:rsidR="00212EC3" w:rsidRDefault="005B3062" w:rsidP="00212EC3">
      <w:pPr>
        <w:tabs>
          <w:tab w:val="left" w:pos="709"/>
          <w:tab w:val="left" w:pos="3402"/>
          <w:tab w:val="right" w:pos="9072"/>
        </w:tabs>
        <w:ind w:left="283"/>
        <w:jc w:val="both"/>
        <w:outlineLvl w:val="0"/>
        <w:rPr>
          <w:b/>
          <w:sz w:val="20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4E24B380" wp14:editId="26330539">
            <wp:extent cx="6057900" cy="338189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bookmarkEnd w:id="0"/>
    </w:p>
    <w:p w:rsidR="00212EC3" w:rsidRDefault="00212EC3" w:rsidP="00212EC3">
      <w:pPr>
        <w:tabs>
          <w:tab w:val="left" w:pos="709"/>
          <w:tab w:val="left" w:pos="3402"/>
          <w:tab w:val="right" w:pos="9072"/>
        </w:tabs>
        <w:jc w:val="both"/>
        <w:outlineLvl w:val="0"/>
        <w:rPr>
          <w:b/>
          <w:sz w:val="20"/>
        </w:rPr>
      </w:pPr>
    </w:p>
    <w:p w:rsidR="00212EC3" w:rsidRDefault="00212EC3" w:rsidP="00212EC3">
      <w:pPr>
        <w:tabs>
          <w:tab w:val="left" w:pos="709"/>
          <w:tab w:val="left" w:pos="3402"/>
          <w:tab w:val="right" w:pos="9072"/>
        </w:tabs>
        <w:ind w:left="283"/>
        <w:jc w:val="both"/>
        <w:outlineLvl w:val="0"/>
        <w:rPr>
          <w:b/>
          <w:sz w:val="20"/>
        </w:rPr>
      </w:pPr>
    </w:p>
    <w:p w:rsidR="00212EC3" w:rsidRPr="00F74661" w:rsidRDefault="00212EC3" w:rsidP="00212EC3">
      <w:pPr>
        <w:tabs>
          <w:tab w:val="left" w:pos="709"/>
          <w:tab w:val="left" w:pos="3402"/>
          <w:tab w:val="right" w:pos="9072"/>
        </w:tabs>
        <w:ind w:left="283"/>
        <w:jc w:val="both"/>
        <w:outlineLvl w:val="0"/>
        <w:rPr>
          <w:sz w:val="20"/>
        </w:rPr>
      </w:pPr>
      <w:r>
        <w:rPr>
          <w:b/>
          <w:sz w:val="20"/>
        </w:rPr>
        <w:t xml:space="preserve">Išvados. </w:t>
      </w:r>
      <w:r w:rsidRPr="00F74661">
        <w:rPr>
          <w:sz w:val="20"/>
        </w:rPr>
        <w:t>Įvairių paviršių spinduliavimo energijos tankis tiesiogiai proporcingas paviršiaus temperatūrai, t.y. kuo didesnė temperatūra tuo paviršiaus tankis didesnis.</w:t>
      </w:r>
    </w:p>
    <w:p w:rsidR="00212EC3" w:rsidRPr="00F74661" w:rsidRDefault="00212EC3" w:rsidP="00212EC3">
      <w:pPr>
        <w:tabs>
          <w:tab w:val="left" w:pos="709"/>
          <w:tab w:val="left" w:pos="3402"/>
          <w:tab w:val="right" w:pos="9072"/>
        </w:tabs>
        <w:ind w:left="283"/>
        <w:jc w:val="both"/>
        <w:outlineLvl w:val="0"/>
        <w:rPr>
          <w:sz w:val="20"/>
        </w:rPr>
      </w:pPr>
    </w:p>
    <w:p w:rsidR="00212EC3" w:rsidRDefault="00212EC3" w:rsidP="00212EC3">
      <w:pPr>
        <w:tabs>
          <w:tab w:val="left" w:pos="709"/>
          <w:tab w:val="left" w:pos="3402"/>
          <w:tab w:val="right" w:pos="9072"/>
        </w:tabs>
        <w:jc w:val="both"/>
        <w:outlineLvl w:val="0"/>
        <w:rPr>
          <w:b/>
          <w:sz w:val="20"/>
        </w:rPr>
      </w:pPr>
      <w:r>
        <w:rPr>
          <w:sz w:val="20"/>
        </w:rPr>
        <w:t xml:space="preserve">     </w:t>
      </w:r>
      <w:r>
        <w:rPr>
          <w:b/>
          <w:sz w:val="20"/>
        </w:rPr>
        <w:t>Literatūra.</w:t>
      </w:r>
    </w:p>
    <w:p w:rsidR="00212EC3" w:rsidRDefault="00212EC3" w:rsidP="00212EC3">
      <w:pPr>
        <w:ind w:firstLine="283"/>
        <w:jc w:val="both"/>
        <w:rPr>
          <w:sz w:val="20"/>
        </w:rPr>
      </w:pPr>
      <w:r>
        <w:rPr>
          <w:sz w:val="20"/>
        </w:rPr>
        <w:t>1. Javorskis B., Detlafas A. Fizikos kursas. - Vilnius: Mintis, 1975. - T. 3. - P. 241-259.</w:t>
      </w:r>
    </w:p>
    <w:p w:rsidR="006E57AC" w:rsidRPr="005605BF" w:rsidRDefault="00212EC3" w:rsidP="005605BF">
      <w:pPr>
        <w:ind w:firstLine="283"/>
        <w:jc w:val="both"/>
        <w:rPr>
          <w:sz w:val="20"/>
        </w:rPr>
      </w:pPr>
      <w:r>
        <w:rPr>
          <w:sz w:val="20"/>
        </w:rPr>
        <w:t>2. Tamašauskas A., Vosylius J., Radvilavičius Č. Fizika. - Vilnius: Mokslas, 1992. -T. 3. - P. 5-12.</w:t>
      </w:r>
    </w:p>
    <w:sectPr w:rsidR="006E57AC" w:rsidRPr="005605BF" w:rsidSect="000A3483">
      <w:pgSz w:w="12240" w:h="15840"/>
      <w:pgMar w:top="1440" w:right="900" w:bottom="719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onet">
    <w:altName w:val="Courier New"/>
    <w:charset w:val="00"/>
    <w:family w:val="script"/>
    <w:pitch w:val="variable"/>
    <w:sig w:usb0="00000007" w:usb1="00000000" w:usb2="00000000" w:usb3="00000000" w:csb0="0000009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2"/>
  </w:compat>
  <w:rsids>
    <w:rsidRoot w:val="00212EC3"/>
    <w:rsid w:val="00212EC3"/>
    <w:rsid w:val="005605BF"/>
    <w:rsid w:val="005B3062"/>
    <w:rsid w:val="00767F5B"/>
    <w:rsid w:val="0077432A"/>
    <w:rsid w:val="00905E3D"/>
    <w:rsid w:val="00977B7B"/>
    <w:rsid w:val="009835EE"/>
    <w:rsid w:val="00B42B6A"/>
    <w:rsid w:val="00B71D07"/>
    <w:rsid w:val="00CE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EC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E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EC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chart" Target="charts/chart1.xml"/><Relationship Id="rId8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Tautvydas\Desktop\Programavimo%20grafikas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lt-LT"/>
              <a:t>w=f(t) grafikas </a:t>
            </a:r>
          </a:p>
        </c:rich>
      </c:tx>
      <c:layout>
        <c:manualLayout>
          <c:xMode val="edge"/>
          <c:yMode val="edge"/>
          <c:x val="0.71583333333333343"/>
          <c:y val="4.2105263157894736E-2"/>
        </c:manualLayout>
      </c:layout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Lapas1!$B$1</c:f>
              <c:strCache>
                <c:ptCount val="1"/>
                <c:pt idx="0">
                  <c:v>Veidrodinė sienelė</c:v>
                </c:pt>
              </c:strCache>
            </c:strRef>
          </c:tx>
          <c:cat>
            <c:strRef>
              <c:f>Lapas1!$A$2:$A$12</c:f>
              <c:strCache>
                <c:ptCount val="11"/>
                <c:pt idx="0">
                  <c:v>53,4</c:v>
                </c:pt>
                <c:pt idx="1">
                  <c:v>55,1</c:v>
                </c:pt>
                <c:pt idx="2">
                  <c:v>56,9</c:v>
                </c:pt>
                <c:pt idx="3">
                  <c:v>58,9</c:v>
                </c:pt>
                <c:pt idx="4">
                  <c:v>61,0</c:v>
                </c:pt>
                <c:pt idx="5">
                  <c:v>63,3</c:v>
                </c:pt>
                <c:pt idx="6">
                  <c:v>65,5</c:v>
                </c:pt>
                <c:pt idx="7">
                  <c:v>68,2</c:v>
                </c:pt>
                <c:pt idx="8">
                  <c:v>71,3</c:v>
                </c:pt>
                <c:pt idx="9">
                  <c:v>73,8</c:v>
                </c:pt>
                <c:pt idx="10">
                  <c:v>79,9</c:v>
                </c:pt>
              </c:strCache>
            </c:strRef>
          </c:cat>
          <c:val>
            <c:numRef>
              <c:f>Lapas1!$B$2:$B$12</c:f>
              <c:numCache>
                <c:formatCode>General</c:formatCode>
                <c:ptCount val="11"/>
                <c:pt idx="0">
                  <c:v>709.22</c:v>
                </c:pt>
                <c:pt idx="1">
                  <c:v>2836.88</c:v>
                </c:pt>
                <c:pt idx="2">
                  <c:v>6737.59</c:v>
                </c:pt>
                <c:pt idx="3">
                  <c:v>15957.449999999999</c:v>
                </c:pt>
                <c:pt idx="4">
                  <c:v>19503.55</c:v>
                </c:pt>
                <c:pt idx="5">
                  <c:v>20212.77</c:v>
                </c:pt>
                <c:pt idx="6">
                  <c:v>23049.649999999998</c:v>
                </c:pt>
                <c:pt idx="7">
                  <c:v>25531.91</c:v>
                </c:pt>
                <c:pt idx="8">
                  <c:v>28014.18</c:v>
                </c:pt>
                <c:pt idx="9">
                  <c:v>29078.01</c:v>
                </c:pt>
                <c:pt idx="10">
                  <c:v>30141.84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Lapas1!$C$1</c:f>
              <c:strCache>
                <c:ptCount val="1"/>
                <c:pt idx="0">
                  <c:v>Juoda sienelė</c:v>
                </c:pt>
              </c:strCache>
            </c:strRef>
          </c:tx>
          <c:cat>
            <c:strRef>
              <c:f>Lapas1!$A$2:$A$12</c:f>
              <c:strCache>
                <c:ptCount val="11"/>
                <c:pt idx="0">
                  <c:v>53,4</c:v>
                </c:pt>
                <c:pt idx="1">
                  <c:v>55,1</c:v>
                </c:pt>
                <c:pt idx="2">
                  <c:v>56,9</c:v>
                </c:pt>
                <c:pt idx="3">
                  <c:v>58,9</c:v>
                </c:pt>
                <c:pt idx="4">
                  <c:v>61,0</c:v>
                </c:pt>
                <c:pt idx="5">
                  <c:v>63,3</c:v>
                </c:pt>
                <c:pt idx="6">
                  <c:v>65,5</c:v>
                </c:pt>
                <c:pt idx="7">
                  <c:v>68,2</c:v>
                </c:pt>
                <c:pt idx="8">
                  <c:v>71,3</c:v>
                </c:pt>
                <c:pt idx="9">
                  <c:v>73,8</c:v>
                </c:pt>
                <c:pt idx="10">
                  <c:v>79,9</c:v>
                </c:pt>
              </c:strCache>
            </c:strRef>
          </c:cat>
          <c:val>
            <c:numRef>
              <c:f>Lapas1!$C$2:$C$12</c:f>
              <c:numCache>
                <c:formatCode>General</c:formatCode>
                <c:ptCount val="11"/>
                <c:pt idx="0">
                  <c:v>235106.37999999998</c:v>
                </c:pt>
                <c:pt idx="1">
                  <c:v>265248.23000000004</c:v>
                </c:pt>
                <c:pt idx="2">
                  <c:v>287588.64999999997</c:v>
                </c:pt>
                <c:pt idx="3">
                  <c:v>318794.33</c:v>
                </c:pt>
                <c:pt idx="4">
                  <c:v>341843.97000000003</c:v>
                </c:pt>
                <c:pt idx="5">
                  <c:v>371985.82</c:v>
                </c:pt>
                <c:pt idx="6">
                  <c:v>408510.63999999996</c:v>
                </c:pt>
                <c:pt idx="7">
                  <c:v>448936.17</c:v>
                </c:pt>
                <c:pt idx="8">
                  <c:v>485106.38</c:v>
                </c:pt>
                <c:pt idx="9">
                  <c:v>537234.04</c:v>
                </c:pt>
                <c:pt idx="10">
                  <c:v>667730.5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750016"/>
        <c:axId val="44995648"/>
      </c:lineChart>
      <c:catAx>
        <c:axId val="4975001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lt-LT"/>
                  <a:t>temperatūra (C)</a:t>
                </a:r>
              </a:p>
            </c:rich>
          </c:tx>
          <c:overlay val="0"/>
        </c:title>
        <c:majorTickMark val="out"/>
        <c:minorTickMark val="none"/>
        <c:tickLblPos val="nextTo"/>
        <c:crossAx val="44995648"/>
        <c:crosses val="autoZero"/>
        <c:auto val="1"/>
        <c:lblAlgn val="ctr"/>
        <c:lblOffset val="100"/>
        <c:noMultiLvlLbl val="0"/>
      </c:catAx>
      <c:valAx>
        <c:axId val="449956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lt-LT"/>
                  <a:t>Spinduliavimo</a:t>
                </a:r>
                <a:r>
                  <a:rPr lang="lt-LT" baseline="0"/>
                  <a:t> energijos tankis w/m²</a:t>
                </a:r>
                <a:endParaRPr lang="lt-LT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97500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duomenų generavimas</c:v>
          </c:tx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0.69640000000000002</c:v>
                </c:pt>
                <c:pt idx="1">
                  <c:v>0.48409999999999997</c:v>
                </c:pt>
                <c:pt idx="2">
                  <c:v>0.67349999999999999</c:v>
                </c:pt>
                <c:pt idx="3">
                  <c:v>1.3045</c:v>
                </c:pt>
                <c:pt idx="4">
                  <c:v>2.504</c:v>
                </c:pt>
                <c:pt idx="5">
                  <c:v>4.9321999999999999</c:v>
                </c:pt>
                <c:pt idx="6">
                  <c:v>9.9300999999999995</c:v>
                </c:pt>
              </c:numCache>
            </c:numRef>
          </c:yVal>
          <c:smooth val="1"/>
        </c:ser>
        <c:ser>
          <c:idx val="1"/>
          <c:order val="1"/>
          <c:tx>
            <c:v>šiukšlių surinkimas</c:v>
          </c:tx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2.06E-2</c:v>
                </c:pt>
                <c:pt idx="1">
                  <c:v>2.1299999999999999E-2</c:v>
                </c:pt>
                <c:pt idx="2">
                  <c:v>2.87E-2</c:v>
                </c:pt>
                <c:pt idx="3">
                  <c:v>6.2199999999999998E-2</c:v>
                </c:pt>
                <c:pt idx="4">
                  <c:v>9.1800000000000007E-2</c:v>
                </c:pt>
                <c:pt idx="5">
                  <c:v>0.1328</c:v>
                </c:pt>
                <c:pt idx="6">
                  <c:v>0.2712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Sheet1!$J$1</c:f>
              <c:strCache>
                <c:ptCount val="1"/>
                <c:pt idx="0">
                  <c:v>SysBeCom</c:v>
                </c:pt>
              </c:strCache>
            </c:strRef>
          </c:tx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3.3E-3</c:v>
                </c:pt>
                <c:pt idx="1">
                  <c:v>2.5000000000000001E-3</c:v>
                </c:pt>
                <c:pt idx="2">
                  <c:v>6.3E-3</c:v>
                </c:pt>
                <c:pt idx="3">
                  <c:v>5.8999999999999999E-3</c:v>
                </c:pt>
                <c:pt idx="4">
                  <c:v>1.01E-2</c:v>
                </c:pt>
                <c:pt idx="5">
                  <c:v>1.03E-2</c:v>
                </c:pt>
                <c:pt idx="6">
                  <c:v>2.0899999999999998E-2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Sheet1!$K$1</c:f>
              <c:strCache>
                <c:ptCount val="1"/>
                <c:pt idx="0">
                  <c:v>SysSuCom</c:v>
                </c:pt>
              </c:strCache>
            </c:strRef>
          </c:tx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Sheet1!$E$2:$E$8</c:f>
              <c:numCache>
                <c:formatCode>General</c:formatCode>
                <c:ptCount val="7"/>
                <c:pt idx="0">
                  <c:v>4.1999999999999997E-3</c:v>
                </c:pt>
                <c:pt idx="1">
                  <c:v>3.0000000000000001E-3</c:v>
                </c:pt>
                <c:pt idx="2">
                  <c:v>6.1999999999999998E-3</c:v>
                </c:pt>
                <c:pt idx="3">
                  <c:v>4.3E-3</c:v>
                </c:pt>
                <c:pt idx="4">
                  <c:v>0.01</c:v>
                </c:pt>
                <c:pt idx="5">
                  <c:v>8.9999999999999993E-3</c:v>
                </c:pt>
                <c:pt idx="6">
                  <c:v>2.01E-2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Sheet1!$M$1</c:f>
              <c:strCache>
                <c:ptCount val="1"/>
                <c:pt idx="0">
                  <c:v>BurSuCom</c:v>
                </c:pt>
              </c:strCache>
            </c:strRef>
          </c:tx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Sheet1!$F$2:$F$8</c:f>
              <c:numCache>
                <c:formatCode>General</c:formatCode>
                <c:ptCount val="7"/>
                <c:pt idx="0">
                  <c:v>8.0399999999999999E-2</c:v>
                </c:pt>
                <c:pt idx="1">
                  <c:v>2.2800000000000001E-2</c:v>
                </c:pt>
                <c:pt idx="2">
                  <c:v>0.12239999999999999</c:v>
                </c:pt>
                <c:pt idx="3">
                  <c:v>0.43819999999999998</c:v>
                </c:pt>
                <c:pt idx="4">
                  <c:v>1.9442999999999999</c:v>
                </c:pt>
                <c:pt idx="5">
                  <c:v>17.022300000000001</c:v>
                </c:pt>
                <c:pt idx="6">
                  <c:v>84.572000000000003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Sheet1!$L$1</c:f>
              <c:strCache>
                <c:ptCount val="1"/>
                <c:pt idx="0">
                  <c:v>BurBeCom</c:v>
                </c:pt>
              </c:strCache>
            </c:strRef>
          </c:tx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Sheet1!$G$2:$G$8</c:f>
              <c:numCache>
                <c:formatCode>General</c:formatCode>
                <c:ptCount val="7"/>
                <c:pt idx="0">
                  <c:v>1.0699999999999999E-2</c:v>
                </c:pt>
                <c:pt idx="1">
                  <c:v>1.4E-2</c:v>
                </c:pt>
                <c:pt idx="2">
                  <c:v>7.2900000000000006E-2</c:v>
                </c:pt>
                <c:pt idx="3">
                  <c:v>0.3387</c:v>
                </c:pt>
                <c:pt idx="4">
                  <c:v>1.6284000000000001</c:v>
                </c:pt>
                <c:pt idx="5">
                  <c:v>15.9451</c:v>
                </c:pt>
                <c:pt idx="6">
                  <c:v>82.093900000000005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40544"/>
        <c:axId val="51208768"/>
      </c:scatterChart>
      <c:valAx>
        <c:axId val="50740544"/>
        <c:scaling>
          <c:logBase val="2"/>
          <c:orientation val="minMax"/>
          <c:max val="64000"/>
          <c:min val="1000"/>
        </c:scaling>
        <c:delete val="0"/>
        <c:axPos val="b"/>
        <c:numFmt formatCode="General" sourceLinked="1"/>
        <c:majorTickMark val="out"/>
        <c:minorTickMark val="none"/>
        <c:tickLblPos val="low"/>
        <c:crossAx val="51208768"/>
        <c:crosses val="autoZero"/>
        <c:crossBetween val="midCat"/>
      </c:valAx>
      <c:valAx>
        <c:axId val="51208768"/>
        <c:scaling>
          <c:logBase val="2"/>
          <c:orientation val="minMax"/>
          <c:max val="100"/>
          <c:min val="1.0000000000000002E-3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7405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36FE6-155E-4AAA-B363-780765362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Tautvydas</dc:creator>
  <cp:lastModifiedBy>Tautvydas</cp:lastModifiedBy>
  <cp:revision>5</cp:revision>
  <dcterms:created xsi:type="dcterms:W3CDTF">2012-10-09T19:33:00Z</dcterms:created>
  <dcterms:modified xsi:type="dcterms:W3CDTF">2012-11-07T08:38:00Z</dcterms:modified>
</cp:coreProperties>
</file>