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71" w:rsidRDefault="00146871" w:rsidP="00146871">
      <w:pPr>
        <w:pStyle w:val="Title"/>
        <w:rPr>
          <w:rFonts w:ascii="Times New Roman" w:hAnsi="Times New Roman"/>
          <w:b w:val="0"/>
        </w:rPr>
      </w:pPr>
      <w:proofErr w:type="spellStart"/>
      <w:r>
        <w:rPr>
          <w:rFonts w:ascii="Times New Roman" w:hAnsi="Times New Roman"/>
          <w:b w:val="0"/>
        </w:rPr>
        <w:t>Laboratorinis</w:t>
      </w:r>
      <w:proofErr w:type="spellEnd"/>
      <w:r>
        <w:rPr>
          <w:rFonts w:ascii="Times New Roman" w:hAnsi="Times New Roman"/>
          <w:b w:val="0"/>
        </w:rPr>
        <w:t xml:space="preserve"> </w:t>
      </w:r>
      <w:proofErr w:type="spellStart"/>
      <w:r>
        <w:rPr>
          <w:rFonts w:ascii="Times New Roman" w:hAnsi="Times New Roman"/>
          <w:b w:val="0"/>
        </w:rPr>
        <w:t>darbas</w:t>
      </w:r>
      <w:proofErr w:type="spellEnd"/>
      <w:r>
        <w:rPr>
          <w:rFonts w:ascii="Times New Roman" w:hAnsi="Times New Roman"/>
          <w:b w:val="0"/>
        </w:rPr>
        <w:t xml:space="preserve"> Nr.6</w:t>
      </w:r>
    </w:p>
    <w:p w:rsidR="00146871" w:rsidRDefault="00146871" w:rsidP="00146871">
      <w:pPr>
        <w:ind w:firstLine="720"/>
        <w:jc w:val="center"/>
        <w:rPr>
          <w:sz w:val="28"/>
          <w:lang w:val="en-US"/>
        </w:rPr>
      </w:pPr>
      <w:r>
        <w:rPr>
          <w:sz w:val="28"/>
          <w:lang w:val="en-US"/>
        </w:rPr>
        <w:sym w:font="Symbol" w:char="F067"/>
      </w:r>
      <w:r>
        <w:rPr>
          <w:sz w:val="28"/>
          <w:lang w:val="en-US"/>
        </w:rPr>
        <w:t xml:space="preserve"> </w:t>
      </w:r>
      <w:proofErr w:type="spellStart"/>
      <w:proofErr w:type="gramStart"/>
      <w:r>
        <w:rPr>
          <w:sz w:val="28"/>
          <w:lang w:val="en-US"/>
        </w:rPr>
        <w:t>spindulių</w:t>
      </w:r>
      <w:proofErr w:type="spellEnd"/>
      <w:proofErr w:type="gramEnd"/>
      <w:r>
        <w:rPr>
          <w:sz w:val="28"/>
          <w:lang w:val="en-US"/>
        </w:rPr>
        <w:t xml:space="preserve"> </w:t>
      </w:r>
      <w:proofErr w:type="spellStart"/>
      <w:r>
        <w:rPr>
          <w:sz w:val="28"/>
          <w:lang w:val="en-US"/>
        </w:rPr>
        <w:t>absorbcija</w:t>
      </w:r>
      <w:proofErr w:type="spellEnd"/>
    </w:p>
    <w:p w:rsidR="00146871" w:rsidRDefault="00146871" w:rsidP="001035F2">
      <w:pPr>
        <w:rPr>
          <w:sz w:val="28"/>
          <w:lang w:val="en-US"/>
        </w:rPr>
      </w:pPr>
    </w:p>
    <w:p w:rsidR="00146871" w:rsidRDefault="00146871" w:rsidP="00146871">
      <w:pPr>
        <w:pStyle w:val="Title"/>
        <w:jc w:val="right"/>
        <w:rPr>
          <w:rFonts w:ascii="Times New Roman" w:hAnsi="Times New Roman"/>
          <w:b w:val="0"/>
          <w:sz w:val="24"/>
        </w:rPr>
      </w:pPr>
      <w:proofErr w:type="spellStart"/>
      <w:proofErr w:type="gramStart"/>
      <w:r>
        <w:rPr>
          <w:rFonts w:ascii="Times New Roman" w:hAnsi="Times New Roman"/>
          <w:b w:val="0"/>
          <w:sz w:val="24"/>
        </w:rPr>
        <w:t>Atliko</w:t>
      </w:r>
      <w:proofErr w:type="spellEnd"/>
      <w:r>
        <w:rPr>
          <w:rFonts w:ascii="Times New Roman" w:hAnsi="Times New Roman"/>
          <w:b w:val="0"/>
          <w:sz w:val="24"/>
        </w:rPr>
        <w:t xml:space="preserve"> :</w:t>
      </w:r>
      <w:proofErr w:type="gramEnd"/>
      <w:r>
        <w:rPr>
          <w:rFonts w:ascii="Times New Roman" w:hAnsi="Times New Roman"/>
          <w:b w:val="0"/>
          <w:sz w:val="24"/>
        </w:rPr>
        <w:t xml:space="preserve"> </w:t>
      </w:r>
      <w:proofErr w:type="spellStart"/>
      <w:r>
        <w:rPr>
          <w:rFonts w:ascii="Times New Roman" w:hAnsi="Times New Roman"/>
          <w:b w:val="0"/>
          <w:sz w:val="24"/>
        </w:rPr>
        <w:t>Tautvydas</w:t>
      </w:r>
      <w:proofErr w:type="spellEnd"/>
      <w:r>
        <w:rPr>
          <w:rFonts w:ascii="Times New Roman" w:hAnsi="Times New Roman"/>
          <w:b w:val="0"/>
          <w:sz w:val="24"/>
        </w:rPr>
        <w:t xml:space="preserve"> </w:t>
      </w:r>
      <w:proofErr w:type="spellStart"/>
      <w:r>
        <w:rPr>
          <w:rFonts w:ascii="Times New Roman" w:hAnsi="Times New Roman"/>
          <w:b w:val="0"/>
          <w:sz w:val="24"/>
        </w:rPr>
        <w:t>Petkus</w:t>
      </w:r>
      <w:proofErr w:type="spellEnd"/>
      <w:r>
        <w:rPr>
          <w:rFonts w:ascii="Times New Roman" w:hAnsi="Times New Roman"/>
          <w:b w:val="0"/>
          <w:sz w:val="24"/>
        </w:rPr>
        <w:t xml:space="preserve"> IF-1/9                                    </w:t>
      </w:r>
    </w:p>
    <w:p w:rsidR="00146871" w:rsidRDefault="00146871" w:rsidP="00146871">
      <w:pPr>
        <w:pStyle w:val="Title"/>
        <w:jc w:val="right"/>
        <w:rPr>
          <w:rFonts w:ascii="Times New Roman" w:hAnsi="Times New Roman"/>
          <w:b w:val="0"/>
          <w:sz w:val="24"/>
          <w:szCs w:val="24"/>
        </w:rPr>
      </w:pPr>
      <w:r>
        <w:rPr>
          <w:rFonts w:ascii="Times New Roman" w:hAnsi="Times New Roman"/>
          <w:b w:val="0"/>
          <w:sz w:val="24"/>
        </w:rPr>
        <w:t xml:space="preserve">                                       </w:t>
      </w:r>
      <w:proofErr w:type="spellStart"/>
      <w:proofErr w:type="gramStart"/>
      <w:r>
        <w:rPr>
          <w:rFonts w:ascii="Times New Roman" w:hAnsi="Times New Roman"/>
          <w:b w:val="0"/>
          <w:sz w:val="24"/>
        </w:rPr>
        <w:t>Priėmė</w:t>
      </w:r>
      <w:proofErr w:type="spellEnd"/>
      <w:r>
        <w:rPr>
          <w:rFonts w:ascii="Times New Roman" w:hAnsi="Times New Roman"/>
          <w:b w:val="0"/>
          <w:sz w:val="24"/>
        </w:rPr>
        <w:t xml:space="preserve"> :</w:t>
      </w:r>
      <w:proofErr w:type="gramEnd"/>
      <w:r>
        <w:rPr>
          <w:rFonts w:ascii="Times New Roman" w:hAnsi="Times New Roman"/>
          <w:b w:val="0"/>
          <w:sz w:val="24"/>
        </w:rPr>
        <w:t xml:space="preserve">    </w:t>
      </w:r>
      <w:proofErr w:type="spellStart"/>
      <w:r w:rsidRPr="00146871">
        <w:rPr>
          <w:rFonts w:ascii="Times New Roman" w:hAnsi="Times New Roman"/>
          <w:b w:val="0"/>
          <w:sz w:val="24"/>
          <w:szCs w:val="24"/>
        </w:rPr>
        <w:t>Ramūnas</w:t>
      </w:r>
      <w:proofErr w:type="spellEnd"/>
      <w:r w:rsidRPr="00146871">
        <w:rPr>
          <w:rFonts w:ascii="Times New Roman" w:hAnsi="Times New Roman"/>
          <w:b w:val="0"/>
          <w:sz w:val="24"/>
          <w:szCs w:val="24"/>
        </w:rPr>
        <w:t xml:space="preserve"> </w:t>
      </w:r>
      <w:proofErr w:type="spellStart"/>
      <w:r w:rsidRPr="00146871">
        <w:rPr>
          <w:rFonts w:ascii="Times New Roman" w:hAnsi="Times New Roman"/>
          <w:b w:val="0"/>
          <w:sz w:val="24"/>
          <w:szCs w:val="24"/>
        </w:rPr>
        <w:t>Naujokaitis</w:t>
      </w:r>
      <w:proofErr w:type="spellEnd"/>
      <w:r w:rsidRPr="00146871">
        <w:rPr>
          <w:rFonts w:ascii="Times New Roman" w:hAnsi="Times New Roman"/>
          <w:b w:val="0"/>
          <w:sz w:val="24"/>
          <w:szCs w:val="24"/>
        </w:rPr>
        <w:t xml:space="preserve">, </w:t>
      </w:r>
    </w:p>
    <w:p w:rsidR="00146871" w:rsidRDefault="00146871" w:rsidP="00146871">
      <w:pPr>
        <w:pStyle w:val="Title"/>
        <w:jc w:val="right"/>
        <w:rPr>
          <w:rFonts w:ascii="Times New Roman" w:hAnsi="Times New Roman"/>
          <w:b w:val="0"/>
          <w:sz w:val="24"/>
          <w:szCs w:val="24"/>
        </w:rPr>
      </w:pPr>
      <w:r w:rsidRPr="00146871">
        <w:rPr>
          <w:rFonts w:ascii="Times New Roman" w:hAnsi="Times New Roman"/>
          <w:b w:val="0"/>
          <w:sz w:val="24"/>
          <w:szCs w:val="24"/>
        </w:rPr>
        <w:t xml:space="preserve">Kristina </w:t>
      </w:r>
      <w:proofErr w:type="spellStart"/>
      <w:r w:rsidRPr="00146871">
        <w:rPr>
          <w:rFonts w:ascii="Times New Roman" w:hAnsi="Times New Roman"/>
          <w:b w:val="0"/>
          <w:sz w:val="24"/>
          <w:szCs w:val="24"/>
        </w:rPr>
        <w:t>Bočkutė</w:t>
      </w:r>
      <w:proofErr w:type="spellEnd"/>
    </w:p>
    <w:p w:rsidR="00146871" w:rsidRPr="007C2B0D" w:rsidRDefault="00146871" w:rsidP="001035F2">
      <w:pPr>
        <w:pStyle w:val="Title"/>
        <w:jc w:val="right"/>
        <w:rPr>
          <w:lang w:val="lt-LT"/>
        </w:rPr>
      </w:pPr>
      <w:r>
        <w:rPr>
          <w:rFonts w:ascii="Times New Roman" w:hAnsi="Times New Roman"/>
          <w:b w:val="0"/>
          <w:sz w:val="24"/>
        </w:rPr>
        <w:t>Data: 2012-11-28</w:t>
      </w:r>
    </w:p>
    <w:p w:rsidR="00146871" w:rsidRPr="007C2B0D" w:rsidRDefault="00146871" w:rsidP="00146871">
      <w:pPr>
        <w:ind w:firstLine="720"/>
        <w:jc w:val="center"/>
      </w:pPr>
    </w:p>
    <w:p w:rsidR="00146871" w:rsidRDefault="00146871" w:rsidP="00146871">
      <w:pPr>
        <w:ind w:firstLine="720"/>
        <w:jc w:val="both"/>
        <w:rPr>
          <w:sz w:val="24"/>
        </w:rPr>
      </w:pPr>
      <w:r w:rsidRPr="007C2B0D">
        <w:rPr>
          <w:b/>
          <w:sz w:val="24"/>
        </w:rPr>
        <w:t>Darbo tikslas:</w:t>
      </w:r>
      <w:r w:rsidRPr="007C2B0D">
        <w:rPr>
          <w:sz w:val="24"/>
        </w:rPr>
        <w:t xml:space="preserve"> nustatyti </w:t>
      </w:r>
      <w:r>
        <w:rPr>
          <w:sz w:val="24"/>
          <w:lang w:val="en-US"/>
        </w:rPr>
        <w:sym w:font="Symbol" w:char="F067"/>
      </w:r>
      <w:r w:rsidRPr="007C2B0D">
        <w:rPr>
          <w:sz w:val="24"/>
        </w:rPr>
        <w:t xml:space="preserve"> spinduli</w:t>
      </w:r>
      <w:r>
        <w:rPr>
          <w:sz w:val="24"/>
        </w:rPr>
        <w:t>ų tiesinį ir masinį silpimo koeficienetus ir pusstorius dviem skirtingomis medžiagoms.</w:t>
      </w:r>
    </w:p>
    <w:p w:rsidR="00146871" w:rsidRDefault="00146871" w:rsidP="00146871">
      <w:pPr>
        <w:pStyle w:val="BodyTextIndent"/>
        <w:rPr>
          <w:rFonts w:ascii="Times New Roman" w:hAnsi="Times New Roman"/>
          <w:sz w:val="24"/>
        </w:rPr>
      </w:pPr>
      <w:r>
        <w:rPr>
          <w:rFonts w:ascii="Times New Roman" w:hAnsi="Times New Roman"/>
          <w:b/>
          <w:sz w:val="24"/>
        </w:rPr>
        <w:t>Teorinė dalis:</w:t>
      </w:r>
      <w:r>
        <w:rPr>
          <w:rFonts w:ascii="Times New Roman" w:hAnsi="Times New Roman"/>
          <w:sz w:val="24"/>
        </w:rPr>
        <w:t xml:space="preserve"> radioaktyvumu vadiname savaiminį vienų atomų branduolių virsmą kitų atomų branduoliais, kurio metu skleidžiami įvairių rūšių radioaktyvieji spinduliai. Pasirinkto elemento atomai nėra vienodi. Jie gali skirtis branduolio mase.  Elemento atomai, nesiskiriantys branduolio mase, vadinami izotopais. Gamtoje randamų izotopų radioaktyvumas vadinamas natūraliuoju. Branduolinių reakcijų dėka gali susidaryti nauji radioaktyvieji izotopai, kurių žemėje nėra. Tokių izotopų radioaktyvumas vadinamas dirbtiniu. Atomo branduolys, kuriam būdingas minėtas savaiminis virsmas, vadinamas motininiu, o branduolys, atsiradęs po virsmo, vadinamas dukteriniu.</w:t>
      </w:r>
    </w:p>
    <w:p w:rsidR="00146871" w:rsidRDefault="00146871" w:rsidP="00146871">
      <w:pPr>
        <w:ind w:firstLine="720"/>
        <w:jc w:val="both"/>
        <w:rPr>
          <w:sz w:val="24"/>
        </w:rPr>
      </w:pPr>
      <w:r>
        <w:rPr>
          <w:sz w:val="24"/>
        </w:rPr>
        <w:t xml:space="preserve">Yra 3 rūšių radioaktyvieji spinduliai: </w:t>
      </w:r>
      <w:r>
        <w:rPr>
          <w:sz w:val="24"/>
        </w:rPr>
        <w:sym w:font="Symbol" w:char="F061"/>
      </w:r>
      <w:r>
        <w:rPr>
          <w:sz w:val="24"/>
        </w:rPr>
        <w:t xml:space="preserve"> (Helio branduoliai), </w:t>
      </w:r>
      <w:r>
        <w:rPr>
          <w:sz w:val="24"/>
        </w:rPr>
        <w:sym w:font="Symbol" w:char="F062"/>
      </w:r>
      <w:r>
        <w:rPr>
          <w:sz w:val="24"/>
        </w:rPr>
        <w:t xml:space="preserve"> (elektronų srautas), </w:t>
      </w:r>
      <w:r>
        <w:rPr>
          <w:sz w:val="24"/>
        </w:rPr>
        <w:sym w:font="Symbol" w:char="F067"/>
      </w:r>
      <w:r>
        <w:rPr>
          <w:sz w:val="24"/>
        </w:rPr>
        <w:t xml:space="preserve"> (labai trumpas elektromagnetinės bangos). </w:t>
      </w:r>
      <w:r>
        <w:rPr>
          <w:sz w:val="24"/>
          <w:lang w:val="en-US"/>
        </w:rPr>
        <w:sym w:font="Symbol" w:char="F067"/>
      </w:r>
      <w:r w:rsidRPr="007C2B0D">
        <w:rPr>
          <w:sz w:val="24"/>
        </w:rPr>
        <w:t xml:space="preserve"> </w:t>
      </w:r>
      <w:proofErr w:type="spellStart"/>
      <w:proofErr w:type="gramStart"/>
      <w:r>
        <w:rPr>
          <w:sz w:val="24"/>
          <w:lang w:val="en-US"/>
        </w:rPr>
        <w:t>bangas</w:t>
      </w:r>
      <w:proofErr w:type="spellEnd"/>
      <w:proofErr w:type="gramEnd"/>
      <w:r>
        <w:rPr>
          <w:sz w:val="24"/>
          <w:lang w:val="en-US"/>
        </w:rPr>
        <w:t xml:space="preserve"> </w:t>
      </w:r>
      <w:proofErr w:type="spellStart"/>
      <w:r>
        <w:rPr>
          <w:sz w:val="24"/>
          <w:lang w:val="en-US"/>
        </w:rPr>
        <w:t>sudaro</w:t>
      </w:r>
      <w:proofErr w:type="spellEnd"/>
      <w:r>
        <w:rPr>
          <w:sz w:val="24"/>
          <w:lang w:val="en-US"/>
        </w:rPr>
        <w:t xml:space="preserve"> </w:t>
      </w:r>
      <w:proofErr w:type="spellStart"/>
      <w:r>
        <w:rPr>
          <w:sz w:val="24"/>
          <w:lang w:val="en-US"/>
        </w:rPr>
        <w:t>fotonai</w:t>
      </w:r>
      <w:proofErr w:type="spellEnd"/>
      <w:r>
        <w:rPr>
          <w:sz w:val="24"/>
          <w:lang w:val="en-US"/>
        </w:rPr>
        <w:t xml:space="preserve">. </w:t>
      </w:r>
      <w:r>
        <w:rPr>
          <w:sz w:val="24"/>
          <w:lang w:val="en-US"/>
        </w:rPr>
        <w:sym w:font="Symbol" w:char="F067"/>
      </w:r>
      <w:r>
        <w:rPr>
          <w:sz w:val="24"/>
          <w:lang w:val="en-US"/>
        </w:rPr>
        <w:t xml:space="preserve"> </w:t>
      </w:r>
      <w:proofErr w:type="spellStart"/>
      <w:proofErr w:type="gramStart"/>
      <w:r>
        <w:rPr>
          <w:sz w:val="24"/>
          <w:lang w:val="en-US"/>
        </w:rPr>
        <w:t>spindulys</w:t>
      </w:r>
      <w:proofErr w:type="spellEnd"/>
      <w:proofErr w:type="gramEnd"/>
      <w:r>
        <w:rPr>
          <w:sz w:val="24"/>
          <w:lang w:val="en-US"/>
        </w:rPr>
        <w:t xml:space="preserve">, </w:t>
      </w:r>
      <w:proofErr w:type="spellStart"/>
      <w:r>
        <w:rPr>
          <w:sz w:val="24"/>
          <w:lang w:val="en-US"/>
        </w:rPr>
        <w:t>skrisdamas</w:t>
      </w:r>
      <w:proofErr w:type="spellEnd"/>
      <w:r>
        <w:rPr>
          <w:sz w:val="24"/>
          <w:lang w:val="en-US"/>
        </w:rPr>
        <w:t xml:space="preserve"> </w:t>
      </w:r>
      <w:proofErr w:type="spellStart"/>
      <w:r>
        <w:rPr>
          <w:sz w:val="24"/>
          <w:lang w:val="en-US"/>
        </w:rPr>
        <w:t>medžiaga</w:t>
      </w:r>
      <w:proofErr w:type="spellEnd"/>
      <w:r>
        <w:rPr>
          <w:sz w:val="24"/>
          <w:lang w:val="en-US"/>
        </w:rPr>
        <w:t xml:space="preserve">, </w:t>
      </w:r>
      <w:proofErr w:type="spellStart"/>
      <w:r>
        <w:rPr>
          <w:sz w:val="24"/>
          <w:lang w:val="en-US"/>
        </w:rPr>
        <w:t>silpnėja</w:t>
      </w:r>
      <w:proofErr w:type="spellEnd"/>
      <w:r>
        <w:rPr>
          <w:sz w:val="24"/>
          <w:lang w:val="en-US"/>
        </w:rPr>
        <w:t xml:space="preserve">. </w:t>
      </w:r>
      <w:proofErr w:type="gramStart"/>
      <w:r>
        <w:rPr>
          <w:sz w:val="24"/>
          <w:lang w:val="en-US"/>
        </w:rPr>
        <w:t xml:space="preserve">Tai </w:t>
      </w:r>
      <w:proofErr w:type="spellStart"/>
      <w:r>
        <w:rPr>
          <w:sz w:val="24"/>
          <w:lang w:val="en-US"/>
        </w:rPr>
        <w:t>Komptono</w:t>
      </w:r>
      <w:proofErr w:type="spellEnd"/>
      <w:r>
        <w:rPr>
          <w:sz w:val="24"/>
          <w:lang w:val="en-US"/>
        </w:rPr>
        <w:t xml:space="preserve"> </w:t>
      </w:r>
      <w:proofErr w:type="spellStart"/>
      <w:r>
        <w:rPr>
          <w:sz w:val="24"/>
          <w:lang w:val="en-US"/>
        </w:rPr>
        <w:t>efektas</w:t>
      </w:r>
      <w:proofErr w:type="spellEnd"/>
      <w:r>
        <w:rPr>
          <w:sz w:val="24"/>
          <w:lang w:val="en-US"/>
        </w:rPr>
        <w:t>.</w:t>
      </w:r>
      <w:proofErr w:type="gramEnd"/>
      <w:r>
        <w:rPr>
          <w:sz w:val="24"/>
          <w:lang w:val="en-US"/>
        </w:rPr>
        <w:t xml:space="preserve"> Be to, </w:t>
      </w:r>
      <w:proofErr w:type="spellStart"/>
      <w:r>
        <w:rPr>
          <w:sz w:val="24"/>
          <w:lang w:val="en-US"/>
        </w:rPr>
        <w:t>jie</w:t>
      </w:r>
      <w:proofErr w:type="spellEnd"/>
      <w:r>
        <w:rPr>
          <w:sz w:val="24"/>
          <w:lang w:val="en-US"/>
        </w:rPr>
        <w:t xml:space="preserve"> ne </w:t>
      </w:r>
      <w:proofErr w:type="spellStart"/>
      <w:r>
        <w:rPr>
          <w:sz w:val="24"/>
          <w:lang w:val="en-US"/>
        </w:rPr>
        <w:t>tik</w:t>
      </w:r>
      <w:proofErr w:type="spellEnd"/>
      <w:r>
        <w:rPr>
          <w:sz w:val="24"/>
          <w:lang w:val="en-US"/>
        </w:rPr>
        <w:t xml:space="preserve"> </w:t>
      </w:r>
      <w:proofErr w:type="spellStart"/>
      <w:proofErr w:type="gramStart"/>
      <w:r>
        <w:rPr>
          <w:sz w:val="24"/>
          <w:lang w:val="en-US"/>
        </w:rPr>
        <w:t>absorbuojami</w:t>
      </w:r>
      <w:proofErr w:type="spellEnd"/>
      <w:r>
        <w:rPr>
          <w:sz w:val="24"/>
          <w:lang w:val="en-US"/>
        </w:rPr>
        <w:t>,</w:t>
      </w:r>
      <w:proofErr w:type="gramEnd"/>
      <w:r>
        <w:rPr>
          <w:sz w:val="24"/>
          <w:lang w:val="en-US"/>
        </w:rPr>
        <w:t xml:space="preserve"> bet </w:t>
      </w:r>
      <w:proofErr w:type="spellStart"/>
      <w:r>
        <w:rPr>
          <w:sz w:val="24"/>
          <w:lang w:val="en-US"/>
        </w:rPr>
        <w:t>ir</w:t>
      </w:r>
      <w:proofErr w:type="spellEnd"/>
      <w:r>
        <w:rPr>
          <w:sz w:val="24"/>
          <w:lang w:val="en-US"/>
        </w:rPr>
        <w:t xml:space="preserve"> </w:t>
      </w:r>
      <w:proofErr w:type="spellStart"/>
      <w:r>
        <w:rPr>
          <w:sz w:val="24"/>
          <w:lang w:val="en-US"/>
        </w:rPr>
        <w:t>išsklaidomi</w:t>
      </w:r>
      <w:proofErr w:type="spellEnd"/>
      <w:r>
        <w:rPr>
          <w:sz w:val="24"/>
          <w:lang w:val="en-US"/>
        </w:rPr>
        <w:t xml:space="preserve"> – </w:t>
      </w:r>
      <w:proofErr w:type="spellStart"/>
      <w:r>
        <w:rPr>
          <w:sz w:val="24"/>
          <w:lang w:val="en-US"/>
        </w:rPr>
        <w:t>branduolinis</w:t>
      </w:r>
      <w:proofErr w:type="spellEnd"/>
      <w:r>
        <w:rPr>
          <w:sz w:val="24"/>
          <w:lang w:val="en-US"/>
        </w:rPr>
        <w:t xml:space="preserve"> </w:t>
      </w:r>
      <w:proofErr w:type="spellStart"/>
      <w:r>
        <w:rPr>
          <w:sz w:val="24"/>
          <w:lang w:val="en-US"/>
        </w:rPr>
        <w:t>efektas</w:t>
      </w:r>
      <w:proofErr w:type="spellEnd"/>
      <w:r>
        <w:rPr>
          <w:sz w:val="24"/>
          <w:lang w:val="en-US"/>
        </w:rPr>
        <w:t xml:space="preserve">. Tai </w:t>
      </w:r>
      <w:proofErr w:type="spellStart"/>
      <w:r>
        <w:rPr>
          <w:sz w:val="24"/>
          <w:lang w:val="en-US"/>
        </w:rPr>
        <w:t>gi</w:t>
      </w:r>
      <w:proofErr w:type="spellEnd"/>
      <w:r>
        <w:rPr>
          <w:sz w:val="24"/>
          <w:lang w:val="en-US"/>
        </w:rPr>
        <w:t xml:space="preserve">, </w:t>
      </w:r>
      <w:proofErr w:type="spellStart"/>
      <w:r>
        <w:rPr>
          <w:sz w:val="24"/>
          <w:lang w:val="en-US"/>
        </w:rPr>
        <w:t>siauro</w:t>
      </w:r>
      <w:proofErr w:type="spellEnd"/>
      <w:r>
        <w:rPr>
          <w:sz w:val="24"/>
          <w:lang w:val="en-US"/>
        </w:rPr>
        <w:t xml:space="preserve"> </w:t>
      </w:r>
      <w:proofErr w:type="spellStart"/>
      <w:r>
        <w:rPr>
          <w:sz w:val="24"/>
          <w:lang w:val="en-US"/>
        </w:rPr>
        <w:t>spindulių</w:t>
      </w:r>
      <w:proofErr w:type="spellEnd"/>
      <w:r>
        <w:rPr>
          <w:sz w:val="24"/>
          <w:lang w:val="en-US"/>
        </w:rPr>
        <w:t xml:space="preserve"> </w:t>
      </w:r>
      <w:proofErr w:type="spellStart"/>
      <w:r>
        <w:rPr>
          <w:sz w:val="24"/>
          <w:lang w:val="en-US"/>
        </w:rPr>
        <w:t>pluoštų</w:t>
      </w:r>
      <w:proofErr w:type="spellEnd"/>
      <w:r>
        <w:rPr>
          <w:sz w:val="24"/>
          <w:lang w:val="en-US"/>
        </w:rPr>
        <w:t xml:space="preserve"> </w:t>
      </w:r>
      <w:proofErr w:type="spellStart"/>
      <w:r>
        <w:rPr>
          <w:sz w:val="24"/>
          <w:lang w:val="en-US"/>
        </w:rPr>
        <w:t>intensyvumas</w:t>
      </w:r>
      <w:proofErr w:type="spellEnd"/>
      <w:r>
        <w:rPr>
          <w:sz w:val="24"/>
          <w:lang w:val="en-US"/>
        </w:rPr>
        <w:t xml:space="preserve"> </w:t>
      </w:r>
      <w:proofErr w:type="spellStart"/>
      <w:r>
        <w:rPr>
          <w:sz w:val="24"/>
          <w:lang w:val="en-US"/>
        </w:rPr>
        <w:t>medžiagoje</w:t>
      </w:r>
      <w:proofErr w:type="spellEnd"/>
      <w:r>
        <w:rPr>
          <w:sz w:val="24"/>
          <w:lang w:val="en-US"/>
        </w:rPr>
        <w:t xml:space="preserve"> </w:t>
      </w:r>
      <w:proofErr w:type="spellStart"/>
      <w:r>
        <w:rPr>
          <w:sz w:val="24"/>
          <w:lang w:val="en-US"/>
        </w:rPr>
        <w:t>mažėja</w:t>
      </w:r>
      <w:proofErr w:type="spellEnd"/>
      <w:r>
        <w:rPr>
          <w:sz w:val="24"/>
          <w:lang w:val="en-US"/>
        </w:rPr>
        <w:t xml:space="preserve"> </w:t>
      </w:r>
      <w:proofErr w:type="spellStart"/>
      <w:r>
        <w:rPr>
          <w:sz w:val="24"/>
          <w:lang w:val="en-US"/>
        </w:rPr>
        <w:t>eksponentiniu</w:t>
      </w:r>
      <w:proofErr w:type="spellEnd"/>
      <w:r>
        <w:rPr>
          <w:sz w:val="24"/>
          <w:lang w:val="en-US"/>
        </w:rPr>
        <w:t xml:space="preserve"> </w:t>
      </w:r>
      <w:proofErr w:type="spellStart"/>
      <w:r>
        <w:rPr>
          <w:sz w:val="24"/>
          <w:lang w:val="en-US"/>
        </w:rPr>
        <w:t>dėsniu</w:t>
      </w:r>
      <w:proofErr w:type="spellEnd"/>
      <w:r>
        <w:rPr>
          <w:sz w:val="24"/>
          <w:lang w:val="en-US"/>
        </w:rPr>
        <w:t>: I=I</w:t>
      </w:r>
      <w:r>
        <w:rPr>
          <w:sz w:val="24"/>
          <w:vertAlign w:val="subscript"/>
          <w:lang w:val="en-US"/>
        </w:rPr>
        <w:t>0</w:t>
      </w:r>
      <w:r>
        <w:rPr>
          <w:sz w:val="24"/>
          <w:lang w:val="en-US"/>
        </w:rPr>
        <w:t>e</w:t>
      </w:r>
      <w:r>
        <w:rPr>
          <w:sz w:val="24"/>
          <w:vertAlign w:val="superscript"/>
          <w:lang w:val="en-US"/>
        </w:rPr>
        <w:t>-</w:t>
      </w:r>
      <w:r>
        <w:rPr>
          <w:sz w:val="24"/>
          <w:vertAlign w:val="superscript"/>
          <w:lang w:val="en-US"/>
        </w:rPr>
        <w:sym w:font="Symbol" w:char="F06D"/>
      </w:r>
      <w:r>
        <w:rPr>
          <w:sz w:val="24"/>
          <w:vertAlign w:val="superscript"/>
          <w:lang w:val="en-US"/>
        </w:rPr>
        <w:t>x</w:t>
      </w:r>
      <w:r>
        <w:rPr>
          <w:sz w:val="24"/>
          <w:lang w:val="en-US"/>
        </w:rPr>
        <w:t xml:space="preserve">. </w:t>
      </w:r>
      <w:proofErr w:type="gramStart"/>
      <w:r>
        <w:rPr>
          <w:sz w:val="24"/>
          <w:lang w:val="en-US"/>
        </w:rPr>
        <w:t xml:space="preserve">I - </w:t>
      </w:r>
      <w:r>
        <w:rPr>
          <w:sz w:val="24"/>
          <w:lang w:val="en-US"/>
        </w:rPr>
        <w:sym w:font="Symbol" w:char="F067"/>
      </w:r>
      <w:r>
        <w:rPr>
          <w:sz w:val="24"/>
          <w:lang w:val="en-US"/>
        </w:rPr>
        <w:t xml:space="preserve"> </w:t>
      </w:r>
      <w:proofErr w:type="spellStart"/>
      <w:r>
        <w:rPr>
          <w:sz w:val="24"/>
          <w:lang w:val="en-US"/>
        </w:rPr>
        <w:t>spindulių</w:t>
      </w:r>
      <w:proofErr w:type="spellEnd"/>
      <w:r>
        <w:rPr>
          <w:sz w:val="24"/>
          <w:lang w:val="en-US"/>
        </w:rPr>
        <w:t xml:space="preserve">, </w:t>
      </w:r>
      <w:proofErr w:type="spellStart"/>
      <w:r>
        <w:rPr>
          <w:sz w:val="24"/>
          <w:lang w:val="en-US"/>
        </w:rPr>
        <w:t>praėjusių</w:t>
      </w:r>
      <w:proofErr w:type="spellEnd"/>
      <w:r>
        <w:rPr>
          <w:sz w:val="24"/>
          <w:lang w:val="en-US"/>
        </w:rPr>
        <w:t xml:space="preserve"> pro x </w:t>
      </w:r>
      <w:proofErr w:type="spellStart"/>
      <w:r>
        <w:rPr>
          <w:sz w:val="24"/>
          <w:lang w:val="en-US"/>
        </w:rPr>
        <w:t>storio</w:t>
      </w:r>
      <w:proofErr w:type="spellEnd"/>
      <w:r>
        <w:rPr>
          <w:sz w:val="24"/>
          <w:lang w:val="en-US"/>
        </w:rPr>
        <w:t xml:space="preserve"> </w:t>
      </w:r>
      <w:proofErr w:type="spellStart"/>
      <w:r>
        <w:rPr>
          <w:sz w:val="24"/>
          <w:lang w:val="en-US"/>
        </w:rPr>
        <w:t>medžiagos</w:t>
      </w:r>
      <w:proofErr w:type="spellEnd"/>
      <w:r>
        <w:rPr>
          <w:sz w:val="24"/>
          <w:lang w:val="en-US"/>
        </w:rPr>
        <w:t xml:space="preserve"> </w:t>
      </w:r>
      <w:proofErr w:type="spellStart"/>
      <w:r>
        <w:rPr>
          <w:sz w:val="24"/>
          <w:lang w:val="en-US"/>
        </w:rPr>
        <w:t>sluoksnį</w:t>
      </w:r>
      <w:proofErr w:type="spellEnd"/>
      <w:r>
        <w:rPr>
          <w:sz w:val="24"/>
          <w:lang w:val="en-US"/>
        </w:rPr>
        <w:t xml:space="preserve">, </w:t>
      </w:r>
      <w:proofErr w:type="spellStart"/>
      <w:r>
        <w:rPr>
          <w:sz w:val="24"/>
          <w:lang w:val="en-US"/>
        </w:rPr>
        <w:t>intensyvumas</w:t>
      </w:r>
      <w:proofErr w:type="spellEnd"/>
      <w:r>
        <w:rPr>
          <w:sz w:val="24"/>
          <w:lang w:val="en-US"/>
        </w:rPr>
        <w:t>; I</w:t>
      </w:r>
      <w:r>
        <w:rPr>
          <w:sz w:val="24"/>
          <w:vertAlign w:val="subscript"/>
          <w:lang w:val="en-US"/>
        </w:rPr>
        <w:t xml:space="preserve">0 </w:t>
      </w:r>
      <w:r>
        <w:rPr>
          <w:sz w:val="24"/>
          <w:lang w:val="en-US"/>
        </w:rPr>
        <w:t>–</w:t>
      </w:r>
      <w:proofErr w:type="spellStart"/>
      <w:r>
        <w:rPr>
          <w:sz w:val="24"/>
          <w:lang w:val="en-US"/>
        </w:rPr>
        <w:t>krintančių</w:t>
      </w:r>
      <w:proofErr w:type="spellEnd"/>
      <w:r>
        <w:rPr>
          <w:sz w:val="24"/>
          <w:lang w:val="en-US"/>
        </w:rPr>
        <w:t xml:space="preserve"> į </w:t>
      </w:r>
      <w:proofErr w:type="spellStart"/>
      <w:r>
        <w:rPr>
          <w:sz w:val="24"/>
          <w:lang w:val="en-US"/>
        </w:rPr>
        <w:t>medžiagą</w:t>
      </w:r>
      <w:proofErr w:type="spellEnd"/>
      <w:r>
        <w:rPr>
          <w:sz w:val="24"/>
          <w:lang w:val="en-US"/>
        </w:rPr>
        <w:t xml:space="preserve"> </w:t>
      </w:r>
      <w:r>
        <w:rPr>
          <w:sz w:val="24"/>
          <w:lang w:val="en-US"/>
        </w:rPr>
        <w:sym w:font="Symbol" w:char="F067"/>
      </w:r>
      <w:r>
        <w:rPr>
          <w:sz w:val="24"/>
          <w:lang w:val="en-US"/>
        </w:rPr>
        <w:t xml:space="preserve"> </w:t>
      </w:r>
      <w:proofErr w:type="spellStart"/>
      <w:r>
        <w:rPr>
          <w:sz w:val="24"/>
          <w:lang w:val="en-US"/>
        </w:rPr>
        <w:t>spindulių</w:t>
      </w:r>
      <w:proofErr w:type="spellEnd"/>
      <w:r>
        <w:rPr>
          <w:sz w:val="24"/>
          <w:lang w:val="en-US"/>
        </w:rPr>
        <w:t xml:space="preserve"> </w:t>
      </w:r>
      <w:proofErr w:type="spellStart"/>
      <w:r>
        <w:rPr>
          <w:sz w:val="24"/>
          <w:lang w:val="en-US"/>
        </w:rPr>
        <w:t>intensyvumas</w:t>
      </w:r>
      <w:proofErr w:type="spellEnd"/>
      <w:r>
        <w:rPr>
          <w:sz w:val="24"/>
          <w:lang w:val="en-US"/>
        </w:rPr>
        <w:t>.</w:t>
      </w:r>
      <w:proofErr w:type="gramEnd"/>
      <w:r>
        <w:rPr>
          <w:sz w:val="24"/>
          <w:lang w:val="en-US"/>
        </w:rPr>
        <w:t xml:space="preserve"> </w:t>
      </w:r>
      <w:proofErr w:type="spellStart"/>
      <w:proofErr w:type="gramStart"/>
      <w:r>
        <w:rPr>
          <w:sz w:val="24"/>
          <w:lang w:val="en-US"/>
        </w:rPr>
        <w:t>Dydis</w:t>
      </w:r>
      <w:proofErr w:type="spellEnd"/>
      <w:r>
        <w:rPr>
          <w:sz w:val="24"/>
          <w:lang w:val="en-US"/>
        </w:rPr>
        <w:t xml:space="preserve"> </w:t>
      </w:r>
      <w:r>
        <w:rPr>
          <w:sz w:val="24"/>
          <w:lang w:val="en-US"/>
        </w:rPr>
        <w:sym w:font="Symbol" w:char="F06D"/>
      </w:r>
      <w:r>
        <w:rPr>
          <w:sz w:val="24"/>
          <w:lang w:val="en-US"/>
        </w:rPr>
        <w:t xml:space="preserve"> </w:t>
      </w:r>
      <w:proofErr w:type="spellStart"/>
      <w:r>
        <w:rPr>
          <w:sz w:val="24"/>
          <w:lang w:val="en-US"/>
        </w:rPr>
        <w:t>vadinamas</w:t>
      </w:r>
      <w:proofErr w:type="spellEnd"/>
      <w:r>
        <w:rPr>
          <w:sz w:val="24"/>
          <w:lang w:val="en-US"/>
        </w:rPr>
        <w:t xml:space="preserve"> </w:t>
      </w:r>
      <w:proofErr w:type="spellStart"/>
      <w:r>
        <w:rPr>
          <w:sz w:val="24"/>
          <w:lang w:val="en-US"/>
        </w:rPr>
        <w:t>tiesiniu</w:t>
      </w:r>
      <w:proofErr w:type="spellEnd"/>
      <w:r>
        <w:rPr>
          <w:sz w:val="24"/>
          <w:lang w:val="en-US"/>
        </w:rPr>
        <w:t xml:space="preserve"> </w:t>
      </w:r>
      <w:proofErr w:type="spellStart"/>
      <w:r>
        <w:rPr>
          <w:sz w:val="24"/>
          <w:lang w:val="en-US"/>
        </w:rPr>
        <w:t>silpimo</w:t>
      </w:r>
      <w:proofErr w:type="spellEnd"/>
      <w:r>
        <w:rPr>
          <w:sz w:val="24"/>
          <w:lang w:val="en-US"/>
        </w:rPr>
        <w:t xml:space="preserve"> </w:t>
      </w:r>
      <w:proofErr w:type="spellStart"/>
      <w:r>
        <w:rPr>
          <w:sz w:val="24"/>
          <w:lang w:val="en-US"/>
        </w:rPr>
        <w:t>koeficientu</w:t>
      </w:r>
      <w:proofErr w:type="spellEnd"/>
      <w:r>
        <w:rPr>
          <w:sz w:val="24"/>
          <w:lang w:val="en-US"/>
        </w:rPr>
        <w:t>.</w:t>
      </w:r>
      <w:proofErr w:type="gramEnd"/>
      <w:r>
        <w:rPr>
          <w:sz w:val="24"/>
          <w:lang w:val="en-US"/>
        </w:rPr>
        <w:t xml:space="preserve"> </w:t>
      </w:r>
      <w:proofErr w:type="spellStart"/>
      <w:r>
        <w:rPr>
          <w:sz w:val="24"/>
          <w:lang w:val="en-US"/>
        </w:rPr>
        <w:t>Atliekant</w:t>
      </w:r>
      <w:proofErr w:type="spellEnd"/>
      <w:r>
        <w:rPr>
          <w:sz w:val="24"/>
          <w:lang w:val="en-US"/>
        </w:rPr>
        <w:t xml:space="preserve"> </w:t>
      </w:r>
      <w:proofErr w:type="spellStart"/>
      <w:r>
        <w:rPr>
          <w:sz w:val="24"/>
          <w:lang w:val="en-US"/>
        </w:rPr>
        <w:t>bandymą</w:t>
      </w:r>
      <w:proofErr w:type="spellEnd"/>
      <w:r>
        <w:rPr>
          <w:sz w:val="24"/>
          <w:lang w:val="en-US"/>
        </w:rPr>
        <w:t xml:space="preserve"> </w:t>
      </w:r>
      <w:proofErr w:type="spellStart"/>
      <w:r>
        <w:rPr>
          <w:sz w:val="24"/>
          <w:lang w:val="en-US"/>
        </w:rPr>
        <w:t>su</w:t>
      </w:r>
      <w:proofErr w:type="spellEnd"/>
      <w:r>
        <w:rPr>
          <w:sz w:val="24"/>
          <w:lang w:val="en-US"/>
        </w:rPr>
        <w:t xml:space="preserve"> </w:t>
      </w:r>
      <w:proofErr w:type="spellStart"/>
      <w:r>
        <w:rPr>
          <w:sz w:val="24"/>
          <w:lang w:val="en-US"/>
        </w:rPr>
        <w:t>skaitikliu</w:t>
      </w:r>
      <w:proofErr w:type="spellEnd"/>
      <w:r>
        <w:rPr>
          <w:sz w:val="24"/>
          <w:lang w:val="en-US"/>
        </w:rPr>
        <w:t xml:space="preserve">, </w:t>
      </w:r>
      <w:r>
        <w:rPr>
          <w:sz w:val="24"/>
          <w:lang w:val="en-US"/>
        </w:rPr>
        <w:sym w:font="Symbol" w:char="F06D"/>
      </w:r>
      <w:r>
        <w:rPr>
          <w:sz w:val="24"/>
          <w:lang w:val="en-US"/>
        </w:rPr>
        <w:t xml:space="preserve"> </w:t>
      </w:r>
      <w:proofErr w:type="spellStart"/>
      <w:r>
        <w:rPr>
          <w:sz w:val="24"/>
          <w:lang w:val="en-US"/>
        </w:rPr>
        <w:t>apskaičiuojame</w:t>
      </w:r>
      <w:proofErr w:type="spellEnd"/>
      <w:r>
        <w:rPr>
          <w:sz w:val="24"/>
          <w:lang w:val="en-US"/>
        </w:rPr>
        <w:t xml:space="preserve"> </w:t>
      </w:r>
      <w:proofErr w:type="spellStart"/>
      <w:r>
        <w:rPr>
          <w:sz w:val="24"/>
          <w:lang w:val="en-US"/>
        </w:rPr>
        <w:t>pagal</w:t>
      </w:r>
      <w:proofErr w:type="spellEnd"/>
      <w:r>
        <w:rPr>
          <w:sz w:val="24"/>
          <w:lang w:val="en-US"/>
        </w:rPr>
        <w:t xml:space="preserve"> </w:t>
      </w:r>
      <w:r>
        <w:rPr>
          <w:sz w:val="24"/>
          <w:lang w:val="en-US"/>
        </w:rPr>
        <w:sym w:font="Symbol" w:char="F06D"/>
      </w:r>
      <w:proofErr w:type="gramStart"/>
      <w:r>
        <w:rPr>
          <w:sz w:val="24"/>
          <w:lang w:val="en-US"/>
        </w:rPr>
        <w:t>=(</w:t>
      </w:r>
      <w:proofErr w:type="gramEnd"/>
      <w:r>
        <w:rPr>
          <w:sz w:val="24"/>
          <w:lang w:val="en-US"/>
        </w:rPr>
        <w:t>2.3lg(N</w:t>
      </w:r>
      <w:r>
        <w:rPr>
          <w:sz w:val="24"/>
          <w:vertAlign w:val="subscript"/>
          <w:lang w:val="en-US"/>
        </w:rPr>
        <w:t>0</w:t>
      </w:r>
      <w:r>
        <w:rPr>
          <w:sz w:val="24"/>
          <w:lang w:val="en-US"/>
        </w:rPr>
        <w:t>/N)) / x.</w:t>
      </w:r>
    </w:p>
    <w:p w:rsidR="00146871" w:rsidRDefault="00146871" w:rsidP="00146871">
      <w:pPr>
        <w:ind w:firstLine="720"/>
        <w:jc w:val="both"/>
        <w:rPr>
          <w:b/>
          <w:sz w:val="24"/>
        </w:rPr>
      </w:pPr>
      <w:r>
        <w:rPr>
          <w:b/>
          <w:sz w:val="24"/>
        </w:rPr>
        <w:t xml:space="preserve">Aparatūra: </w:t>
      </w:r>
    </w:p>
    <w:p w:rsidR="00146871" w:rsidRPr="001A0245" w:rsidRDefault="001A0245" w:rsidP="00146871">
      <w:pPr>
        <w:ind w:firstLine="720"/>
        <w:jc w:val="both"/>
        <w:rPr>
          <w:sz w:val="24"/>
          <w:szCs w:val="24"/>
        </w:rPr>
      </w:pPr>
      <w:r w:rsidRPr="001A0245">
        <w:rPr>
          <w:sz w:val="24"/>
          <w:szCs w:val="24"/>
        </w:rPr>
        <w:sym w:font="Symbol" w:char="F067"/>
      </w:r>
      <w:r w:rsidRPr="001A0245">
        <w:rPr>
          <w:sz w:val="24"/>
          <w:szCs w:val="24"/>
        </w:rPr>
        <w:t xml:space="preserve"> spindulius skleidžia ilgo cilindro formos švino konteinerio dugne (gale) padėtas radioaktyvusis izotopas. Todėl </w:t>
      </w:r>
      <w:r w:rsidRPr="001A0245">
        <w:rPr>
          <w:sz w:val="24"/>
          <w:szCs w:val="24"/>
        </w:rPr>
        <w:sym w:font="Symbol" w:char="F067"/>
      </w:r>
      <w:r w:rsidRPr="001A0245">
        <w:rPr>
          <w:sz w:val="24"/>
          <w:szCs w:val="24"/>
        </w:rPr>
        <w:t xml:space="preserve"> spindulių pluoštelis, sklindantis iš konteinerio detektoriaus ( GAMMA SCOUT ) link, praktiškai yra lygiagretus. Švino ekranu uždengus konteinerio angą, iš jo </w:t>
      </w:r>
      <w:r w:rsidRPr="001A0245">
        <w:rPr>
          <w:sz w:val="24"/>
          <w:szCs w:val="24"/>
        </w:rPr>
        <w:sym w:font="Symbol" w:char="F067"/>
      </w:r>
      <w:r w:rsidRPr="001A0245">
        <w:rPr>
          <w:sz w:val="24"/>
          <w:szCs w:val="24"/>
        </w:rPr>
        <w:t xml:space="preserve"> spinduliai nepatenka į aplinką ir į detektorių.</w:t>
      </w:r>
    </w:p>
    <w:p w:rsidR="00146871" w:rsidRDefault="00146871" w:rsidP="00146871">
      <w:pPr>
        <w:ind w:firstLine="720"/>
        <w:jc w:val="both"/>
        <w:rPr>
          <w:sz w:val="24"/>
          <w:lang w:val="en-US"/>
        </w:rPr>
      </w:pPr>
      <w:proofErr w:type="spellStart"/>
      <w:r>
        <w:rPr>
          <w:b/>
          <w:sz w:val="24"/>
          <w:lang w:val="en-US"/>
        </w:rPr>
        <w:t>Darbo</w:t>
      </w:r>
      <w:proofErr w:type="spellEnd"/>
      <w:r>
        <w:rPr>
          <w:b/>
          <w:sz w:val="24"/>
          <w:lang w:val="en-US"/>
        </w:rPr>
        <w:t xml:space="preserve"> eiga</w:t>
      </w:r>
      <w:proofErr w:type="gramStart"/>
      <w:r>
        <w:rPr>
          <w:b/>
          <w:sz w:val="24"/>
          <w:lang w:val="en-US"/>
        </w:rPr>
        <w:t>:</w:t>
      </w:r>
      <w:r>
        <w:rPr>
          <w:sz w:val="24"/>
          <w:lang w:val="en-US"/>
        </w:rPr>
        <w:t>1.Paruošiame</w:t>
      </w:r>
      <w:proofErr w:type="gramEnd"/>
      <w:r>
        <w:rPr>
          <w:sz w:val="24"/>
          <w:lang w:val="en-US"/>
        </w:rPr>
        <w:t xml:space="preserve"> </w:t>
      </w:r>
      <w:proofErr w:type="spellStart"/>
      <w:r>
        <w:rPr>
          <w:sz w:val="24"/>
          <w:lang w:val="en-US"/>
        </w:rPr>
        <w:t>aparatūrą</w:t>
      </w:r>
      <w:proofErr w:type="spellEnd"/>
      <w:r>
        <w:rPr>
          <w:sz w:val="24"/>
          <w:lang w:val="en-US"/>
        </w:rPr>
        <w:t xml:space="preserve"> </w:t>
      </w:r>
      <w:proofErr w:type="spellStart"/>
      <w:r>
        <w:rPr>
          <w:sz w:val="24"/>
          <w:lang w:val="en-US"/>
        </w:rPr>
        <w:t>darbui</w:t>
      </w:r>
      <w:proofErr w:type="spellEnd"/>
      <w:r>
        <w:rPr>
          <w:sz w:val="24"/>
          <w:lang w:val="en-US"/>
        </w:rPr>
        <w:t xml:space="preserve">. </w:t>
      </w:r>
      <w:proofErr w:type="spellStart"/>
      <w:proofErr w:type="gramStart"/>
      <w:r>
        <w:rPr>
          <w:sz w:val="24"/>
          <w:lang w:val="en-US"/>
        </w:rPr>
        <w:t>Prijungiame</w:t>
      </w:r>
      <w:proofErr w:type="spellEnd"/>
      <w:r>
        <w:rPr>
          <w:sz w:val="24"/>
          <w:lang w:val="en-US"/>
        </w:rPr>
        <w:t xml:space="preserve"> </w:t>
      </w:r>
      <w:proofErr w:type="spellStart"/>
      <w:r>
        <w:rPr>
          <w:sz w:val="24"/>
          <w:lang w:val="en-US"/>
        </w:rPr>
        <w:t>aparatūrą</w:t>
      </w:r>
      <w:proofErr w:type="spellEnd"/>
      <w:r>
        <w:rPr>
          <w:sz w:val="24"/>
          <w:lang w:val="en-US"/>
        </w:rPr>
        <w:t xml:space="preserve"> </w:t>
      </w:r>
      <w:proofErr w:type="spellStart"/>
      <w:r>
        <w:rPr>
          <w:sz w:val="24"/>
          <w:lang w:val="en-US"/>
        </w:rPr>
        <w:t>prie</w:t>
      </w:r>
      <w:proofErr w:type="spellEnd"/>
      <w:r>
        <w:rPr>
          <w:sz w:val="24"/>
          <w:lang w:val="en-US"/>
        </w:rPr>
        <w:t xml:space="preserve"> </w:t>
      </w:r>
      <w:proofErr w:type="spellStart"/>
      <w:r>
        <w:rPr>
          <w:sz w:val="24"/>
          <w:lang w:val="en-US"/>
        </w:rPr>
        <w:t>elektros</w:t>
      </w:r>
      <w:proofErr w:type="spellEnd"/>
      <w:r>
        <w:rPr>
          <w:sz w:val="24"/>
          <w:lang w:val="en-US"/>
        </w:rPr>
        <w:t xml:space="preserve"> </w:t>
      </w:r>
      <w:proofErr w:type="spellStart"/>
      <w:r>
        <w:rPr>
          <w:sz w:val="24"/>
          <w:lang w:val="en-US"/>
        </w:rPr>
        <w:t>tinklo</w:t>
      </w:r>
      <w:proofErr w:type="spellEnd"/>
      <w:r>
        <w:rPr>
          <w:sz w:val="24"/>
          <w:lang w:val="en-US"/>
        </w:rPr>
        <w:t>.</w:t>
      </w:r>
      <w:proofErr w:type="gramEnd"/>
    </w:p>
    <w:p w:rsidR="00146871" w:rsidRDefault="00146871" w:rsidP="00146871">
      <w:pPr>
        <w:ind w:firstLine="720"/>
        <w:jc w:val="both"/>
        <w:rPr>
          <w:sz w:val="24"/>
          <w:lang w:val="en-US"/>
        </w:rPr>
      </w:pPr>
      <w:r>
        <w:rPr>
          <w:sz w:val="24"/>
          <w:lang w:val="en-US"/>
        </w:rPr>
        <w:t xml:space="preserve">2. </w:t>
      </w:r>
      <w:proofErr w:type="spellStart"/>
      <w:r>
        <w:rPr>
          <w:sz w:val="24"/>
          <w:lang w:val="en-US"/>
        </w:rPr>
        <w:t>Patikriname</w:t>
      </w:r>
      <w:proofErr w:type="spellEnd"/>
      <w:r>
        <w:rPr>
          <w:sz w:val="24"/>
          <w:lang w:val="en-US"/>
        </w:rPr>
        <w:t xml:space="preserve"> </w:t>
      </w:r>
      <w:proofErr w:type="spellStart"/>
      <w:r>
        <w:rPr>
          <w:sz w:val="24"/>
          <w:lang w:val="en-US"/>
        </w:rPr>
        <w:t>registravimo</w:t>
      </w:r>
      <w:proofErr w:type="spellEnd"/>
      <w:r>
        <w:rPr>
          <w:sz w:val="24"/>
          <w:lang w:val="en-US"/>
        </w:rPr>
        <w:t xml:space="preserve"> </w:t>
      </w:r>
      <w:proofErr w:type="spellStart"/>
      <w:r>
        <w:rPr>
          <w:sz w:val="24"/>
          <w:lang w:val="en-US"/>
        </w:rPr>
        <w:t>įrenginio</w:t>
      </w:r>
      <w:proofErr w:type="spellEnd"/>
      <w:r>
        <w:rPr>
          <w:sz w:val="24"/>
          <w:lang w:val="en-US"/>
        </w:rPr>
        <w:t xml:space="preserve"> </w:t>
      </w:r>
      <w:proofErr w:type="spellStart"/>
      <w:r>
        <w:rPr>
          <w:sz w:val="24"/>
          <w:lang w:val="en-US"/>
        </w:rPr>
        <w:t>tinkamumą</w:t>
      </w:r>
      <w:proofErr w:type="spellEnd"/>
      <w:r>
        <w:rPr>
          <w:sz w:val="24"/>
          <w:lang w:val="en-US"/>
        </w:rPr>
        <w:t xml:space="preserve"> </w:t>
      </w:r>
      <w:proofErr w:type="spellStart"/>
      <w:r>
        <w:rPr>
          <w:sz w:val="24"/>
          <w:lang w:val="en-US"/>
        </w:rPr>
        <w:t>darbui</w:t>
      </w:r>
      <w:proofErr w:type="spellEnd"/>
      <w:r>
        <w:rPr>
          <w:sz w:val="24"/>
          <w:lang w:val="en-US"/>
        </w:rPr>
        <w:t xml:space="preserve">. </w:t>
      </w:r>
    </w:p>
    <w:p w:rsidR="00146871" w:rsidRDefault="00146871" w:rsidP="00146871">
      <w:pPr>
        <w:ind w:firstLine="720"/>
        <w:jc w:val="both"/>
        <w:rPr>
          <w:sz w:val="24"/>
          <w:lang w:val="en-US"/>
        </w:rPr>
      </w:pPr>
      <w:r>
        <w:rPr>
          <w:sz w:val="24"/>
          <w:lang w:val="en-US"/>
        </w:rPr>
        <w:t xml:space="preserve">3. </w:t>
      </w:r>
      <w:proofErr w:type="spellStart"/>
      <w:r>
        <w:rPr>
          <w:sz w:val="24"/>
          <w:lang w:val="en-US"/>
        </w:rPr>
        <w:t>Nustatome</w:t>
      </w:r>
      <w:proofErr w:type="spellEnd"/>
      <w:r>
        <w:rPr>
          <w:sz w:val="24"/>
          <w:lang w:val="en-US"/>
        </w:rPr>
        <w:t xml:space="preserve"> </w:t>
      </w:r>
      <w:proofErr w:type="spellStart"/>
      <w:r>
        <w:rPr>
          <w:sz w:val="24"/>
          <w:lang w:val="en-US"/>
        </w:rPr>
        <w:t>Geigerio</w:t>
      </w:r>
      <w:proofErr w:type="spellEnd"/>
      <w:r>
        <w:rPr>
          <w:sz w:val="24"/>
          <w:lang w:val="en-US"/>
        </w:rPr>
        <w:t xml:space="preserve"> </w:t>
      </w:r>
      <w:proofErr w:type="spellStart"/>
      <w:r>
        <w:rPr>
          <w:sz w:val="24"/>
          <w:lang w:val="en-US"/>
        </w:rPr>
        <w:t>ir</w:t>
      </w:r>
      <w:proofErr w:type="spellEnd"/>
      <w:r>
        <w:rPr>
          <w:sz w:val="24"/>
          <w:lang w:val="en-US"/>
        </w:rPr>
        <w:t xml:space="preserve"> </w:t>
      </w:r>
      <w:proofErr w:type="spellStart"/>
      <w:r>
        <w:rPr>
          <w:sz w:val="24"/>
          <w:lang w:val="en-US"/>
        </w:rPr>
        <w:t>Miulerio</w:t>
      </w:r>
      <w:proofErr w:type="spellEnd"/>
      <w:r>
        <w:rPr>
          <w:sz w:val="24"/>
          <w:lang w:val="en-US"/>
        </w:rPr>
        <w:t xml:space="preserve"> </w:t>
      </w:r>
      <w:proofErr w:type="spellStart"/>
      <w:r>
        <w:rPr>
          <w:sz w:val="24"/>
          <w:lang w:val="en-US"/>
        </w:rPr>
        <w:t>skaitiklio</w:t>
      </w:r>
      <w:proofErr w:type="spellEnd"/>
      <w:r>
        <w:rPr>
          <w:sz w:val="24"/>
          <w:lang w:val="en-US"/>
        </w:rPr>
        <w:t xml:space="preserve"> </w:t>
      </w:r>
      <w:proofErr w:type="spellStart"/>
      <w:r>
        <w:rPr>
          <w:sz w:val="24"/>
          <w:lang w:val="en-US"/>
        </w:rPr>
        <w:t>foną</w:t>
      </w:r>
      <w:proofErr w:type="spellEnd"/>
      <w:r>
        <w:rPr>
          <w:sz w:val="24"/>
          <w:lang w:val="en-US"/>
        </w:rPr>
        <w:t xml:space="preserve">, </w:t>
      </w:r>
      <w:proofErr w:type="spellStart"/>
      <w:r>
        <w:rPr>
          <w:sz w:val="24"/>
          <w:lang w:val="en-US"/>
        </w:rPr>
        <w:t>t.y</w:t>
      </w:r>
      <w:proofErr w:type="spellEnd"/>
      <w:r>
        <w:rPr>
          <w:sz w:val="24"/>
          <w:lang w:val="en-US"/>
        </w:rPr>
        <w:t xml:space="preserve">. </w:t>
      </w:r>
      <w:proofErr w:type="spellStart"/>
      <w:r>
        <w:rPr>
          <w:sz w:val="24"/>
          <w:lang w:val="en-US"/>
        </w:rPr>
        <w:t>impulsų</w:t>
      </w:r>
      <w:proofErr w:type="spellEnd"/>
      <w:r>
        <w:rPr>
          <w:sz w:val="24"/>
          <w:lang w:val="en-US"/>
        </w:rPr>
        <w:t xml:space="preserve"> </w:t>
      </w:r>
      <w:proofErr w:type="spellStart"/>
      <w:r>
        <w:rPr>
          <w:sz w:val="24"/>
          <w:lang w:val="en-US"/>
        </w:rPr>
        <w:t>skaičių</w:t>
      </w:r>
      <w:proofErr w:type="spellEnd"/>
      <w:r>
        <w:rPr>
          <w:sz w:val="24"/>
          <w:lang w:val="en-US"/>
        </w:rPr>
        <w:t xml:space="preserve"> per </w:t>
      </w:r>
      <w:proofErr w:type="spellStart"/>
      <w:r>
        <w:rPr>
          <w:sz w:val="24"/>
          <w:lang w:val="en-US"/>
        </w:rPr>
        <w:t>sekundę</w:t>
      </w:r>
      <w:proofErr w:type="spellEnd"/>
      <w:r>
        <w:rPr>
          <w:sz w:val="24"/>
          <w:lang w:val="en-US"/>
        </w:rPr>
        <w:t xml:space="preserve"> n, </w:t>
      </w:r>
      <w:proofErr w:type="spellStart"/>
      <w:r>
        <w:rPr>
          <w:sz w:val="24"/>
          <w:lang w:val="en-US"/>
        </w:rPr>
        <w:t>kuriuos</w:t>
      </w:r>
      <w:proofErr w:type="spellEnd"/>
      <w:r>
        <w:rPr>
          <w:sz w:val="24"/>
          <w:lang w:val="en-US"/>
        </w:rPr>
        <w:t xml:space="preserve"> </w:t>
      </w:r>
      <w:proofErr w:type="spellStart"/>
      <w:r>
        <w:rPr>
          <w:sz w:val="24"/>
          <w:lang w:val="en-US"/>
        </w:rPr>
        <w:t>sukelia</w:t>
      </w:r>
      <w:proofErr w:type="spellEnd"/>
      <w:r>
        <w:rPr>
          <w:sz w:val="24"/>
          <w:lang w:val="en-US"/>
        </w:rPr>
        <w:t xml:space="preserve"> </w:t>
      </w:r>
      <w:proofErr w:type="spellStart"/>
      <w:r>
        <w:rPr>
          <w:sz w:val="24"/>
          <w:lang w:val="en-US"/>
        </w:rPr>
        <w:t>žemės</w:t>
      </w:r>
      <w:proofErr w:type="spellEnd"/>
      <w:r>
        <w:rPr>
          <w:sz w:val="24"/>
          <w:lang w:val="en-US"/>
        </w:rPr>
        <w:t xml:space="preserve"> </w:t>
      </w:r>
      <w:proofErr w:type="spellStart"/>
      <w:r>
        <w:rPr>
          <w:sz w:val="24"/>
          <w:lang w:val="en-US"/>
        </w:rPr>
        <w:t>skleidžiami</w:t>
      </w:r>
      <w:proofErr w:type="spellEnd"/>
      <w:r>
        <w:rPr>
          <w:sz w:val="24"/>
          <w:lang w:val="en-US"/>
        </w:rPr>
        <w:t xml:space="preserve"> </w:t>
      </w:r>
      <w:proofErr w:type="spellStart"/>
      <w:r>
        <w:rPr>
          <w:sz w:val="24"/>
          <w:lang w:val="en-US"/>
        </w:rPr>
        <w:t>radioaktyvūs</w:t>
      </w:r>
      <w:proofErr w:type="spellEnd"/>
      <w:r>
        <w:rPr>
          <w:sz w:val="24"/>
          <w:lang w:val="en-US"/>
        </w:rPr>
        <w:t xml:space="preserve"> </w:t>
      </w:r>
      <w:proofErr w:type="spellStart"/>
      <w:r>
        <w:rPr>
          <w:sz w:val="24"/>
          <w:lang w:val="en-US"/>
        </w:rPr>
        <w:t>ir</w:t>
      </w:r>
      <w:proofErr w:type="spellEnd"/>
      <w:r>
        <w:rPr>
          <w:sz w:val="24"/>
          <w:lang w:val="en-US"/>
        </w:rPr>
        <w:t xml:space="preserve"> </w:t>
      </w:r>
      <w:proofErr w:type="spellStart"/>
      <w:r>
        <w:rPr>
          <w:sz w:val="24"/>
          <w:lang w:val="en-US"/>
        </w:rPr>
        <w:t>kosminiai</w:t>
      </w:r>
      <w:proofErr w:type="spellEnd"/>
      <w:r>
        <w:rPr>
          <w:sz w:val="24"/>
          <w:lang w:val="en-US"/>
        </w:rPr>
        <w:t xml:space="preserve"> </w:t>
      </w:r>
      <w:proofErr w:type="spellStart"/>
      <w:r>
        <w:rPr>
          <w:sz w:val="24"/>
          <w:lang w:val="en-US"/>
        </w:rPr>
        <w:t>spinduliai.Tą</w:t>
      </w:r>
      <w:proofErr w:type="spellEnd"/>
      <w:r>
        <w:rPr>
          <w:sz w:val="24"/>
          <w:lang w:val="en-US"/>
        </w:rPr>
        <w:t xml:space="preserve"> </w:t>
      </w:r>
      <w:proofErr w:type="spellStart"/>
      <w:r>
        <w:rPr>
          <w:sz w:val="24"/>
          <w:lang w:val="en-US"/>
        </w:rPr>
        <w:t>galime</w:t>
      </w:r>
      <w:proofErr w:type="spellEnd"/>
      <w:r>
        <w:rPr>
          <w:sz w:val="24"/>
          <w:lang w:val="en-US"/>
        </w:rPr>
        <w:t xml:space="preserve"> </w:t>
      </w:r>
      <w:proofErr w:type="spellStart"/>
      <w:r>
        <w:rPr>
          <w:sz w:val="24"/>
          <w:lang w:val="en-US"/>
        </w:rPr>
        <w:t>paskaičiuoti</w:t>
      </w:r>
      <w:proofErr w:type="spellEnd"/>
      <w:r>
        <w:rPr>
          <w:sz w:val="24"/>
          <w:lang w:val="en-US"/>
        </w:rPr>
        <w:t xml:space="preserve"> </w:t>
      </w:r>
      <w:proofErr w:type="spellStart"/>
      <w:r>
        <w:rPr>
          <w:sz w:val="24"/>
          <w:lang w:val="en-US"/>
        </w:rPr>
        <w:t>uždėję</w:t>
      </w:r>
      <w:proofErr w:type="spellEnd"/>
      <w:r>
        <w:rPr>
          <w:sz w:val="24"/>
          <w:lang w:val="en-US"/>
        </w:rPr>
        <w:t xml:space="preserve"> </w:t>
      </w:r>
      <w:proofErr w:type="spellStart"/>
      <w:r>
        <w:rPr>
          <w:sz w:val="24"/>
          <w:lang w:val="en-US"/>
        </w:rPr>
        <w:t>ant</w:t>
      </w:r>
      <w:proofErr w:type="spellEnd"/>
      <w:r>
        <w:rPr>
          <w:sz w:val="24"/>
          <w:lang w:val="en-US"/>
        </w:rPr>
        <w:t xml:space="preserve"> </w:t>
      </w:r>
      <w:proofErr w:type="spellStart"/>
      <w:r>
        <w:rPr>
          <w:sz w:val="24"/>
          <w:lang w:val="en-US"/>
        </w:rPr>
        <w:t>konteinerio</w:t>
      </w:r>
      <w:proofErr w:type="spellEnd"/>
      <w:r>
        <w:rPr>
          <w:sz w:val="24"/>
          <w:lang w:val="en-US"/>
        </w:rPr>
        <w:t xml:space="preserve"> </w:t>
      </w:r>
      <w:proofErr w:type="spellStart"/>
      <w:r>
        <w:rPr>
          <w:sz w:val="24"/>
          <w:lang w:val="en-US"/>
        </w:rPr>
        <w:t>angos</w:t>
      </w:r>
      <w:proofErr w:type="spellEnd"/>
      <w:r>
        <w:rPr>
          <w:sz w:val="24"/>
          <w:lang w:val="en-US"/>
        </w:rPr>
        <w:t xml:space="preserve"> </w:t>
      </w:r>
      <w:proofErr w:type="spellStart"/>
      <w:r>
        <w:rPr>
          <w:sz w:val="24"/>
          <w:lang w:val="en-US"/>
        </w:rPr>
        <w:t>švininį</w:t>
      </w:r>
      <w:proofErr w:type="spellEnd"/>
      <w:r>
        <w:rPr>
          <w:sz w:val="24"/>
          <w:lang w:val="en-US"/>
        </w:rPr>
        <w:t xml:space="preserve"> </w:t>
      </w:r>
      <w:proofErr w:type="spellStart"/>
      <w:r>
        <w:rPr>
          <w:sz w:val="24"/>
          <w:lang w:val="en-US"/>
        </w:rPr>
        <w:t>konteinerį</w:t>
      </w:r>
      <w:proofErr w:type="spellEnd"/>
      <w:r>
        <w:rPr>
          <w:sz w:val="24"/>
          <w:lang w:val="en-US"/>
        </w:rPr>
        <w:t xml:space="preserve"> </w:t>
      </w:r>
    </w:p>
    <w:p w:rsidR="00146871" w:rsidRDefault="00146871" w:rsidP="00146871">
      <w:pPr>
        <w:ind w:firstLine="720"/>
        <w:jc w:val="both"/>
        <w:rPr>
          <w:sz w:val="24"/>
          <w:lang w:val="en-US"/>
        </w:rPr>
      </w:pPr>
      <w:r>
        <w:rPr>
          <w:sz w:val="24"/>
          <w:lang w:val="en-US"/>
        </w:rPr>
        <w:t xml:space="preserve">4. </w:t>
      </w:r>
      <w:proofErr w:type="spellStart"/>
      <w:proofErr w:type="gramStart"/>
      <w:r>
        <w:rPr>
          <w:sz w:val="24"/>
          <w:lang w:val="en-US"/>
        </w:rPr>
        <w:t>Nustatome</w:t>
      </w:r>
      <w:proofErr w:type="spellEnd"/>
      <w:r>
        <w:rPr>
          <w:sz w:val="24"/>
          <w:lang w:val="en-US"/>
        </w:rPr>
        <w:t xml:space="preserve">  </w:t>
      </w:r>
      <w:proofErr w:type="spellStart"/>
      <w:r>
        <w:rPr>
          <w:sz w:val="24"/>
          <w:lang w:val="en-US"/>
        </w:rPr>
        <w:t>impulsų</w:t>
      </w:r>
      <w:proofErr w:type="spellEnd"/>
      <w:proofErr w:type="gramEnd"/>
      <w:r>
        <w:rPr>
          <w:sz w:val="24"/>
          <w:lang w:val="en-US"/>
        </w:rPr>
        <w:t xml:space="preserve"> </w:t>
      </w:r>
      <w:proofErr w:type="spellStart"/>
      <w:r>
        <w:rPr>
          <w:sz w:val="24"/>
          <w:lang w:val="en-US"/>
        </w:rPr>
        <w:t>skaičių</w:t>
      </w:r>
      <w:proofErr w:type="spellEnd"/>
      <w:r>
        <w:rPr>
          <w:sz w:val="24"/>
          <w:lang w:val="en-US"/>
        </w:rPr>
        <w:t xml:space="preserve"> </w:t>
      </w:r>
      <w:proofErr w:type="spellStart"/>
      <w:r>
        <w:rPr>
          <w:sz w:val="24"/>
          <w:lang w:val="en-US"/>
        </w:rPr>
        <w:t>nuėmę</w:t>
      </w:r>
      <w:proofErr w:type="spellEnd"/>
      <w:r>
        <w:rPr>
          <w:sz w:val="24"/>
          <w:lang w:val="en-US"/>
        </w:rPr>
        <w:t xml:space="preserve"> </w:t>
      </w:r>
      <w:proofErr w:type="spellStart"/>
      <w:r>
        <w:rPr>
          <w:sz w:val="24"/>
          <w:lang w:val="en-US"/>
        </w:rPr>
        <w:t>švininį</w:t>
      </w:r>
      <w:proofErr w:type="spellEnd"/>
      <w:r>
        <w:rPr>
          <w:sz w:val="24"/>
          <w:lang w:val="en-US"/>
        </w:rPr>
        <w:t xml:space="preserve"> </w:t>
      </w:r>
      <w:proofErr w:type="spellStart"/>
      <w:r>
        <w:rPr>
          <w:sz w:val="24"/>
          <w:lang w:val="en-US"/>
        </w:rPr>
        <w:t>konteinerį</w:t>
      </w:r>
      <w:proofErr w:type="spellEnd"/>
      <w:r>
        <w:rPr>
          <w:sz w:val="24"/>
          <w:lang w:val="en-US"/>
        </w:rPr>
        <w:t>.</w:t>
      </w:r>
    </w:p>
    <w:p w:rsidR="00146871" w:rsidRDefault="00146871" w:rsidP="00146871">
      <w:pPr>
        <w:ind w:firstLine="720"/>
        <w:jc w:val="both"/>
        <w:rPr>
          <w:sz w:val="24"/>
          <w:lang w:val="en-US"/>
        </w:rPr>
      </w:pPr>
      <w:r>
        <w:rPr>
          <w:sz w:val="24"/>
          <w:lang w:val="en-US"/>
        </w:rPr>
        <w:t xml:space="preserve">5. </w:t>
      </w:r>
      <w:proofErr w:type="spellStart"/>
      <w:r>
        <w:rPr>
          <w:sz w:val="24"/>
          <w:lang w:val="en-US"/>
        </w:rPr>
        <w:t>Nustatome</w:t>
      </w:r>
      <w:proofErr w:type="spellEnd"/>
      <w:r>
        <w:rPr>
          <w:sz w:val="24"/>
          <w:lang w:val="en-US"/>
        </w:rPr>
        <w:t xml:space="preserve"> </w:t>
      </w:r>
      <w:proofErr w:type="spellStart"/>
      <w:r>
        <w:rPr>
          <w:sz w:val="24"/>
          <w:lang w:val="en-US"/>
        </w:rPr>
        <w:t>impulsų</w:t>
      </w:r>
      <w:proofErr w:type="spellEnd"/>
      <w:r>
        <w:rPr>
          <w:sz w:val="24"/>
          <w:lang w:val="en-US"/>
        </w:rPr>
        <w:t xml:space="preserve"> </w:t>
      </w:r>
      <w:proofErr w:type="spellStart"/>
      <w:r>
        <w:rPr>
          <w:sz w:val="24"/>
          <w:lang w:val="en-US"/>
        </w:rPr>
        <w:t>skaičių</w:t>
      </w:r>
      <w:proofErr w:type="spellEnd"/>
      <w:r>
        <w:rPr>
          <w:sz w:val="24"/>
          <w:lang w:val="en-US"/>
        </w:rPr>
        <w:t xml:space="preserve"> n1, n2 per </w:t>
      </w:r>
      <w:proofErr w:type="spellStart"/>
      <w:r>
        <w:rPr>
          <w:sz w:val="24"/>
          <w:lang w:val="en-US"/>
        </w:rPr>
        <w:t>vieną</w:t>
      </w:r>
      <w:proofErr w:type="spellEnd"/>
      <w:r>
        <w:rPr>
          <w:sz w:val="24"/>
          <w:lang w:val="en-US"/>
        </w:rPr>
        <w:t xml:space="preserve"> </w:t>
      </w:r>
      <w:proofErr w:type="spellStart"/>
      <w:r>
        <w:rPr>
          <w:sz w:val="24"/>
          <w:lang w:val="en-US"/>
        </w:rPr>
        <w:t>sekundę</w:t>
      </w:r>
      <w:proofErr w:type="spellEnd"/>
      <w:r>
        <w:rPr>
          <w:sz w:val="24"/>
          <w:lang w:val="en-US"/>
        </w:rPr>
        <w:t xml:space="preserve">, </w:t>
      </w:r>
      <w:proofErr w:type="spellStart"/>
      <w:r>
        <w:rPr>
          <w:sz w:val="24"/>
          <w:lang w:val="en-US"/>
        </w:rPr>
        <w:t>kurios</w:t>
      </w:r>
      <w:proofErr w:type="spellEnd"/>
      <w:r>
        <w:rPr>
          <w:sz w:val="24"/>
          <w:lang w:val="en-US"/>
        </w:rPr>
        <w:t xml:space="preserve"> </w:t>
      </w:r>
      <w:proofErr w:type="spellStart"/>
      <w:r>
        <w:rPr>
          <w:sz w:val="24"/>
          <w:lang w:val="en-US"/>
        </w:rPr>
        <w:t>sukelia</w:t>
      </w:r>
      <w:proofErr w:type="spellEnd"/>
      <w:r>
        <w:rPr>
          <w:sz w:val="24"/>
          <w:lang w:val="en-US"/>
        </w:rPr>
        <w:t xml:space="preserve"> pro </w:t>
      </w:r>
      <w:proofErr w:type="spellStart"/>
      <w:r>
        <w:rPr>
          <w:sz w:val="24"/>
          <w:lang w:val="en-US"/>
        </w:rPr>
        <w:t>skirtingas</w:t>
      </w:r>
      <w:proofErr w:type="spellEnd"/>
      <w:r>
        <w:rPr>
          <w:sz w:val="24"/>
          <w:lang w:val="en-US"/>
        </w:rPr>
        <w:t xml:space="preserve"> </w:t>
      </w:r>
      <w:proofErr w:type="spellStart"/>
      <w:r>
        <w:rPr>
          <w:sz w:val="24"/>
          <w:lang w:val="en-US"/>
        </w:rPr>
        <w:t>medziagas</w:t>
      </w:r>
      <w:proofErr w:type="spellEnd"/>
      <w:r>
        <w:rPr>
          <w:sz w:val="24"/>
          <w:lang w:val="en-US"/>
        </w:rPr>
        <w:t xml:space="preserve"> </w:t>
      </w:r>
      <w:proofErr w:type="spellStart"/>
      <w:r>
        <w:rPr>
          <w:sz w:val="24"/>
          <w:lang w:val="en-US"/>
        </w:rPr>
        <w:t>praėję</w:t>
      </w:r>
      <w:proofErr w:type="spellEnd"/>
      <w:r>
        <w:rPr>
          <w:sz w:val="24"/>
          <w:lang w:val="en-US"/>
        </w:rPr>
        <w:t xml:space="preserve"> </w:t>
      </w:r>
      <w:r>
        <w:rPr>
          <w:sz w:val="24"/>
          <w:lang w:val="en-US"/>
        </w:rPr>
        <w:sym w:font="Symbol" w:char="F067"/>
      </w:r>
      <w:r>
        <w:rPr>
          <w:sz w:val="24"/>
          <w:lang w:val="en-US"/>
        </w:rPr>
        <w:t xml:space="preserve"> </w:t>
      </w:r>
      <w:proofErr w:type="spellStart"/>
      <w:r>
        <w:rPr>
          <w:sz w:val="24"/>
          <w:lang w:val="en-US"/>
        </w:rPr>
        <w:t>spinduliai</w:t>
      </w:r>
      <w:proofErr w:type="spellEnd"/>
      <w:r>
        <w:rPr>
          <w:sz w:val="24"/>
          <w:lang w:val="en-US"/>
        </w:rPr>
        <w:t>.</w:t>
      </w:r>
    </w:p>
    <w:p w:rsidR="00146871" w:rsidRDefault="00146871" w:rsidP="00146871">
      <w:pPr>
        <w:ind w:firstLine="720"/>
        <w:jc w:val="both"/>
        <w:rPr>
          <w:sz w:val="24"/>
          <w:lang w:val="en-US"/>
        </w:rPr>
      </w:pPr>
      <w:r>
        <w:rPr>
          <w:sz w:val="24"/>
          <w:lang w:val="en-US"/>
        </w:rPr>
        <w:t xml:space="preserve">6. </w:t>
      </w:r>
      <w:proofErr w:type="spellStart"/>
      <w:r>
        <w:rPr>
          <w:sz w:val="24"/>
          <w:lang w:val="en-US"/>
        </w:rPr>
        <w:t>Baigę</w:t>
      </w:r>
      <w:proofErr w:type="spellEnd"/>
      <w:r>
        <w:rPr>
          <w:sz w:val="24"/>
          <w:lang w:val="en-US"/>
        </w:rPr>
        <w:t xml:space="preserve"> </w:t>
      </w:r>
      <w:proofErr w:type="spellStart"/>
      <w:r>
        <w:rPr>
          <w:sz w:val="24"/>
          <w:lang w:val="en-US"/>
        </w:rPr>
        <w:t>matuoti</w:t>
      </w:r>
      <w:proofErr w:type="spellEnd"/>
      <w:r>
        <w:rPr>
          <w:sz w:val="24"/>
          <w:lang w:val="en-US"/>
        </w:rPr>
        <w:t xml:space="preserve"> </w:t>
      </w:r>
      <w:proofErr w:type="spellStart"/>
      <w:r>
        <w:rPr>
          <w:sz w:val="24"/>
          <w:lang w:val="en-US"/>
        </w:rPr>
        <w:t>isjungiame</w:t>
      </w:r>
      <w:proofErr w:type="spellEnd"/>
      <w:r>
        <w:rPr>
          <w:sz w:val="24"/>
          <w:lang w:val="en-US"/>
        </w:rPr>
        <w:t xml:space="preserve"> </w:t>
      </w:r>
      <w:proofErr w:type="spellStart"/>
      <w:r>
        <w:rPr>
          <w:sz w:val="24"/>
          <w:lang w:val="en-US"/>
        </w:rPr>
        <w:t>aparatūrą</w:t>
      </w:r>
      <w:proofErr w:type="spellEnd"/>
      <w:r>
        <w:rPr>
          <w:sz w:val="24"/>
          <w:lang w:val="en-US"/>
        </w:rPr>
        <w:t xml:space="preserve"> </w:t>
      </w:r>
      <w:proofErr w:type="spellStart"/>
      <w:r>
        <w:rPr>
          <w:sz w:val="24"/>
          <w:lang w:val="en-US"/>
        </w:rPr>
        <w:t>ir</w:t>
      </w:r>
      <w:proofErr w:type="spellEnd"/>
      <w:r>
        <w:rPr>
          <w:sz w:val="24"/>
          <w:lang w:val="en-US"/>
        </w:rPr>
        <w:t xml:space="preserve"> </w:t>
      </w:r>
      <w:proofErr w:type="spellStart"/>
      <w:r>
        <w:rPr>
          <w:sz w:val="24"/>
          <w:lang w:val="en-US"/>
        </w:rPr>
        <w:t>konteinerio</w:t>
      </w:r>
      <w:proofErr w:type="spellEnd"/>
      <w:r>
        <w:rPr>
          <w:sz w:val="24"/>
          <w:lang w:val="en-US"/>
        </w:rPr>
        <w:t xml:space="preserve"> </w:t>
      </w:r>
      <w:proofErr w:type="spellStart"/>
      <w:r>
        <w:rPr>
          <w:sz w:val="24"/>
          <w:lang w:val="en-US"/>
        </w:rPr>
        <w:t>angą</w:t>
      </w:r>
      <w:proofErr w:type="spellEnd"/>
      <w:r>
        <w:rPr>
          <w:sz w:val="24"/>
          <w:lang w:val="en-US"/>
        </w:rPr>
        <w:t xml:space="preserve"> </w:t>
      </w:r>
      <w:proofErr w:type="spellStart"/>
      <w:r>
        <w:rPr>
          <w:sz w:val="24"/>
          <w:lang w:val="en-US"/>
        </w:rPr>
        <w:t>užsklendžiam</w:t>
      </w:r>
      <w:proofErr w:type="spellEnd"/>
      <w:r>
        <w:rPr>
          <w:sz w:val="24"/>
          <w:lang w:val="en-US"/>
        </w:rPr>
        <w:t xml:space="preserve"> </w:t>
      </w:r>
      <w:proofErr w:type="spellStart"/>
      <w:r>
        <w:rPr>
          <w:sz w:val="24"/>
          <w:lang w:val="en-US"/>
        </w:rPr>
        <w:t>ekranu</w:t>
      </w:r>
      <w:proofErr w:type="spellEnd"/>
      <w:r>
        <w:rPr>
          <w:sz w:val="24"/>
          <w:lang w:val="en-US"/>
        </w:rPr>
        <w:t>.</w:t>
      </w:r>
    </w:p>
    <w:p w:rsidR="00146871" w:rsidRDefault="00146871" w:rsidP="00146871">
      <w:pPr>
        <w:ind w:firstLine="720"/>
        <w:jc w:val="both"/>
        <w:rPr>
          <w:sz w:val="24"/>
          <w:lang w:val="en-US"/>
        </w:rPr>
      </w:pPr>
      <w:r>
        <w:rPr>
          <w:sz w:val="24"/>
          <w:lang w:val="en-US"/>
        </w:rPr>
        <w:t xml:space="preserve">7. </w:t>
      </w:r>
      <w:proofErr w:type="spellStart"/>
      <w:r>
        <w:rPr>
          <w:sz w:val="24"/>
          <w:lang w:val="en-US"/>
        </w:rPr>
        <w:t>Mikrometru</w:t>
      </w:r>
      <w:proofErr w:type="spellEnd"/>
      <w:r>
        <w:rPr>
          <w:sz w:val="24"/>
          <w:lang w:val="en-US"/>
        </w:rPr>
        <w:t xml:space="preserve"> </w:t>
      </w:r>
      <w:proofErr w:type="spellStart"/>
      <w:r>
        <w:rPr>
          <w:sz w:val="24"/>
          <w:lang w:val="en-US"/>
        </w:rPr>
        <w:t>išmatuojame</w:t>
      </w:r>
      <w:proofErr w:type="spellEnd"/>
      <w:r>
        <w:rPr>
          <w:sz w:val="24"/>
          <w:lang w:val="en-US"/>
        </w:rPr>
        <w:t xml:space="preserve"> </w:t>
      </w:r>
      <w:proofErr w:type="spellStart"/>
      <w:r>
        <w:rPr>
          <w:sz w:val="24"/>
          <w:lang w:val="en-US"/>
        </w:rPr>
        <w:t>medžiagų</w:t>
      </w:r>
      <w:proofErr w:type="spellEnd"/>
      <w:r>
        <w:rPr>
          <w:sz w:val="24"/>
          <w:lang w:val="en-US"/>
        </w:rPr>
        <w:t xml:space="preserve"> </w:t>
      </w:r>
      <w:proofErr w:type="spellStart"/>
      <w:r>
        <w:rPr>
          <w:sz w:val="24"/>
          <w:lang w:val="en-US"/>
        </w:rPr>
        <w:t>storius</w:t>
      </w:r>
      <w:proofErr w:type="spellEnd"/>
      <w:r>
        <w:rPr>
          <w:sz w:val="24"/>
          <w:lang w:val="en-US"/>
        </w:rPr>
        <w:t>.</w:t>
      </w:r>
    </w:p>
    <w:p w:rsidR="00146871" w:rsidRDefault="00146871" w:rsidP="00146871">
      <w:pPr>
        <w:ind w:firstLine="720"/>
        <w:jc w:val="both"/>
        <w:rPr>
          <w:sz w:val="24"/>
          <w:lang w:val="en-US"/>
        </w:rPr>
      </w:pPr>
      <w:r>
        <w:rPr>
          <w:sz w:val="24"/>
          <w:lang w:val="en-US"/>
        </w:rPr>
        <w:t xml:space="preserve">8. </w:t>
      </w:r>
      <w:proofErr w:type="spellStart"/>
      <w:r>
        <w:rPr>
          <w:sz w:val="24"/>
          <w:lang w:val="en-US"/>
        </w:rPr>
        <w:t>Apskaičiuojame</w:t>
      </w:r>
      <w:proofErr w:type="spellEnd"/>
      <w:r>
        <w:rPr>
          <w:sz w:val="24"/>
          <w:lang w:val="en-US"/>
        </w:rPr>
        <w:t xml:space="preserve"> </w:t>
      </w:r>
      <w:proofErr w:type="spellStart"/>
      <w:r>
        <w:rPr>
          <w:sz w:val="24"/>
          <w:lang w:val="en-US"/>
        </w:rPr>
        <w:t>reikalingus</w:t>
      </w:r>
      <w:proofErr w:type="spellEnd"/>
      <w:r>
        <w:rPr>
          <w:sz w:val="24"/>
          <w:lang w:val="en-US"/>
        </w:rPr>
        <w:t xml:space="preserve"> </w:t>
      </w:r>
      <w:proofErr w:type="spellStart"/>
      <w:r>
        <w:rPr>
          <w:sz w:val="24"/>
          <w:lang w:val="en-US"/>
        </w:rPr>
        <w:t>dydžius</w:t>
      </w:r>
      <w:proofErr w:type="spellEnd"/>
      <w:r>
        <w:rPr>
          <w:sz w:val="24"/>
          <w:lang w:val="en-US"/>
        </w:rPr>
        <w:t>.</w:t>
      </w:r>
    </w:p>
    <w:p w:rsidR="00366D96" w:rsidRDefault="00366D96" w:rsidP="00146871">
      <w:pPr>
        <w:ind w:firstLine="720"/>
        <w:jc w:val="both"/>
        <w:rPr>
          <w:sz w:val="24"/>
          <w:lang w:val="en-US"/>
        </w:rPr>
      </w:pPr>
    </w:p>
    <w:p w:rsidR="001A0245" w:rsidRDefault="001A0245" w:rsidP="00146871">
      <w:pPr>
        <w:ind w:firstLine="720"/>
        <w:jc w:val="both"/>
        <w:rPr>
          <w:sz w:val="24"/>
          <w:lang w:val="en-US"/>
        </w:rPr>
      </w:pPr>
    </w:p>
    <w:p w:rsidR="001A0245" w:rsidRDefault="001A0245" w:rsidP="00146871">
      <w:pPr>
        <w:ind w:firstLine="720"/>
        <w:jc w:val="both"/>
        <w:rPr>
          <w:sz w:val="24"/>
          <w:lang w:val="en-US"/>
        </w:rPr>
      </w:pPr>
    </w:p>
    <w:p w:rsidR="001A0245" w:rsidRDefault="001A0245" w:rsidP="001A0245">
      <w:pPr>
        <w:rPr>
          <w:b/>
          <w:sz w:val="24"/>
          <w:lang w:val="en-US"/>
        </w:rPr>
      </w:pPr>
      <w:proofErr w:type="spellStart"/>
      <w:r w:rsidRPr="001A0245">
        <w:rPr>
          <w:b/>
          <w:sz w:val="24"/>
          <w:lang w:val="en-US"/>
        </w:rPr>
        <w:lastRenderedPageBreak/>
        <w:t>Darbo</w:t>
      </w:r>
      <w:proofErr w:type="spellEnd"/>
      <w:r w:rsidRPr="001A0245">
        <w:rPr>
          <w:b/>
          <w:sz w:val="24"/>
          <w:lang w:val="en-US"/>
        </w:rPr>
        <w:t xml:space="preserve"> </w:t>
      </w:r>
      <w:proofErr w:type="spellStart"/>
      <w:r w:rsidRPr="001A0245">
        <w:rPr>
          <w:b/>
          <w:sz w:val="24"/>
          <w:lang w:val="en-US"/>
        </w:rPr>
        <w:t>Rezultatai</w:t>
      </w:r>
      <w:proofErr w:type="spellEnd"/>
      <w:r w:rsidRPr="001A0245">
        <w:rPr>
          <w:b/>
          <w:sz w:val="24"/>
          <w:lang w:val="en-US"/>
        </w:rPr>
        <w:t>:</w:t>
      </w:r>
    </w:p>
    <w:p w:rsidR="001A0245" w:rsidRPr="001A0245" w:rsidRDefault="001A0245" w:rsidP="001A0245">
      <w:pPr>
        <w:rPr>
          <w:b/>
          <w:sz w:val="24"/>
          <w:lang w:val="en-US"/>
        </w:rPr>
      </w:pPr>
      <w:bookmarkStart w:id="0" w:name="_GoBack"/>
      <w:bookmarkEnd w:id="0"/>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851"/>
        <w:gridCol w:w="992"/>
        <w:gridCol w:w="850"/>
      </w:tblGrid>
      <w:tr w:rsidR="00366D96" w:rsidTr="00233E71">
        <w:trPr>
          <w:trHeight w:val="512"/>
        </w:trPr>
        <w:tc>
          <w:tcPr>
            <w:tcW w:w="850" w:type="dxa"/>
          </w:tcPr>
          <w:p w:rsidR="00366D96" w:rsidRDefault="00366D96" w:rsidP="00233E71">
            <w:pPr>
              <w:jc w:val="center"/>
              <w:rPr>
                <w:lang w:val="en-US"/>
              </w:rPr>
            </w:pPr>
            <w:r>
              <w:rPr>
                <w:lang w:val="en-US"/>
              </w:rPr>
              <w:t>n,</w:t>
            </w:r>
          </w:p>
          <w:p w:rsidR="00366D96" w:rsidRDefault="00366D96" w:rsidP="00366D96">
            <w:pPr>
              <w:rPr>
                <w:lang w:val="en-US"/>
              </w:rPr>
            </w:pPr>
            <w:proofErr w:type="gramStart"/>
            <w:r>
              <w:rPr>
                <w:lang w:val="en-US"/>
              </w:rPr>
              <w:t>imp</w:t>
            </w:r>
            <w:proofErr w:type="gramEnd"/>
            <w:r>
              <w:rPr>
                <w:lang w:val="en-US"/>
              </w:rPr>
              <w:t xml:space="preserve">. </w:t>
            </w:r>
            <w:proofErr w:type="spellStart"/>
            <w:r>
              <w:rPr>
                <w:lang w:val="en-US"/>
              </w:rPr>
              <w:t>sk</w:t>
            </w:r>
            <w:proofErr w:type="spellEnd"/>
          </w:p>
        </w:tc>
        <w:tc>
          <w:tcPr>
            <w:tcW w:w="851" w:type="dxa"/>
          </w:tcPr>
          <w:p w:rsidR="00366D96" w:rsidRDefault="00366D96" w:rsidP="00233E71">
            <w:pPr>
              <w:jc w:val="center"/>
              <w:rPr>
                <w:lang w:val="en-US"/>
              </w:rPr>
            </w:pPr>
            <w:r>
              <w:rPr>
                <w:lang w:val="en-US"/>
              </w:rPr>
              <w:t xml:space="preserve">&lt;n&gt; imp. </w:t>
            </w:r>
            <w:proofErr w:type="spellStart"/>
            <w:r>
              <w:rPr>
                <w:lang w:val="en-US"/>
              </w:rPr>
              <w:t>sk</w:t>
            </w:r>
            <w:proofErr w:type="spellEnd"/>
          </w:p>
        </w:tc>
        <w:tc>
          <w:tcPr>
            <w:tcW w:w="992" w:type="dxa"/>
          </w:tcPr>
          <w:p w:rsidR="00366D96" w:rsidRDefault="00366D96" w:rsidP="00366D96">
            <w:pPr>
              <w:jc w:val="center"/>
              <w:rPr>
                <w:vertAlign w:val="subscript"/>
                <w:lang w:val="en-US"/>
              </w:rPr>
            </w:pPr>
            <w:r>
              <w:rPr>
                <w:lang w:val="en-US"/>
              </w:rPr>
              <w:t>N</w:t>
            </w:r>
            <w:r>
              <w:rPr>
                <w:vertAlign w:val="subscript"/>
                <w:lang w:val="en-US"/>
              </w:rPr>
              <w:t>a</w:t>
            </w:r>
          </w:p>
          <w:p w:rsidR="00366D96" w:rsidRDefault="00366D96" w:rsidP="00366D96">
            <w:pPr>
              <w:jc w:val="center"/>
              <w:rPr>
                <w:lang w:val="en-US"/>
              </w:rPr>
            </w:pPr>
            <w:proofErr w:type="gramStart"/>
            <w:r>
              <w:rPr>
                <w:lang w:val="en-US"/>
              </w:rPr>
              <w:t>imp</w:t>
            </w:r>
            <w:proofErr w:type="gramEnd"/>
            <w:r>
              <w:rPr>
                <w:lang w:val="en-US"/>
              </w:rPr>
              <w:t xml:space="preserve">. </w:t>
            </w:r>
            <w:proofErr w:type="spellStart"/>
            <w:r>
              <w:rPr>
                <w:lang w:val="en-US"/>
              </w:rPr>
              <w:t>sk</w:t>
            </w:r>
            <w:proofErr w:type="spellEnd"/>
          </w:p>
        </w:tc>
        <w:tc>
          <w:tcPr>
            <w:tcW w:w="850" w:type="dxa"/>
          </w:tcPr>
          <w:p w:rsidR="00A21A94" w:rsidRDefault="00A21A94" w:rsidP="00A21A94">
            <w:pPr>
              <w:jc w:val="center"/>
              <w:rPr>
                <w:lang w:val="en-US"/>
              </w:rPr>
            </w:pPr>
            <w:r>
              <w:rPr>
                <w:lang w:val="en-US"/>
              </w:rPr>
              <w:t>&lt;</w:t>
            </w:r>
            <w:r w:rsidR="00366D96">
              <w:rPr>
                <w:lang w:val="en-US"/>
              </w:rPr>
              <w:t>N</w:t>
            </w:r>
            <w:r>
              <w:rPr>
                <w:vertAlign w:val="subscript"/>
                <w:lang w:val="en-US"/>
              </w:rPr>
              <w:t>0</w:t>
            </w:r>
            <w:r>
              <w:t>&gt;</w:t>
            </w:r>
          </w:p>
          <w:p w:rsidR="00366D96" w:rsidRPr="00A21A94" w:rsidRDefault="00A21A94" w:rsidP="00A21A94">
            <w:pPr>
              <w:jc w:val="center"/>
              <w:rPr>
                <w:vertAlign w:val="subscript"/>
                <w:lang w:val="en-US"/>
              </w:rPr>
            </w:pPr>
            <w:proofErr w:type="gramStart"/>
            <w:r>
              <w:rPr>
                <w:lang w:val="en-US"/>
              </w:rPr>
              <w:t>i</w:t>
            </w:r>
            <w:r w:rsidR="00366D96">
              <w:rPr>
                <w:lang w:val="en-US"/>
              </w:rPr>
              <w:t>mp</w:t>
            </w:r>
            <w:proofErr w:type="gramEnd"/>
            <w:r w:rsidR="00366D96">
              <w:rPr>
                <w:lang w:val="en-US"/>
              </w:rPr>
              <w:t xml:space="preserve">. </w:t>
            </w:r>
            <w:proofErr w:type="spellStart"/>
            <w:r w:rsidR="00366D96">
              <w:rPr>
                <w:lang w:val="en-US"/>
              </w:rPr>
              <w:t>sk</w:t>
            </w:r>
            <w:proofErr w:type="spellEnd"/>
          </w:p>
        </w:tc>
      </w:tr>
      <w:tr w:rsidR="00A21A94" w:rsidTr="00A21A94">
        <w:trPr>
          <w:cantSplit/>
          <w:trHeight w:val="251"/>
        </w:trPr>
        <w:tc>
          <w:tcPr>
            <w:tcW w:w="850" w:type="dxa"/>
            <w:vAlign w:val="center"/>
          </w:tcPr>
          <w:p w:rsidR="00A21A94" w:rsidRDefault="00A21A94" w:rsidP="00A21A94">
            <w:pPr>
              <w:jc w:val="center"/>
              <w:rPr>
                <w:lang w:val="en-US"/>
              </w:rPr>
            </w:pPr>
            <w:r>
              <w:rPr>
                <w:lang w:val="en-US"/>
              </w:rPr>
              <w:t>223</w:t>
            </w:r>
          </w:p>
        </w:tc>
        <w:tc>
          <w:tcPr>
            <w:tcW w:w="851" w:type="dxa"/>
            <w:vMerge w:val="restart"/>
            <w:vAlign w:val="center"/>
          </w:tcPr>
          <w:p w:rsidR="00A21A94" w:rsidRDefault="00A21A94" w:rsidP="00A21A94">
            <w:pPr>
              <w:jc w:val="center"/>
              <w:rPr>
                <w:lang w:val="en-US"/>
              </w:rPr>
            </w:pPr>
            <w:r>
              <w:rPr>
                <w:lang w:val="en-US"/>
              </w:rPr>
              <w:t>214</w:t>
            </w:r>
          </w:p>
        </w:tc>
        <w:tc>
          <w:tcPr>
            <w:tcW w:w="992" w:type="dxa"/>
            <w:vAlign w:val="center"/>
          </w:tcPr>
          <w:p w:rsidR="00A21A94" w:rsidRDefault="00A21A94" w:rsidP="00A21A94">
            <w:pPr>
              <w:jc w:val="center"/>
              <w:rPr>
                <w:lang w:val="en-US"/>
              </w:rPr>
            </w:pPr>
            <w:r>
              <w:rPr>
                <w:lang w:val="en-US"/>
              </w:rPr>
              <w:t>414</w:t>
            </w:r>
          </w:p>
        </w:tc>
        <w:tc>
          <w:tcPr>
            <w:tcW w:w="850" w:type="dxa"/>
            <w:vMerge w:val="restart"/>
            <w:vAlign w:val="center"/>
          </w:tcPr>
          <w:p w:rsidR="00A21A94" w:rsidRDefault="00A21A94" w:rsidP="00A21A94">
            <w:pPr>
              <w:jc w:val="center"/>
              <w:rPr>
                <w:lang w:val="en-US"/>
              </w:rPr>
            </w:pPr>
            <w:r>
              <w:rPr>
                <w:lang w:val="en-US"/>
              </w:rPr>
              <w:t>390</w:t>
            </w:r>
          </w:p>
        </w:tc>
      </w:tr>
      <w:tr w:rsidR="00A21A94" w:rsidTr="00A21A94">
        <w:trPr>
          <w:cantSplit/>
          <w:trHeight w:val="341"/>
        </w:trPr>
        <w:tc>
          <w:tcPr>
            <w:tcW w:w="850" w:type="dxa"/>
            <w:tcBorders>
              <w:bottom w:val="single" w:sz="4" w:space="0" w:color="auto"/>
            </w:tcBorders>
            <w:vAlign w:val="center"/>
          </w:tcPr>
          <w:p w:rsidR="00A21A94" w:rsidRDefault="00A21A94" w:rsidP="00A21A94">
            <w:pPr>
              <w:jc w:val="center"/>
              <w:rPr>
                <w:lang w:val="en-US"/>
              </w:rPr>
            </w:pPr>
            <w:r>
              <w:rPr>
                <w:lang w:val="en-US"/>
              </w:rPr>
              <w:t>205</w:t>
            </w:r>
          </w:p>
        </w:tc>
        <w:tc>
          <w:tcPr>
            <w:tcW w:w="851" w:type="dxa"/>
            <w:vMerge/>
            <w:tcBorders>
              <w:bottom w:val="single" w:sz="4" w:space="0" w:color="auto"/>
            </w:tcBorders>
            <w:vAlign w:val="center"/>
          </w:tcPr>
          <w:p w:rsidR="00A21A94" w:rsidRDefault="00A21A94" w:rsidP="00A21A94">
            <w:pPr>
              <w:jc w:val="center"/>
              <w:rPr>
                <w:lang w:val="en-US"/>
              </w:rPr>
            </w:pPr>
          </w:p>
        </w:tc>
        <w:tc>
          <w:tcPr>
            <w:tcW w:w="992" w:type="dxa"/>
            <w:tcBorders>
              <w:bottom w:val="single" w:sz="4" w:space="0" w:color="auto"/>
            </w:tcBorders>
            <w:vAlign w:val="center"/>
          </w:tcPr>
          <w:p w:rsidR="00A21A94" w:rsidRDefault="00A21A94" w:rsidP="00A21A94">
            <w:pPr>
              <w:jc w:val="center"/>
              <w:rPr>
                <w:lang w:val="en-US"/>
              </w:rPr>
            </w:pPr>
            <w:r>
              <w:rPr>
                <w:lang w:val="en-US"/>
              </w:rPr>
              <w:t>366</w:t>
            </w:r>
          </w:p>
        </w:tc>
        <w:tc>
          <w:tcPr>
            <w:tcW w:w="850" w:type="dxa"/>
            <w:vMerge/>
            <w:tcBorders>
              <w:bottom w:val="single" w:sz="4" w:space="0" w:color="auto"/>
            </w:tcBorders>
            <w:vAlign w:val="center"/>
          </w:tcPr>
          <w:p w:rsidR="00A21A94" w:rsidRDefault="00A21A94" w:rsidP="00A21A94">
            <w:pPr>
              <w:jc w:val="center"/>
              <w:rPr>
                <w:lang w:val="en-US"/>
              </w:rPr>
            </w:pPr>
          </w:p>
        </w:tc>
      </w:tr>
    </w:tbl>
    <w:p w:rsidR="00146871" w:rsidRDefault="00146871" w:rsidP="00146871">
      <w:pPr>
        <w:ind w:firstLine="720"/>
        <w:jc w:val="both"/>
        <w:rPr>
          <w:sz w:val="24"/>
          <w:lang w:val="en-US"/>
        </w:rPr>
      </w:pPr>
    </w:p>
    <w:p w:rsidR="00146871" w:rsidRDefault="00146871" w:rsidP="00146871">
      <w:pPr>
        <w:ind w:firstLine="720"/>
        <w:jc w:val="center"/>
        <w:rPr>
          <w:lang w:val="en-US"/>
        </w:rPr>
      </w:pPr>
    </w:p>
    <w:tbl>
      <w:tblPr>
        <w:tblW w:w="949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990"/>
        <w:gridCol w:w="1080"/>
        <w:gridCol w:w="990"/>
        <w:gridCol w:w="1620"/>
        <w:gridCol w:w="1710"/>
        <w:gridCol w:w="1710"/>
      </w:tblGrid>
      <w:tr w:rsidR="00A21A94" w:rsidTr="00A21A94">
        <w:trPr>
          <w:trHeight w:val="512"/>
        </w:trPr>
        <w:tc>
          <w:tcPr>
            <w:tcW w:w="1391" w:type="dxa"/>
            <w:vAlign w:val="center"/>
          </w:tcPr>
          <w:p w:rsidR="00A21A94" w:rsidRPr="00A21A94" w:rsidRDefault="00A21A94" w:rsidP="00A21A94">
            <w:pPr>
              <w:jc w:val="center"/>
            </w:pPr>
            <w:r w:rsidRPr="00A21A94">
              <w:t>Absorbuojanti      medžiaga</w:t>
            </w:r>
          </w:p>
        </w:tc>
        <w:tc>
          <w:tcPr>
            <w:tcW w:w="990" w:type="dxa"/>
            <w:vAlign w:val="center"/>
          </w:tcPr>
          <w:p w:rsidR="00A21A94" w:rsidRDefault="00A21A94" w:rsidP="00A21A94">
            <w:pPr>
              <w:jc w:val="center"/>
              <w:rPr>
                <w:lang w:val="en-US"/>
              </w:rPr>
            </w:pPr>
            <w:r>
              <w:rPr>
                <w:lang w:val="en-US"/>
              </w:rPr>
              <w:t>N</w:t>
            </w:r>
            <w:r>
              <w:rPr>
                <w:vertAlign w:val="subscript"/>
                <w:lang w:val="en-US"/>
              </w:rPr>
              <w:t>i</w:t>
            </w:r>
            <w:r>
              <w:rPr>
                <w:lang w:val="en-US"/>
              </w:rPr>
              <w:t>,</w:t>
            </w:r>
          </w:p>
          <w:p w:rsidR="00A21A94" w:rsidRDefault="00A21A94" w:rsidP="00A21A94">
            <w:pPr>
              <w:jc w:val="center"/>
              <w:rPr>
                <w:lang w:val="en-US"/>
              </w:rPr>
            </w:pPr>
            <w:proofErr w:type="gramStart"/>
            <w:r>
              <w:rPr>
                <w:lang w:val="en-US"/>
              </w:rPr>
              <w:t>imp</w:t>
            </w:r>
            <w:proofErr w:type="gramEnd"/>
            <w:r>
              <w:rPr>
                <w:lang w:val="en-US"/>
              </w:rPr>
              <w:t xml:space="preserve">. </w:t>
            </w:r>
            <w:proofErr w:type="spellStart"/>
            <w:r>
              <w:rPr>
                <w:lang w:val="en-US"/>
              </w:rPr>
              <w:t>sk</w:t>
            </w:r>
            <w:proofErr w:type="spellEnd"/>
          </w:p>
        </w:tc>
        <w:tc>
          <w:tcPr>
            <w:tcW w:w="1080" w:type="dxa"/>
            <w:vAlign w:val="center"/>
          </w:tcPr>
          <w:p w:rsidR="00A21A94" w:rsidRDefault="00A21A94" w:rsidP="00A21A94">
            <w:pPr>
              <w:jc w:val="center"/>
              <w:rPr>
                <w:lang w:val="en-US"/>
              </w:rPr>
            </w:pPr>
            <w:r>
              <w:rPr>
                <w:lang w:val="en-US"/>
              </w:rPr>
              <w:t>&lt;N</w:t>
            </w:r>
            <w:r>
              <w:rPr>
                <w:vertAlign w:val="subscript"/>
                <w:lang w:val="en-US"/>
              </w:rPr>
              <w:t>i</w:t>
            </w:r>
            <w:r>
              <w:t>&gt;</w:t>
            </w:r>
          </w:p>
          <w:p w:rsidR="00A21A94" w:rsidRDefault="00A21A94" w:rsidP="00A21A94">
            <w:pPr>
              <w:jc w:val="center"/>
              <w:rPr>
                <w:lang w:val="en-US"/>
              </w:rPr>
            </w:pPr>
            <w:proofErr w:type="gramStart"/>
            <w:r>
              <w:rPr>
                <w:lang w:val="en-US"/>
              </w:rPr>
              <w:t>imp</w:t>
            </w:r>
            <w:proofErr w:type="gramEnd"/>
            <w:r>
              <w:rPr>
                <w:lang w:val="en-US"/>
              </w:rPr>
              <w:t xml:space="preserve">. </w:t>
            </w:r>
            <w:proofErr w:type="spellStart"/>
            <w:r>
              <w:rPr>
                <w:lang w:val="en-US"/>
              </w:rPr>
              <w:t>sk</w:t>
            </w:r>
            <w:proofErr w:type="spellEnd"/>
          </w:p>
        </w:tc>
        <w:tc>
          <w:tcPr>
            <w:tcW w:w="990" w:type="dxa"/>
            <w:vAlign w:val="center"/>
          </w:tcPr>
          <w:p w:rsidR="00A21A94" w:rsidRDefault="00A21A94" w:rsidP="00A21A94">
            <w:pPr>
              <w:jc w:val="center"/>
              <w:rPr>
                <w:vertAlign w:val="subscript"/>
                <w:lang w:val="en-US"/>
              </w:rPr>
            </w:pPr>
            <w:r>
              <w:rPr>
                <w:lang w:val="en-US"/>
              </w:rPr>
              <w:t>X</w:t>
            </w:r>
            <w:r>
              <w:rPr>
                <w:vertAlign w:val="subscript"/>
                <w:lang w:val="en-US"/>
              </w:rPr>
              <w:t>i</w:t>
            </w:r>
          </w:p>
          <w:p w:rsidR="00A21A94" w:rsidRPr="00A21A94" w:rsidRDefault="00A21A94" w:rsidP="00A21A94">
            <w:pPr>
              <w:jc w:val="center"/>
            </w:pPr>
            <w:r>
              <w:t>(m)</w:t>
            </w:r>
          </w:p>
        </w:tc>
        <w:tc>
          <w:tcPr>
            <w:tcW w:w="1620" w:type="dxa"/>
            <w:vAlign w:val="center"/>
          </w:tcPr>
          <w:p w:rsidR="00A21A94" w:rsidRDefault="00A21A94" w:rsidP="00A21A94">
            <w:pPr>
              <w:jc w:val="center"/>
              <w:rPr>
                <w:vertAlign w:val="subscript"/>
                <w:lang w:val="en-US"/>
              </w:rPr>
            </w:pPr>
            <w:r>
              <w:rPr>
                <w:sz w:val="22"/>
                <w:lang w:val="en-US"/>
              </w:rPr>
              <w:sym w:font="Symbol" w:char="F06D"/>
            </w:r>
            <w:r>
              <w:rPr>
                <w:vertAlign w:val="subscript"/>
                <w:lang w:val="en-US"/>
              </w:rPr>
              <w:t>i</w:t>
            </w:r>
          </w:p>
          <w:p w:rsidR="00A21A94" w:rsidRPr="00A21A94" w:rsidRDefault="00A21A94" w:rsidP="00A21A94">
            <w:pPr>
              <w:jc w:val="center"/>
            </w:pPr>
            <w:r>
              <w:rPr>
                <w:lang w:val="en-US"/>
              </w:rPr>
              <w:t>(m</w:t>
            </w:r>
            <w:r>
              <w:rPr>
                <w:vertAlign w:val="superscript"/>
                <w:lang w:val="en-US"/>
              </w:rPr>
              <w:t>-1</w:t>
            </w:r>
            <w:r>
              <w:t>)</w:t>
            </w:r>
          </w:p>
        </w:tc>
        <w:tc>
          <w:tcPr>
            <w:tcW w:w="1710" w:type="dxa"/>
            <w:vAlign w:val="center"/>
          </w:tcPr>
          <w:p w:rsidR="00A21A94" w:rsidRDefault="00A21A94" w:rsidP="00A21A94">
            <w:pPr>
              <w:jc w:val="center"/>
              <w:rPr>
                <w:sz w:val="22"/>
                <w:lang w:val="en-US"/>
              </w:rPr>
            </w:pPr>
            <w:r>
              <w:rPr>
                <w:sz w:val="22"/>
                <w:lang w:val="en-US"/>
              </w:rPr>
              <w:sym w:font="Symbol" w:char="F06D"/>
            </w:r>
            <w:r>
              <w:rPr>
                <w:sz w:val="22"/>
                <w:vertAlign w:val="subscript"/>
                <w:lang w:val="en-US"/>
              </w:rPr>
              <w:t>m</w:t>
            </w:r>
          </w:p>
          <w:p w:rsidR="00A21A94" w:rsidRDefault="00A21A94" w:rsidP="00A21A94">
            <w:pPr>
              <w:jc w:val="center"/>
              <w:rPr>
                <w:lang w:val="en-US"/>
              </w:rPr>
            </w:pPr>
            <w:r>
              <w:rPr>
                <w:sz w:val="22"/>
                <w:lang w:val="en-US"/>
              </w:rPr>
              <w:t>kg</w:t>
            </w:r>
            <w:r>
              <w:rPr>
                <w:sz w:val="22"/>
                <w:vertAlign w:val="superscript"/>
                <w:lang w:val="en-US"/>
              </w:rPr>
              <w:t>-1</w:t>
            </w:r>
            <w:r>
              <w:rPr>
                <w:sz w:val="22"/>
                <w:lang w:val="en-US"/>
              </w:rPr>
              <w:t>m</w:t>
            </w:r>
            <w:r>
              <w:rPr>
                <w:sz w:val="22"/>
                <w:vertAlign w:val="superscript"/>
                <w:lang w:val="en-US"/>
              </w:rPr>
              <w:t>2</w:t>
            </w:r>
          </w:p>
        </w:tc>
        <w:tc>
          <w:tcPr>
            <w:tcW w:w="1710" w:type="dxa"/>
            <w:vAlign w:val="center"/>
          </w:tcPr>
          <w:p w:rsidR="00A21A94" w:rsidRDefault="00A21A94" w:rsidP="00A21A94">
            <w:pPr>
              <w:jc w:val="center"/>
              <w:rPr>
                <w:sz w:val="22"/>
                <w:lang w:val="en-US"/>
              </w:rPr>
            </w:pPr>
            <w:r>
              <w:rPr>
                <w:sz w:val="22"/>
                <w:lang w:val="en-US"/>
              </w:rPr>
              <w:t>d</w:t>
            </w:r>
            <w:r>
              <w:rPr>
                <w:sz w:val="22"/>
                <w:vertAlign w:val="subscript"/>
                <w:lang w:val="en-US"/>
              </w:rPr>
              <w:t>1/2</w:t>
            </w:r>
          </w:p>
          <w:p w:rsidR="00A21A94" w:rsidRDefault="00A21A94" w:rsidP="00A21A94">
            <w:pPr>
              <w:jc w:val="center"/>
              <w:rPr>
                <w:lang w:val="en-US"/>
              </w:rPr>
            </w:pPr>
            <w:r>
              <w:rPr>
                <w:sz w:val="22"/>
                <w:lang w:val="en-US"/>
              </w:rPr>
              <w:t>m</w:t>
            </w:r>
          </w:p>
        </w:tc>
      </w:tr>
      <w:tr w:rsidR="00F14AE1" w:rsidTr="00F14AE1">
        <w:trPr>
          <w:cantSplit/>
          <w:trHeight w:val="386"/>
        </w:trPr>
        <w:tc>
          <w:tcPr>
            <w:tcW w:w="1391" w:type="dxa"/>
            <w:vMerge w:val="restart"/>
            <w:vAlign w:val="center"/>
          </w:tcPr>
          <w:p w:rsidR="00F14AE1" w:rsidRDefault="00F14AE1" w:rsidP="00A21A94">
            <w:pPr>
              <w:jc w:val="center"/>
              <w:rPr>
                <w:lang w:val="en-US"/>
              </w:rPr>
            </w:pPr>
            <w:proofErr w:type="spellStart"/>
            <w:r>
              <w:rPr>
                <w:lang w:val="en-US"/>
              </w:rPr>
              <w:t>Aliuminis</w:t>
            </w:r>
            <w:proofErr w:type="spellEnd"/>
          </w:p>
        </w:tc>
        <w:tc>
          <w:tcPr>
            <w:tcW w:w="990" w:type="dxa"/>
            <w:vAlign w:val="center"/>
          </w:tcPr>
          <w:p w:rsidR="00F14AE1" w:rsidRDefault="00F14AE1" w:rsidP="00A21A94">
            <w:pPr>
              <w:jc w:val="center"/>
              <w:rPr>
                <w:lang w:val="en-US"/>
              </w:rPr>
            </w:pPr>
            <w:r>
              <w:rPr>
                <w:lang w:val="en-US"/>
              </w:rPr>
              <w:t>364</w:t>
            </w:r>
          </w:p>
        </w:tc>
        <w:tc>
          <w:tcPr>
            <w:tcW w:w="1080" w:type="dxa"/>
            <w:vMerge w:val="restart"/>
            <w:vAlign w:val="center"/>
          </w:tcPr>
          <w:p w:rsidR="00F14AE1" w:rsidRDefault="00F14AE1" w:rsidP="00A21A94">
            <w:pPr>
              <w:jc w:val="center"/>
              <w:rPr>
                <w:lang w:val="en-US"/>
              </w:rPr>
            </w:pPr>
            <w:r>
              <w:rPr>
                <w:lang w:val="en-US"/>
              </w:rPr>
              <w:t>356</w:t>
            </w:r>
          </w:p>
        </w:tc>
        <w:tc>
          <w:tcPr>
            <w:tcW w:w="990" w:type="dxa"/>
            <w:vMerge w:val="restart"/>
            <w:vAlign w:val="center"/>
          </w:tcPr>
          <w:p w:rsidR="00F14AE1" w:rsidRDefault="00F14AE1" w:rsidP="00F14AE1">
            <w:pPr>
              <w:jc w:val="center"/>
              <w:rPr>
                <w:lang w:val="en-US"/>
              </w:rPr>
            </w:pPr>
            <w:r>
              <w:rPr>
                <w:lang w:val="en-US"/>
              </w:rPr>
              <w:t>1,46 * 10</w:t>
            </w:r>
            <w:r>
              <w:rPr>
                <w:sz w:val="22"/>
                <w:vertAlign w:val="superscript"/>
                <w:lang w:val="en-US"/>
              </w:rPr>
              <w:t>-3</w:t>
            </w:r>
          </w:p>
        </w:tc>
        <w:tc>
          <w:tcPr>
            <w:tcW w:w="1620" w:type="dxa"/>
            <w:vMerge w:val="restart"/>
            <w:vAlign w:val="center"/>
          </w:tcPr>
          <w:p w:rsidR="00F14AE1" w:rsidRDefault="00F14AE1" w:rsidP="00A21A94">
            <w:pPr>
              <w:jc w:val="center"/>
              <w:rPr>
                <w:lang w:val="en-US"/>
              </w:rPr>
            </w:pPr>
            <w:r>
              <w:rPr>
                <w:lang w:val="en-US"/>
              </w:rPr>
              <w:t>62,4</w:t>
            </w:r>
          </w:p>
        </w:tc>
        <w:tc>
          <w:tcPr>
            <w:tcW w:w="1710" w:type="dxa"/>
            <w:vMerge w:val="restart"/>
            <w:vAlign w:val="center"/>
          </w:tcPr>
          <w:p w:rsidR="00F14AE1" w:rsidRDefault="00F14AE1" w:rsidP="00A21A94">
            <w:pPr>
              <w:jc w:val="center"/>
              <w:rPr>
                <w:lang w:val="en-US"/>
              </w:rPr>
            </w:pPr>
            <w:r>
              <w:rPr>
                <w:lang w:val="en-US"/>
              </w:rPr>
              <w:t>0,0231</w:t>
            </w:r>
          </w:p>
        </w:tc>
        <w:tc>
          <w:tcPr>
            <w:tcW w:w="1710" w:type="dxa"/>
            <w:vMerge w:val="restart"/>
            <w:vAlign w:val="center"/>
          </w:tcPr>
          <w:p w:rsidR="00F14AE1" w:rsidRDefault="00F14AE1" w:rsidP="00A21A94">
            <w:pPr>
              <w:jc w:val="center"/>
              <w:rPr>
                <w:lang w:val="en-US"/>
              </w:rPr>
            </w:pPr>
            <w:r>
              <w:rPr>
                <w:lang w:val="en-US"/>
              </w:rPr>
              <w:t>0,0111</w:t>
            </w:r>
          </w:p>
        </w:tc>
      </w:tr>
      <w:tr w:rsidR="00F14AE1" w:rsidTr="00F14AE1">
        <w:trPr>
          <w:cantSplit/>
          <w:trHeight w:val="413"/>
        </w:trPr>
        <w:tc>
          <w:tcPr>
            <w:tcW w:w="1391" w:type="dxa"/>
            <w:vMerge/>
            <w:vAlign w:val="center"/>
          </w:tcPr>
          <w:p w:rsidR="00F14AE1" w:rsidRDefault="00F14AE1" w:rsidP="00A21A94">
            <w:pPr>
              <w:jc w:val="center"/>
              <w:rPr>
                <w:lang w:val="en-US"/>
              </w:rPr>
            </w:pPr>
          </w:p>
        </w:tc>
        <w:tc>
          <w:tcPr>
            <w:tcW w:w="990" w:type="dxa"/>
            <w:vAlign w:val="center"/>
          </w:tcPr>
          <w:p w:rsidR="00F14AE1" w:rsidRDefault="00F14AE1" w:rsidP="00A21A94">
            <w:pPr>
              <w:jc w:val="center"/>
              <w:rPr>
                <w:lang w:val="en-US"/>
              </w:rPr>
            </w:pPr>
            <w:r>
              <w:rPr>
                <w:lang w:val="en-US"/>
              </w:rPr>
              <w:t>348</w:t>
            </w:r>
          </w:p>
        </w:tc>
        <w:tc>
          <w:tcPr>
            <w:tcW w:w="1080" w:type="dxa"/>
            <w:vMerge/>
            <w:vAlign w:val="center"/>
          </w:tcPr>
          <w:p w:rsidR="00F14AE1" w:rsidRDefault="00F14AE1" w:rsidP="00A21A94">
            <w:pPr>
              <w:jc w:val="center"/>
              <w:rPr>
                <w:lang w:val="en-US"/>
              </w:rPr>
            </w:pPr>
          </w:p>
        </w:tc>
        <w:tc>
          <w:tcPr>
            <w:tcW w:w="990" w:type="dxa"/>
            <w:vMerge/>
            <w:vAlign w:val="center"/>
          </w:tcPr>
          <w:p w:rsidR="00F14AE1" w:rsidRDefault="00F14AE1" w:rsidP="00A21A94">
            <w:pPr>
              <w:jc w:val="center"/>
              <w:rPr>
                <w:lang w:val="en-US"/>
              </w:rPr>
            </w:pPr>
          </w:p>
        </w:tc>
        <w:tc>
          <w:tcPr>
            <w:tcW w:w="1620" w:type="dxa"/>
            <w:vMerge/>
            <w:vAlign w:val="center"/>
          </w:tcPr>
          <w:p w:rsidR="00F14AE1" w:rsidRDefault="00F14AE1" w:rsidP="00A21A94">
            <w:pPr>
              <w:jc w:val="center"/>
              <w:rPr>
                <w:lang w:val="en-US"/>
              </w:rPr>
            </w:pPr>
          </w:p>
        </w:tc>
        <w:tc>
          <w:tcPr>
            <w:tcW w:w="1710" w:type="dxa"/>
            <w:vMerge/>
            <w:vAlign w:val="center"/>
          </w:tcPr>
          <w:p w:rsidR="00F14AE1" w:rsidRDefault="00F14AE1" w:rsidP="00A21A94">
            <w:pPr>
              <w:jc w:val="center"/>
              <w:rPr>
                <w:lang w:val="en-US"/>
              </w:rPr>
            </w:pPr>
          </w:p>
        </w:tc>
        <w:tc>
          <w:tcPr>
            <w:tcW w:w="1710" w:type="dxa"/>
            <w:vMerge/>
            <w:vAlign w:val="center"/>
          </w:tcPr>
          <w:p w:rsidR="00F14AE1" w:rsidRDefault="00F14AE1" w:rsidP="00A21A94">
            <w:pPr>
              <w:jc w:val="center"/>
              <w:rPr>
                <w:lang w:val="en-US"/>
              </w:rPr>
            </w:pPr>
          </w:p>
        </w:tc>
      </w:tr>
      <w:tr w:rsidR="00F14AE1" w:rsidTr="00F14AE1">
        <w:trPr>
          <w:cantSplit/>
          <w:trHeight w:val="386"/>
        </w:trPr>
        <w:tc>
          <w:tcPr>
            <w:tcW w:w="1391" w:type="dxa"/>
            <w:vMerge w:val="restart"/>
            <w:vAlign w:val="center"/>
          </w:tcPr>
          <w:p w:rsidR="00F14AE1" w:rsidRPr="00366D96" w:rsidRDefault="00F14AE1" w:rsidP="00A21A94">
            <w:pPr>
              <w:jc w:val="center"/>
            </w:pPr>
            <w:r>
              <w:t>Švinas</w:t>
            </w:r>
          </w:p>
        </w:tc>
        <w:tc>
          <w:tcPr>
            <w:tcW w:w="990" w:type="dxa"/>
            <w:vAlign w:val="center"/>
          </w:tcPr>
          <w:p w:rsidR="00F14AE1" w:rsidRDefault="00F14AE1" w:rsidP="00A21A94">
            <w:pPr>
              <w:jc w:val="center"/>
              <w:rPr>
                <w:lang w:val="en-US"/>
              </w:rPr>
            </w:pPr>
            <w:r>
              <w:rPr>
                <w:lang w:val="en-US"/>
              </w:rPr>
              <w:t>289</w:t>
            </w:r>
          </w:p>
        </w:tc>
        <w:tc>
          <w:tcPr>
            <w:tcW w:w="1080" w:type="dxa"/>
            <w:vMerge w:val="restart"/>
            <w:vAlign w:val="center"/>
          </w:tcPr>
          <w:p w:rsidR="00F14AE1" w:rsidRDefault="00F14AE1" w:rsidP="00A21A94">
            <w:pPr>
              <w:jc w:val="center"/>
              <w:rPr>
                <w:lang w:val="en-US"/>
              </w:rPr>
            </w:pPr>
            <w:r>
              <w:rPr>
                <w:lang w:val="en-US"/>
              </w:rPr>
              <w:t>308</w:t>
            </w:r>
          </w:p>
        </w:tc>
        <w:tc>
          <w:tcPr>
            <w:tcW w:w="990" w:type="dxa"/>
            <w:vMerge w:val="restart"/>
            <w:vAlign w:val="center"/>
          </w:tcPr>
          <w:p w:rsidR="00F14AE1" w:rsidRDefault="00F14AE1" w:rsidP="00A21A94">
            <w:pPr>
              <w:jc w:val="center"/>
              <w:rPr>
                <w:lang w:val="en-US"/>
              </w:rPr>
            </w:pPr>
            <w:r>
              <w:rPr>
                <w:lang w:val="en-US"/>
              </w:rPr>
              <w:t>1,45 * 10</w:t>
            </w:r>
            <w:r>
              <w:rPr>
                <w:sz w:val="22"/>
                <w:vertAlign w:val="superscript"/>
                <w:lang w:val="en-US"/>
              </w:rPr>
              <w:t>-3</w:t>
            </w:r>
          </w:p>
        </w:tc>
        <w:tc>
          <w:tcPr>
            <w:tcW w:w="1620" w:type="dxa"/>
            <w:vMerge w:val="restart"/>
            <w:vAlign w:val="center"/>
          </w:tcPr>
          <w:p w:rsidR="00F14AE1" w:rsidRDefault="00F14AE1" w:rsidP="00A21A94">
            <w:pPr>
              <w:jc w:val="center"/>
              <w:rPr>
                <w:lang w:val="en-US"/>
              </w:rPr>
            </w:pPr>
            <w:r>
              <w:rPr>
                <w:lang w:val="en-US"/>
              </w:rPr>
              <w:t>163</w:t>
            </w:r>
          </w:p>
        </w:tc>
        <w:tc>
          <w:tcPr>
            <w:tcW w:w="1710" w:type="dxa"/>
            <w:vMerge w:val="restart"/>
            <w:vAlign w:val="center"/>
          </w:tcPr>
          <w:p w:rsidR="00F14AE1" w:rsidRDefault="00F14AE1" w:rsidP="00A21A94">
            <w:pPr>
              <w:jc w:val="center"/>
              <w:rPr>
                <w:lang w:val="en-US"/>
              </w:rPr>
            </w:pPr>
            <w:r>
              <w:rPr>
                <w:lang w:val="en-US"/>
              </w:rPr>
              <w:t>0,0144</w:t>
            </w:r>
          </w:p>
        </w:tc>
        <w:tc>
          <w:tcPr>
            <w:tcW w:w="1710" w:type="dxa"/>
            <w:vMerge w:val="restart"/>
            <w:vAlign w:val="center"/>
          </w:tcPr>
          <w:p w:rsidR="00F14AE1" w:rsidRDefault="00F14AE1" w:rsidP="00A21A94">
            <w:pPr>
              <w:jc w:val="center"/>
              <w:rPr>
                <w:lang w:val="en-US"/>
              </w:rPr>
            </w:pPr>
            <w:r>
              <w:rPr>
                <w:lang w:val="en-US"/>
              </w:rPr>
              <w:t>0,0042</w:t>
            </w:r>
          </w:p>
        </w:tc>
      </w:tr>
      <w:tr w:rsidR="00F14AE1" w:rsidTr="00F14AE1">
        <w:trPr>
          <w:cantSplit/>
          <w:trHeight w:val="476"/>
        </w:trPr>
        <w:tc>
          <w:tcPr>
            <w:tcW w:w="1391" w:type="dxa"/>
            <w:vMerge/>
            <w:vAlign w:val="center"/>
          </w:tcPr>
          <w:p w:rsidR="00F14AE1" w:rsidRDefault="00F14AE1" w:rsidP="00A21A94">
            <w:pPr>
              <w:jc w:val="center"/>
            </w:pPr>
          </w:p>
        </w:tc>
        <w:tc>
          <w:tcPr>
            <w:tcW w:w="990" w:type="dxa"/>
            <w:vAlign w:val="center"/>
          </w:tcPr>
          <w:p w:rsidR="00F14AE1" w:rsidRDefault="00F14AE1" w:rsidP="00A21A94">
            <w:pPr>
              <w:jc w:val="center"/>
              <w:rPr>
                <w:lang w:val="en-US"/>
              </w:rPr>
            </w:pPr>
            <w:r>
              <w:rPr>
                <w:lang w:val="en-US"/>
              </w:rPr>
              <w:t>326</w:t>
            </w:r>
          </w:p>
        </w:tc>
        <w:tc>
          <w:tcPr>
            <w:tcW w:w="1080" w:type="dxa"/>
            <w:vMerge/>
            <w:vAlign w:val="center"/>
          </w:tcPr>
          <w:p w:rsidR="00F14AE1" w:rsidRDefault="00F14AE1" w:rsidP="00A21A94">
            <w:pPr>
              <w:jc w:val="center"/>
              <w:rPr>
                <w:lang w:val="en-US"/>
              </w:rPr>
            </w:pPr>
          </w:p>
        </w:tc>
        <w:tc>
          <w:tcPr>
            <w:tcW w:w="990" w:type="dxa"/>
            <w:vMerge/>
            <w:vAlign w:val="center"/>
          </w:tcPr>
          <w:p w:rsidR="00F14AE1" w:rsidRDefault="00F14AE1" w:rsidP="00A21A94">
            <w:pPr>
              <w:jc w:val="center"/>
              <w:rPr>
                <w:lang w:val="en-US"/>
              </w:rPr>
            </w:pPr>
          </w:p>
        </w:tc>
        <w:tc>
          <w:tcPr>
            <w:tcW w:w="1620" w:type="dxa"/>
            <w:vMerge/>
            <w:vAlign w:val="center"/>
          </w:tcPr>
          <w:p w:rsidR="00F14AE1" w:rsidRDefault="00F14AE1" w:rsidP="00A21A94">
            <w:pPr>
              <w:jc w:val="center"/>
              <w:rPr>
                <w:lang w:val="en-US"/>
              </w:rPr>
            </w:pPr>
          </w:p>
        </w:tc>
        <w:tc>
          <w:tcPr>
            <w:tcW w:w="1710" w:type="dxa"/>
            <w:vMerge/>
            <w:vAlign w:val="center"/>
          </w:tcPr>
          <w:p w:rsidR="00F14AE1" w:rsidRDefault="00F14AE1" w:rsidP="00A21A94">
            <w:pPr>
              <w:jc w:val="center"/>
              <w:rPr>
                <w:lang w:val="en-US"/>
              </w:rPr>
            </w:pPr>
          </w:p>
        </w:tc>
        <w:tc>
          <w:tcPr>
            <w:tcW w:w="1710" w:type="dxa"/>
            <w:vMerge/>
            <w:vAlign w:val="center"/>
          </w:tcPr>
          <w:p w:rsidR="00F14AE1" w:rsidRDefault="00F14AE1" w:rsidP="00A21A94">
            <w:pPr>
              <w:jc w:val="center"/>
              <w:rPr>
                <w:lang w:val="en-US"/>
              </w:rPr>
            </w:pPr>
          </w:p>
        </w:tc>
      </w:tr>
    </w:tbl>
    <w:p w:rsidR="00146871" w:rsidRPr="001035F2" w:rsidRDefault="001035F2" w:rsidP="001035F2">
      <w:pPr>
        <w:jc w:val="both"/>
        <w:rPr>
          <w:sz w:val="24"/>
          <w:lang w:val="en-US"/>
        </w:rPr>
      </w:pPr>
      <w:proofErr w:type="spellStart"/>
      <w:r>
        <w:rPr>
          <w:sz w:val="24"/>
          <w:lang w:val="en-US"/>
        </w:rPr>
        <w:t>Tankiai</w:t>
      </w:r>
      <w:proofErr w:type="spellEnd"/>
      <w:r>
        <w:rPr>
          <w:sz w:val="24"/>
          <w:lang w:val="en-US"/>
        </w:rPr>
        <w:t xml:space="preserve">: </w:t>
      </w:r>
      <w:r>
        <w:rPr>
          <w:sz w:val="24"/>
          <w:lang w:val="en-US"/>
        </w:rPr>
        <w:tab/>
      </w:r>
      <w:r w:rsidR="00146871">
        <w:rPr>
          <w:rFonts w:ascii="Symbol" w:hAnsi="Symbol"/>
          <w:snapToGrid w:val="0"/>
          <w:sz w:val="24"/>
          <w:lang w:val="en-US"/>
        </w:rPr>
        <w:t></w:t>
      </w:r>
      <w:r w:rsidR="00146871">
        <w:rPr>
          <w:rFonts w:ascii="Symbol" w:hAnsi="Symbol"/>
          <w:snapToGrid w:val="0"/>
          <w:sz w:val="24"/>
          <w:vertAlign w:val="subscript"/>
          <w:lang w:val="en-US"/>
        </w:rPr>
        <w:t></w:t>
      </w:r>
      <w:r w:rsidR="00146871">
        <w:rPr>
          <w:rFonts w:ascii="Symbol" w:hAnsi="Symbol"/>
          <w:snapToGrid w:val="0"/>
          <w:sz w:val="24"/>
          <w:lang w:val="en-US"/>
        </w:rPr>
        <w:t></w:t>
      </w:r>
      <w:r w:rsidR="00146871">
        <w:rPr>
          <w:rFonts w:ascii="Symbol" w:hAnsi="Symbol"/>
          <w:snapToGrid w:val="0"/>
          <w:sz w:val="24"/>
          <w:lang w:val="en-US"/>
        </w:rPr>
        <w:t></w:t>
      </w:r>
      <w:r w:rsidR="00146871">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146871">
        <w:rPr>
          <w:snapToGrid w:val="0"/>
          <w:sz w:val="24"/>
          <w:lang w:val="en-US"/>
        </w:rPr>
        <w:t>kg/m</w:t>
      </w:r>
      <w:r w:rsidR="00146871">
        <w:rPr>
          <w:snapToGrid w:val="0"/>
          <w:sz w:val="24"/>
          <w:vertAlign w:val="superscript"/>
          <w:lang w:val="en-US"/>
        </w:rPr>
        <w:t>3</w:t>
      </w:r>
      <w:r>
        <w:rPr>
          <w:sz w:val="24"/>
          <w:lang w:val="en-US"/>
        </w:rPr>
        <w:tab/>
      </w:r>
      <w:r w:rsidR="00146871">
        <w:rPr>
          <w:rFonts w:ascii="Symbol" w:hAnsi="Symbol"/>
          <w:snapToGrid w:val="0"/>
          <w:sz w:val="24"/>
          <w:lang w:val="en-US"/>
        </w:rPr>
        <w:t></w:t>
      </w:r>
      <w:r w:rsidR="00146871">
        <w:rPr>
          <w:rFonts w:ascii="Symbol" w:hAnsi="Symbol"/>
          <w:snapToGrid w:val="0"/>
          <w:sz w:val="24"/>
          <w:vertAlign w:val="subscript"/>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366D96">
        <w:rPr>
          <w:rFonts w:ascii="Symbol" w:hAnsi="Symbol"/>
          <w:snapToGrid w:val="0"/>
          <w:sz w:val="24"/>
          <w:lang w:val="en-US"/>
        </w:rPr>
        <w:t></w:t>
      </w:r>
      <w:r w:rsidR="00146871">
        <w:rPr>
          <w:snapToGrid w:val="0"/>
          <w:sz w:val="24"/>
          <w:lang w:val="en-US"/>
        </w:rPr>
        <w:t>kg/m</w:t>
      </w:r>
      <w:r>
        <w:rPr>
          <w:snapToGrid w:val="0"/>
          <w:sz w:val="24"/>
          <w:vertAlign w:val="superscript"/>
          <w:lang w:val="en-US"/>
        </w:rPr>
        <w:t>3</w:t>
      </w:r>
    </w:p>
    <w:p w:rsidR="00146871" w:rsidRDefault="00146871" w:rsidP="00146871">
      <w:pPr>
        <w:jc w:val="both"/>
        <w:rPr>
          <w:b/>
          <w:sz w:val="24"/>
        </w:rPr>
      </w:pPr>
      <w:r>
        <w:rPr>
          <w:b/>
          <w:sz w:val="24"/>
          <w:lang w:val="en-US"/>
        </w:rPr>
        <w:t xml:space="preserve"> </w:t>
      </w:r>
      <w:proofErr w:type="gramStart"/>
      <w:r>
        <w:rPr>
          <w:b/>
          <w:sz w:val="24"/>
          <w:lang w:val="en-US"/>
        </w:rPr>
        <w:t>I</w:t>
      </w:r>
      <w:r>
        <w:rPr>
          <w:b/>
          <w:sz w:val="24"/>
        </w:rPr>
        <w:t>švados :</w:t>
      </w:r>
      <w:proofErr w:type="gramEnd"/>
    </w:p>
    <w:p w:rsidR="00146871" w:rsidRPr="001A0245" w:rsidRDefault="00F14AE1" w:rsidP="00146871">
      <w:pPr>
        <w:pStyle w:val="BodyText"/>
        <w:rPr>
          <w:lang w:val="lt-LT"/>
        </w:rPr>
      </w:pPr>
      <w:r w:rsidRPr="00E35677">
        <w:rPr>
          <w:lang w:val="lt-LT"/>
        </w:rPr>
        <w:t>Atlikus bandymus nustatyta, jog</w:t>
      </w:r>
      <w:r w:rsidR="00146871" w:rsidRPr="00E35677">
        <w:rPr>
          <w:lang w:val="lt-LT"/>
        </w:rPr>
        <w:t xml:space="preserve"> </w:t>
      </w:r>
      <w:r w:rsidR="00146871">
        <w:sym w:font="Symbol" w:char="F067"/>
      </w:r>
      <w:r w:rsidR="00146871" w:rsidRPr="00E35677">
        <w:rPr>
          <w:lang w:val="lt-LT"/>
        </w:rPr>
        <w:t xml:space="preserve"> spinduliai sunkiau praeina per storesnę ir tankesnę medžiagą</w:t>
      </w:r>
      <w:r w:rsidR="00E35677" w:rsidRPr="00E35677">
        <w:rPr>
          <w:lang w:val="lt-LT"/>
        </w:rPr>
        <w:t xml:space="preserve"> – o silpninimo koficientas priklauso nuo medžiagos prigimties</w:t>
      </w:r>
      <w:r w:rsidR="00146871" w:rsidRPr="00E35677">
        <w:rPr>
          <w:lang w:val="lt-LT"/>
        </w:rPr>
        <w:t xml:space="preserve">. </w:t>
      </w:r>
      <w:r w:rsidRPr="001A0245">
        <w:rPr>
          <w:lang w:val="lt-LT"/>
        </w:rPr>
        <w:t xml:space="preserve">Švino </w:t>
      </w:r>
      <w:r>
        <w:sym w:font="Symbol" w:char="F067"/>
      </w:r>
      <w:r w:rsidRPr="001A0245">
        <w:rPr>
          <w:lang w:val="lt-LT"/>
        </w:rPr>
        <w:t xml:space="preserve"> spindulių silpninimo koficientas yra žymiai didesnis, nei aliuminio. Galime teigti, jog švinas geriau apsaugo nuo </w:t>
      </w:r>
      <w:r>
        <w:sym w:font="Symbol" w:char="F067"/>
      </w:r>
      <w:r w:rsidRPr="001A0245">
        <w:rPr>
          <w:lang w:val="lt-LT"/>
        </w:rPr>
        <w:t xml:space="preserve"> spindulių nei aliu</w:t>
      </w:r>
      <w:r w:rsidR="00E35677" w:rsidRPr="001A0245">
        <w:rPr>
          <w:lang w:val="lt-LT"/>
        </w:rPr>
        <w:t>minio.</w:t>
      </w:r>
    </w:p>
    <w:p w:rsidR="00146871" w:rsidRPr="001A0245" w:rsidRDefault="00146871" w:rsidP="00146871">
      <w:pPr>
        <w:ind w:firstLine="720"/>
        <w:jc w:val="both"/>
      </w:pPr>
    </w:p>
    <w:p w:rsidR="00146871" w:rsidRDefault="00146871" w:rsidP="00146871">
      <w:pPr>
        <w:ind w:firstLine="720"/>
        <w:jc w:val="both"/>
      </w:pPr>
    </w:p>
    <w:p w:rsidR="00E35677" w:rsidRPr="00E35677" w:rsidRDefault="00E35677" w:rsidP="00E35677">
      <w:pPr>
        <w:rPr>
          <w:b/>
          <w:snapToGrid w:val="0"/>
          <w:sz w:val="24"/>
        </w:rPr>
      </w:pPr>
      <w:r w:rsidRPr="00E35677">
        <w:rPr>
          <w:b/>
          <w:snapToGrid w:val="0"/>
          <w:sz w:val="24"/>
        </w:rPr>
        <w:t>Literatūra:</w:t>
      </w:r>
    </w:p>
    <w:p w:rsidR="00E35677" w:rsidRPr="00C420A7" w:rsidRDefault="00E35677" w:rsidP="00E35677">
      <w:pPr>
        <w:rPr>
          <w:snapToGrid w:val="0"/>
          <w:sz w:val="24"/>
          <w:u w:val="single"/>
        </w:rPr>
      </w:pPr>
    </w:p>
    <w:p w:rsidR="00E35677" w:rsidRDefault="00E35677" w:rsidP="00E35677">
      <w:pPr>
        <w:rPr>
          <w:snapToGrid w:val="0"/>
          <w:sz w:val="24"/>
        </w:rPr>
      </w:pPr>
      <w:r>
        <w:rPr>
          <w:snapToGrid w:val="0"/>
          <w:sz w:val="24"/>
        </w:rPr>
        <w:t>A.Tamašauskas, J. Vosylius “Fizika 3”</w:t>
      </w:r>
    </w:p>
    <w:p w:rsidR="00E35677" w:rsidRDefault="00E35677" w:rsidP="00E35677">
      <w:pPr>
        <w:rPr>
          <w:snapToGrid w:val="0"/>
          <w:sz w:val="24"/>
        </w:rPr>
      </w:pPr>
      <w:r>
        <w:rPr>
          <w:snapToGrid w:val="0"/>
          <w:sz w:val="24"/>
        </w:rPr>
        <w:t>P.Tamutis, S. Tamulevičius, S. Joneliūnas “Kvantinės optikos laboratoriniai darbai”</w:t>
      </w:r>
    </w:p>
    <w:p w:rsidR="00925FF9" w:rsidRDefault="00925FF9"/>
    <w:sectPr w:rsidR="00925FF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636" w:rsidRDefault="00264636" w:rsidP="001035F2">
      <w:r>
        <w:separator/>
      </w:r>
    </w:p>
  </w:endnote>
  <w:endnote w:type="continuationSeparator" w:id="0">
    <w:p w:rsidR="00264636" w:rsidRDefault="00264636" w:rsidP="0010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636" w:rsidRDefault="00264636" w:rsidP="001035F2">
      <w:r>
        <w:separator/>
      </w:r>
    </w:p>
  </w:footnote>
  <w:footnote w:type="continuationSeparator" w:id="0">
    <w:p w:rsidR="00264636" w:rsidRDefault="00264636" w:rsidP="001035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FE"/>
    <w:rsid w:val="001035F2"/>
    <w:rsid w:val="00146871"/>
    <w:rsid w:val="001A0245"/>
    <w:rsid w:val="00264636"/>
    <w:rsid w:val="00366D96"/>
    <w:rsid w:val="005D0C33"/>
    <w:rsid w:val="00925FF9"/>
    <w:rsid w:val="00A21A94"/>
    <w:rsid w:val="00CA7BFE"/>
    <w:rsid w:val="00E35677"/>
    <w:rsid w:val="00F1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871"/>
    <w:pPr>
      <w:spacing w:after="0" w:line="240" w:lineRule="auto"/>
    </w:pPr>
    <w:rPr>
      <w:rFonts w:ascii="Times New Roman" w:eastAsia="Times New Roman" w:hAnsi="Times New Roman" w:cs="Times New Roman"/>
      <w:sz w:val="20"/>
      <w:szCs w:val="20"/>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146871"/>
    <w:pPr>
      <w:ind w:firstLine="720"/>
      <w:jc w:val="both"/>
    </w:pPr>
    <w:rPr>
      <w:rFonts w:ascii="Courier" w:hAnsi="Courier"/>
    </w:rPr>
  </w:style>
  <w:style w:type="character" w:customStyle="1" w:styleId="BodyTextIndentChar">
    <w:name w:val="Body Text Indent Char"/>
    <w:basedOn w:val="DefaultParagraphFont"/>
    <w:link w:val="BodyTextIndent"/>
    <w:semiHidden/>
    <w:rsid w:val="00146871"/>
    <w:rPr>
      <w:rFonts w:ascii="Courier" w:eastAsia="Times New Roman" w:hAnsi="Courier" w:cs="Times New Roman"/>
      <w:sz w:val="20"/>
      <w:szCs w:val="20"/>
      <w:lang w:val="lt-LT"/>
    </w:rPr>
  </w:style>
  <w:style w:type="paragraph" w:styleId="Title">
    <w:name w:val="Title"/>
    <w:basedOn w:val="Normal"/>
    <w:link w:val="TitleChar"/>
    <w:qFormat/>
    <w:rsid w:val="00146871"/>
    <w:pPr>
      <w:ind w:firstLine="720"/>
      <w:jc w:val="center"/>
    </w:pPr>
    <w:rPr>
      <w:rFonts w:ascii="Courier" w:hAnsi="Courier"/>
      <w:b/>
      <w:sz w:val="28"/>
      <w:lang w:val="en-US"/>
    </w:rPr>
  </w:style>
  <w:style w:type="character" w:customStyle="1" w:styleId="TitleChar">
    <w:name w:val="Title Char"/>
    <w:basedOn w:val="DefaultParagraphFont"/>
    <w:link w:val="Title"/>
    <w:rsid w:val="00146871"/>
    <w:rPr>
      <w:rFonts w:ascii="Courier" w:eastAsia="Times New Roman" w:hAnsi="Courier" w:cs="Times New Roman"/>
      <w:b/>
      <w:sz w:val="28"/>
      <w:szCs w:val="20"/>
    </w:rPr>
  </w:style>
  <w:style w:type="paragraph" w:styleId="BodyText">
    <w:name w:val="Body Text"/>
    <w:basedOn w:val="Normal"/>
    <w:link w:val="BodyTextChar"/>
    <w:semiHidden/>
    <w:rsid w:val="00146871"/>
    <w:pPr>
      <w:jc w:val="both"/>
    </w:pPr>
    <w:rPr>
      <w:sz w:val="24"/>
      <w:lang w:val="en-US"/>
    </w:rPr>
  </w:style>
  <w:style w:type="character" w:customStyle="1" w:styleId="BodyTextChar">
    <w:name w:val="Body Text Char"/>
    <w:basedOn w:val="DefaultParagraphFont"/>
    <w:link w:val="BodyText"/>
    <w:semiHidden/>
    <w:rsid w:val="0014687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035F2"/>
    <w:pPr>
      <w:tabs>
        <w:tab w:val="center" w:pos="4844"/>
        <w:tab w:val="right" w:pos="9689"/>
      </w:tabs>
    </w:pPr>
  </w:style>
  <w:style w:type="character" w:customStyle="1" w:styleId="HeaderChar">
    <w:name w:val="Header Char"/>
    <w:basedOn w:val="DefaultParagraphFont"/>
    <w:link w:val="Header"/>
    <w:uiPriority w:val="99"/>
    <w:rsid w:val="001035F2"/>
    <w:rPr>
      <w:rFonts w:ascii="Times New Roman" w:eastAsia="Times New Roman" w:hAnsi="Times New Roman" w:cs="Times New Roman"/>
      <w:sz w:val="20"/>
      <w:szCs w:val="20"/>
      <w:lang w:val="lt-LT"/>
    </w:rPr>
  </w:style>
  <w:style w:type="paragraph" w:styleId="Footer">
    <w:name w:val="footer"/>
    <w:basedOn w:val="Normal"/>
    <w:link w:val="FooterChar"/>
    <w:uiPriority w:val="99"/>
    <w:unhideWhenUsed/>
    <w:rsid w:val="001035F2"/>
    <w:pPr>
      <w:tabs>
        <w:tab w:val="center" w:pos="4844"/>
        <w:tab w:val="right" w:pos="9689"/>
      </w:tabs>
    </w:pPr>
  </w:style>
  <w:style w:type="character" w:customStyle="1" w:styleId="FooterChar">
    <w:name w:val="Footer Char"/>
    <w:basedOn w:val="DefaultParagraphFont"/>
    <w:link w:val="Footer"/>
    <w:uiPriority w:val="99"/>
    <w:rsid w:val="001035F2"/>
    <w:rPr>
      <w:rFonts w:ascii="Times New Roman" w:eastAsia="Times New Roman" w:hAnsi="Times New Roman" w:cs="Times New Roman"/>
      <w:sz w:val="20"/>
      <w:szCs w:val="20"/>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871"/>
    <w:pPr>
      <w:spacing w:after="0" w:line="240" w:lineRule="auto"/>
    </w:pPr>
    <w:rPr>
      <w:rFonts w:ascii="Times New Roman" w:eastAsia="Times New Roman" w:hAnsi="Times New Roman" w:cs="Times New Roman"/>
      <w:sz w:val="20"/>
      <w:szCs w:val="20"/>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146871"/>
    <w:pPr>
      <w:ind w:firstLine="720"/>
      <w:jc w:val="both"/>
    </w:pPr>
    <w:rPr>
      <w:rFonts w:ascii="Courier" w:hAnsi="Courier"/>
    </w:rPr>
  </w:style>
  <w:style w:type="character" w:customStyle="1" w:styleId="BodyTextIndentChar">
    <w:name w:val="Body Text Indent Char"/>
    <w:basedOn w:val="DefaultParagraphFont"/>
    <w:link w:val="BodyTextIndent"/>
    <w:semiHidden/>
    <w:rsid w:val="00146871"/>
    <w:rPr>
      <w:rFonts w:ascii="Courier" w:eastAsia="Times New Roman" w:hAnsi="Courier" w:cs="Times New Roman"/>
      <w:sz w:val="20"/>
      <w:szCs w:val="20"/>
      <w:lang w:val="lt-LT"/>
    </w:rPr>
  </w:style>
  <w:style w:type="paragraph" w:styleId="Title">
    <w:name w:val="Title"/>
    <w:basedOn w:val="Normal"/>
    <w:link w:val="TitleChar"/>
    <w:qFormat/>
    <w:rsid w:val="00146871"/>
    <w:pPr>
      <w:ind w:firstLine="720"/>
      <w:jc w:val="center"/>
    </w:pPr>
    <w:rPr>
      <w:rFonts w:ascii="Courier" w:hAnsi="Courier"/>
      <w:b/>
      <w:sz w:val="28"/>
      <w:lang w:val="en-US"/>
    </w:rPr>
  </w:style>
  <w:style w:type="character" w:customStyle="1" w:styleId="TitleChar">
    <w:name w:val="Title Char"/>
    <w:basedOn w:val="DefaultParagraphFont"/>
    <w:link w:val="Title"/>
    <w:rsid w:val="00146871"/>
    <w:rPr>
      <w:rFonts w:ascii="Courier" w:eastAsia="Times New Roman" w:hAnsi="Courier" w:cs="Times New Roman"/>
      <w:b/>
      <w:sz w:val="28"/>
      <w:szCs w:val="20"/>
    </w:rPr>
  </w:style>
  <w:style w:type="paragraph" w:styleId="BodyText">
    <w:name w:val="Body Text"/>
    <w:basedOn w:val="Normal"/>
    <w:link w:val="BodyTextChar"/>
    <w:semiHidden/>
    <w:rsid w:val="00146871"/>
    <w:pPr>
      <w:jc w:val="both"/>
    </w:pPr>
    <w:rPr>
      <w:sz w:val="24"/>
      <w:lang w:val="en-US"/>
    </w:rPr>
  </w:style>
  <w:style w:type="character" w:customStyle="1" w:styleId="BodyTextChar">
    <w:name w:val="Body Text Char"/>
    <w:basedOn w:val="DefaultParagraphFont"/>
    <w:link w:val="BodyText"/>
    <w:semiHidden/>
    <w:rsid w:val="0014687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035F2"/>
    <w:pPr>
      <w:tabs>
        <w:tab w:val="center" w:pos="4844"/>
        <w:tab w:val="right" w:pos="9689"/>
      </w:tabs>
    </w:pPr>
  </w:style>
  <w:style w:type="character" w:customStyle="1" w:styleId="HeaderChar">
    <w:name w:val="Header Char"/>
    <w:basedOn w:val="DefaultParagraphFont"/>
    <w:link w:val="Header"/>
    <w:uiPriority w:val="99"/>
    <w:rsid w:val="001035F2"/>
    <w:rPr>
      <w:rFonts w:ascii="Times New Roman" w:eastAsia="Times New Roman" w:hAnsi="Times New Roman" w:cs="Times New Roman"/>
      <w:sz w:val="20"/>
      <w:szCs w:val="20"/>
      <w:lang w:val="lt-LT"/>
    </w:rPr>
  </w:style>
  <w:style w:type="paragraph" w:styleId="Footer">
    <w:name w:val="footer"/>
    <w:basedOn w:val="Normal"/>
    <w:link w:val="FooterChar"/>
    <w:uiPriority w:val="99"/>
    <w:unhideWhenUsed/>
    <w:rsid w:val="001035F2"/>
    <w:pPr>
      <w:tabs>
        <w:tab w:val="center" w:pos="4844"/>
        <w:tab w:val="right" w:pos="9689"/>
      </w:tabs>
    </w:pPr>
  </w:style>
  <w:style w:type="character" w:customStyle="1" w:styleId="FooterChar">
    <w:name w:val="Footer Char"/>
    <w:basedOn w:val="DefaultParagraphFont"/>
    <w:link w:val="Footer"/>
    <w:uiPriority w:val="99"/>
    <w:rsid w:val="001035F2"/>
    <w:rPr>
      <w:rFonts w:ascii="Times New Roman" w:eastAsia="Times New Roman" w:hAnsi="Times New Roman" w:cs="Times New Roman"/>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Tautvydas</dc:creator>
  <cp:keywords/>
  <dc:description/>
  <cp:lastModifiedBy>Tautvydas</cp:lastModifiedBy>
  <cp:revision>4</cp:revision>
  <dcterms:created xsi:type="dcterms:W3CDTF">2012-11-28T08:39:00Z</dcterms:created>
  <dcterms:modified xsi:type="dcterms:W3CDTF">2012-11-29T12:16:00Z</dcterms:modified>
</cp:coreProperties>
</file>