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58" w:rsidRDefault="00D44F58" w:rsidP="00D44F58">
      <w:pPr>
        <w:jc w:val="center"/>
        <w:rPr>
          <w:caps/>
          <w:lang w:val="lt-LT"/>
        </w:rPr>
      </w:pPr>
    </w:p>
    <w:p w:rsidR="00D44F58" w:rsidRPr="00C917C6" w:rsidRDefault="00D44F58" w:rsidP="00D44F58">
      <w:pPr>
        <w:jc w:val="center"/>
        <w:rPr>
          <w:b/>
          <w:caps/>
          <w:sz w:val="32"/>
          <w:szCs w:val="32"/>
          <w:lang w:val="lt-LT"/>
        </w:rPr>
      </w:pPr>
      <w:r w:rsidRPr="00C917C6">
        <w:rPr>
          <w:b/>
          <w:caps/>
          <w:sz w:val="32"/>
          <w:szCs w:val="32"/>
          <w:lang w:val="lt-LT"/>
        </w:rPr>
        <w:t xml:space="preserve">Tiesinė difrakcinė gardelė </w:t>
      </w:r>
    </w:p>
    <w:p w:rsidR="00D44F58" w:rsidRDefault="00D44F58" w:rsidP="00D44F58">
      <w:pPr>
        <w:jc w:val="right"/>
        <w:rPr>
          <w:caps/>
          <w:lang w:val="lt-LT"/>
        </w:rPr>
      </w:pPr>
    </w:p>
    <w:p w:rsidR="00D44F58" w:rsidRPr="00C917C6" w:rsidRDefault="00D44F58" w:rsidP="00D44F58">
      <w:pPr>
        <w:jc w:val="right"/>
        <w:rPr>
          <w:sz w:val="20"/>
          <w:szCs w:val="20"/>
          <w:lang w:val="en-US"/>
        </w:rPr>
      </w:pPr>
      <w:proofErr w:type="spellStart"/>
      <w:r w:rsidRPr="00C917C6">
        <w:rPr>
          <w:sz w:val="20"/>
          <w:szCs w:val="20"/>
          <w:lang w:val="en-US"/>
        </w:rPr>
        <w:t>Atliko</w:t>
      </w:r>
      <w:proofErr w:type="spellEnd"/>
      <w:r w:rsidRPr="00C917C6">
        <w:rPr>
          <w:sz w:val="20"/>
          <w:szCs w:val="20"/>
          <w:lang w:val="en-US"/>
        </w:rPr>
        <w:t>:</w:t>
      </w:r>
      <w:r>
        <w:rPr>
          <w:sz w:val="20"/>
          <w:szCs w:val="20"/>
          <w:lang w:val="en-US"/>
        </w:rPr>
        <w:t xml:space="preserve"> </w:t>
      </w:r>
      <w:proofErr w:type="spellStart"/>
      <w:r>
        <w:rPr>
          <w:sz w:val="20"/>
          <w:szCs w:val="20"/>
          <w:lang w:val="en-US"/>
        </w:rPr>
        <w:t>Tautvydas</w:t>
      </w:r>
      <w:proofErr w:type="spellEnd"/>
      <w:r>
        <w:rPr>
          <w:sz w:val="20"/>
          <w:szCs w:val="20"/>
          <w:lang w:val="en-US"/>
        </w:rPr>
        <w:t xml:space="preserve"> </w:t>
      </w:r>
      <w:proofErr w:type="spellStart"/>
      <w:r>
        <w:rPr>
          <w:sz w:val="20"/>
          <w:szCs w:val="20"/>
          <w:lang w:val="en-US"/>
        </w:rPr>
        <w:t>Petkus</w:t>
      </w:r>
      <w:proofErr w:type="spellEnd"/>
      <w:r>
        <w:rPr>
          <w:sz w:val="20"/>
          <w:szCs w:val="20"/>
          <w:lang w:val="en-US"/>
        </w:rPr>
        <w:t xml:space="preserve"> IF-1/9</w:t>
      </w:r>
    </w:p>
    <w:p w:rsidR="00FE5855" w:rsidRPr="00FE5855" w:rsidRDefault="00FE5855" w:rsidP="00FE5855">
      <w:pPr>
        <w:jc w:val="right"/>
        <w:rPr>
          <w:sz w:val="20"/>
          <w:szCs w:val="20"/>
        </w:rPr>
      </w:pPr>
      <w:proofErr w:type="spellStart"/>
      <w:r w:rsidRPr="00FE5855">
        <w:rPr>
          <w:sz w:val="20"/>
          <w:szCs w:val="20"/>
        </w:rPr>
        <w:t>Tikrino</w:t>
      </w:r>
      <w:proofErr w:type="spellEnd"/>
      <w:r w:rsidRPr="00FE5855">
        <w:rPr>
          <w:sz w:val="20"/>
          <w:szCs w:val="20"/>
        </w:rPr>
        <w:t xml:space="preserve">: R. </w:t>
      </w:r>
      <w:proofErr w:type="spellStart"/>
      <w:r w:rsidRPr="00FE5855">
        <w:rPr>
          <w:sz w:val="20"/>
          <w:szCs w:val="20"/>
        </w:rPr>
        <w:t>Naujokaitis</w:t>
      </w:r>
      <w:proofErr w:type="spellEnd"/>
      <w:r w:rsidRPr="00FE5855">
        <w:rPr>
          <w:sz w:val="20"/>
          <w:szCs w:val="20"/>
        </w:rPr>
        <w:t>,</w:t>
      </w:r>
    </w:p>
    <w:p w:rsidR="00FE5855" w:rsidRDefault="00FE5855" w:rsidP="00FE5855">
      <w:pPr>
        <w:jc w:val="right"/>
        <w:rPr>
          <w:sz w:val="20"/>
          <w:szCs w:val="20"/>
        </w:rPr>
      </w:pPr>
      <w:r w:rsidRPr="00FE5855">
        <w:rPr>
          <w:sz w:val="20"/>
          <w:szCs w:val="20"/>
        </w:rPr>
        <w:t xml:space="preserve">                                                                                                                   </w:t>
      </w:r>
      <w:r w:rsidRPr="00FE5855">
        <w:rPr>
          <w:sz w:val="20"/>
          <w:szCs w:val="20"/>
        </w:rPr>
        <w:tab/>
      </w:r>
      <w:r w:rsidRPr="00FE5855">
        <w:rPr>
          <w:sz w:val="20"/>
          <w:szCs w:val="20"/>
        </w:rPr>
        <w:tab/>
        <w:t xml:space="preserve">K. </w:t>
      </w:r>
      <w:proofErr w:type="spellStart"/>
      <w:r w:rsidRPr="00FE5855">
        <w:rPr>
          <w:sz w:val="20"/>
          <w:szCs w:val="20"/>
        </w:rPr>
        <w:t>Bočkutė</w:t>
      </w:r>
      <w:proofErr w:type="spellEnd"/>
    </w:p>
    <w:p w:rsidR="00FE5855" w:rsidRPr="00FE5855" w:rsidRDefault="00FE5855" w:rsidP="00FE5855">
      <w:pPr>
        <w:jc w:val="right"/>
        <w:rPr>
          <w:sz w:val="20"/>
          <w:szCs w:val="20"/>
        </w:rPr>
      </w:pPr>
      <w:r>
        <w:rPr>
          <w:sz w:val="20"/>
          <w:szCs w:val="20"/>
        </w:rPr>
        <w:t>2012-12-12</w:t>
      </w:r>
    </w:p>
    <w:p w:rsidR="00D44F58" w:rsidRDefault="00D44F58" w:rsidP="00FE5855">
      <w:pPr>
        <w:pStyle w:val="Heading1"/>
      </w:pPr>
      <w:r>
        <w:t>Darbo užduotis</w:t>
      </w:r>
    </w:p>
    <w:p w:rsidR="00D44F58" w:rsidRDefault="00D44F58" w:rsidP="00D44F58">
      <w:pPr>
        <w:jc w:val="both"/>
        <w:rPr>
          <w:lang w:val="lt-LT"/>
        </w:rPr>
      </w:pPr>
      <w:r>
        <w:rPr>
          <w:lang w:val="lt-LT"/>
        </w:rPr>
        <w:t>Išmatuoti nurodytos difrakcin</w:t>
      </w:r>
      <w:r w:rsidR="00FE5855">
        <w:rPr>
          <w:lang w:val="lt-LT"/>
        </w:rPr>
        <w:t>io spektro šviesos bangų ilgius</w:t>
      </w:r>
    </w:p>
    <w:p w:rsidR="00D44F58" w:rsidRDefault="00D44F58" w:rsidP="00FE5855">
      <w:pPr>
        <w:pStyle w:val="Heading1"/>
      </w:pPr>
      <w:r>
        <w:t>Teorinė dalis</w:t>
      </w:r>
    </w:p>
    <w:p w:rsidR="00D44F58" w:rsidRDefault="00D44F58" w:rsidP="00D44F58">
      <w:pPr>
        <w:jc w:val="both"/>
        <w:rPr>
          <w:lang w:val="lt-LT"/>
        </w:rPr>
      </w:pPr>
      <w:r>
        <w:rPr>
          <w:lang w:val="lt-LT"/>
        </w:rPr>
        <w:t>Šviesos bangos, susidūrusios su mažomis (bangų ilgio eilės) kliūtimis, mažomis angomis arba siaurais plyšiais, pastebimai užlinksta. Visi šie reiškiniai vadinami šviesos difrakcija. Skiriame dvejotą šviesos difrakciją: plokščiųjų bangų, vadinamą Fraunhoferio difrakcija, ir sferinę bangų – Frenelio difrakciją.</w:t>
      </w:r>
    </w:p>
    <w:p w:rsidR="00D44F58" w:rsidRDefault="00D44F58" w:rsidP="00D44F58">
      <w:pPr>
        <w:jc w:val="both"/>
        <w:rPr>
          <w:lang w:val="lt-LT"/>
        </w:rPr>
      </w:pPr>
      <w:r>
        <w:rPr>
          <w:lang w:val="lt-LT"/>
        </w:rPr>
        <w:t xml:space="preserve">Šiame darbe bus tiriama Fraunhoferio difrakcija tiesinėje difrakcinėje gardelėje. Skaidrią vienmatę tiesinę difrakcinę gardelę sudaro stiklo ar kvarco plokštelė su daugelio lygiagrečių, vienodai vienas nuo kito nutolusių ir vienodos formos bei pločio b rėžių. Jie atskiri pločio a šviesai skaidriais tarpeliais. Apšviesti gardelės tarpeliai tampa atskirais koherentiniais šviesos šaltiniais. Čia d= a + b – difrakcinės gardelės konstanta. Lęšio židinio plokštumoje surenkamos difragavusios bangos, ir čia jos interferuoja. Lygybė </w:t>
      </w:r>
    </w:p>
    <w:p w:rsidR="00D44F58" w:rsidRDefault="00D44F58" w:rsidP="00D44F58">
      <w:pPr>
        <w:jc w:val="center"/>
        <w:rPr>
          <w:lang w:val="lt-LT"/>
        </w:rPr>
      </w:pPr>
      <w:r>
        <w:rPr>
          <w:lang w:val="lt-LT"/>
        </w:rPr>
        <w:t>d</w:t>
      </w:r>
      <w:r>
        <w:rPr>
          <w:lang w:val="lt-LT"/>
        </w:rPr>
        <w:sym w:font="Symbol" w:char="F0D7"/>
      </w:r>
      <w:r>
        <w:rPr>
          <w:lang w:val="lt-LT"/>
        </w:rPr>
        <w:t xml:space="preserve">sin </w:t>
      </w:r>
      <w:r>
        <w:rPr>
          <w:lang w:val="lt-LT"/>
        </w:rPr>
        <w:sym w:font="Symbol" w:char="F06A"/>
      </w:r>
      <w:r>
        <w:rPr>
          <w:vertAlign w:val="subscript"/>
          <w:lang w:val="lt-LT"/>
        </w:rPr>
        <w:t>k</w:t>
      </w:r>
      <w:r>
        <w:rPr>
          <w:lang w:val="lt-LT"/>
        </w:rPr>
        <w:t xml:space="preserve"> = </w:t>
      </w:r>
      <w:r>
        <w:rPr>
          <w:lang w:val="lt-LT"/>
        </w:rPr>
        <w:sym w:font="Symbol" w:char="F0B1"/>
      </w:r>
      <w:r>
        <w:rPr>
          <w:lang w:val="lt-LT"/>
        </w:rPr>
        <w:t>k</w:t>
      </w:r>
      <w:r>
        <w:rPr>
          <w:lang w:val="lt-LT"/>
        </w:rPr>
        <w:sym w:font="Symbol" w:char="F06C"/>
      </w:r>
      <w:r>
        <w:rPr>
          <w:lang w:val="lt-LT"/>
        </w:rPr>
        <w:t>; k= 0, 1, 2, 3, …</w:t>
      </w:r>
    </w:p>
    <w:p w:rsidR="00D44F58" w:rsidRDefault="00D44F58" w:rsidP="00D44F58">
      <w:pPr>
        <w:jc w:val="both"/>
        <w:rPr>
          <w:lang w:val="lt-LT"/>
        </w:rPr>
      </w:pPr>
      <w:r>
        <w:rPr>
          <w:lang w:val="lt-LT"/>
        </w:rPr>
        <w:t xml:space="preserve"> nusako pagrindinio intensyvumo maksimumų padėtis. Kai k= 0, </w:t>
      </w:r>
      <w:r>
        <w:rPr>
          <w:lang w:val="lt-LT"/>
        </w:rPr>
        <w:sym w:font="Symbol" w:char="F06A"/>
      </w:r>
      <w:r>
        <w:rPr>
          <w:vertAlign w:val="subscript"/>
          <w:lang w:val="lt-LT"/>
        </w:rPr>
        <w:t>k</w:t>
      </w:r>
      <w:r>
        <w:rPr>
          <w:lang w:val="lt-LT"/>
        </w:rPr>
        <w:t xml:space="preserve"> = 0, matomas intensyviausias centrinis maksimumas. Aukštesniųjų eilių maksimumai išsidėsto abiejose centrinio maksimumo pusėse. Apšvietus difrakcinė gardelę šaltinio skleidžiama, visi maksimumai, išskyrus centrinį, išsiskleidžia į spektrą. Šiuo a</w:t>
      </w:r>
      <w:r w:rsidR="00FE5855">
        <w:rPr>
          <w:lang w:val="lt-LT"/>
        </w:rPr>
        <w:t>tveju k vadinamas spektro eile.</w:t>
      </w:r>
    </w:p>
    <w:p w:rsidR="00D44F58" w:rsidRDefault="00D44F58" w:rsidP="00FE5855">
      <w:pPr>
        <w:pStyle w:val="BodyText"/>
        <w:jc w:val="both"/>
      </w:pPr>
      <w:r>
        <w:rPr>
          <w:b/>
        </w:rPr>
        <w:t>Aparatūra ir darbo eiga</w:t>
      </w:r>
    </w:p>
    <w:p w:rsidR="00D44F58" w:rsidRDefault="00D44F58" w:rsidP="00D44F58">
      <w:pPr>
        <w:jc w:val="both"/>
        <w:rPr>
          <w:lang w:val="lt-LT"/>
        </w:rPr>
      </w:pPr>
      <w:r>
        <w:rPr>
          <w:lang w:val="lt-LT"/>
        </w:rPr>
        <w:t>Darbe difrakcinius spektrus stebime goniometru. Tiriamoji šviesa iš šaltinio S patenka į goniometro kolimatorių K. perėjusi pro kolimatorių, šviesa tampa plokščiąja banga (vaizduojama lygiagrečiais spinduliais ). Difragavusi gardelėje G, šviesa patenka į žiūroną Ž ir, perėjusi per objektyvą, pastarojo židinio plokštumoje sudaro difrakcinį spektrą, kuris stebimas okuliaru.</w:t>
      </w:r>
    </w:p>
    <w:p w:rsidR="00D44F58" w:rsidRDefault="005B280B" w:rsidP="00D44F58">
      <w:pPr>
        <w:jc w:val="both"/>
        <w:rPr>
          <w:lang w:val="lt-LT"/>
        </w:rPr>
      </w:pPr>
      <w:r>
        <w:rPr>
          <w:lang w:val="lt-LT"/>
        </w:rPr>
        <w:object w:dxaOrig="5316" w:dyaOrig="2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45pt;height:86.7pt" o:ole="">
            <v:imagedata r:id="rId6" o:title=""/>
          </v:shape>
          <o:OLEObject Type="Embed" ProgID="Word.Picture.8" ShapeID="_x0000_i1025" DrawAspect="Content" ObjectID="_1416856645" r:id="rId7"/>
        </w:object>
      </w:r>
    </w:p>
    <w:p w:rsidR="00D44F58" w:rsidRPr="005B280B" w:rsidRDefault="005B280B" w:rsidP="005B280B">
      <w:pPr>
        <w:pStyle w:val="BodyText"/>
        <w:jc w:val="left"/>
        <w:rPr>
          <w:b/>
        </w:rPr>
      </w:pPr>
      <w:r>
        <w:rPr>
          <w:b/>
        </w:rPr>
        <w:t>Skaičiavimai</w:t>
      </w:r>
    </w:p>
    <w:p w:rsidR="00D44F58" w:rsidRDefault="00D44F58" w:rsidP="00D44F58">
      <w:pPr>
        <w:jc w:val="both"/>
        <w:rPr>
          <w:lang w:val="lt-LT"/>
        </w:rPr>
      </w:pPr>
      <w:r>
        <w:rPr>
          <w:lang w:val="lt-LT"/>
        </w:rPr>
        <w:t>d= 5,</w:t>
      </w:r>
      <w:r w:rsidR="00FE5855">
        <w:rPr>
          <w:lang w:val="lt-LT"/>
        </w:rPr>
        <w:t>76</w:t>
      </w:r>
      <w:r>
        <w:rPr>
          <w:lang w:val="lt-LT"/>
        </w:rPr>
        <w:sym w:font="Symbol" w:char="F0D7"/>
      </w:r>
      <w:r>
        <w:rPr>
          <w:lang w:val="lt-LT"/>
        </w:rPr>
        <w:t>10</w:t>
      </w:r>
      <w:r>
        <w:rPr>
          <w:vertAlign w:val="superscript"/>
          <w:lang w:val="lt-LT"/>
        </w:rPr>
        <w:t>-6</w:t>
      </w:r>
      <w:r w:rsidR="00FE5855">
        <w:rPr>
          <w:lang w:val="lt-LT"/>
        </w:rPr>
        <w:t xml:space="preserve"> 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1283"/>
        <w:gridCol w:w="1243"/>
        <w:gridCol w:w="1283"/>
        <w:gridCol w:w="1243"/>
        <w:gridCol w:w="908"/>
        <w:gridCol w:w="1190"/>
        <w:gridCol w:w="1150"/>
      </w:tblGrid>
      <w:tr w:rsidR="00D44F58" w:rsidTr="00A93398">
        <w:tblPrEx>
          <w:tblCellMar>
            <w:top w:w="0" w:type="dxa"/>
            <w:bottom w:w="0" w:type="dxa"/>
          </w:tblCellMar>
        </w:tblPrEx>
        <w:trPr>
          <w:jc w:val="center"/>
        </w:trPr>
        <w:tc>
          <w:tcPr>
            <w:tcW w:w="1283" w:type="dxa"/>
            <w:vAlign w:val="center"/>
          </w:tcPr>
          <w:p w:rsidR="00D44F58" w:rsidRDefault="00D44F58" w:rsidP="00A93398">
            <w:pPr>
              <w:jc w:val="center"/>
              <w:rPr>
                <w:sz w:val="22"/>
                <w:lang w:val="lt-LT"/>
              </w:rPr>
            </w:pPr>
            <w:bookmarkStart w:id="0" w:name="_GoBack"/>
            <w:r>
              <w:rPr>
                <w:sz w:val="22"/>
                <w:lang w:val="lt-LT"/>
              </w:rPr>
              <w:t>Dėstytojo nurodyta difrakcinės linijos eilė</w:t>
            </w:r>
          </w:p>
        </w:tc>
        <w:tc>
          <w:tcPr>
            <w:tcW w:w="1283" w:type="dxa"/>
            <w:vAlign w:val="center"/>
          </w:tcPr>
          <w:p w:rsidR="00D44F58" w:rsidRDefault="00D44F58" w:rsidP="00A93398">
            <w:pPr>
              <w:jc w:val="center"/>
              <w:rPr>
                <w:sz w:val="22"/>
                <w:lang w:val="lt-LT"/>
              </w:rPr>
            </w:pPr>
            <w:r>
              <w:rPr>
                <w:sz w:val="22"/>
                <w:lang w:val="lt-LT"/>
              </w:rPr>
              <w:t>Kairiąją difrakcinę liniją atitinkantis kampas</w:t>
            </w:r>
          </w:p>
        </w:tc>
        <w:tc>
          <w:tcPr>
            <w:tcW w:w="1243" w:type="dxa"/>
            <w:vAlign w:val="center"/>
          </w:tcPr>
          <w:p w:rsidR="00D44F58" w:rsidRDefault="00D44F58" w:rsidP="00A93398">
            <w:pPr>
              <w:pStyle w:val="BodyText"/>
              <w:rPr>
                <w:sz w:val="22"/>
              </w:rPr>
            </w:pPr>
            <w:r>
              <w:rPr>
                <w:sz w:val="22"/>
              </w:rPr>
              <w:t>Kampų aritmetinis vidurkis</w:t>
            </w:r>
          </w:p>
          <w:p w:rsidR="00D44F58" w:rsidRDefault="00D44F58" w:rsidP="00A93398">
            <w:pPr>
              <w:jc w:val="center"/>
              <w:rPr>
                <w:sz w:val="22"/>
                <w:lang w:val="lt-LT"/>
              </w:rPr>
            </w:pPr>
            <w:r>
              <w:rPr>
                <w:sz w:val="22"/>
                <w:lang w:val="lt-LT"/>
              </w:rPr>
              <w:sym w:font="Symbol" w:char="F06A"/>
            </w:r>
            <w:r>
              <w:rPr>
                <w:sz w:val="22"/>
                <w:vertAlign w:val="subscript"/>
                <w:lang w:val="lt-LT"/>
              </w:rPr>
              <w:t>kair</w:t>
            </w:r>
          </w:p>
        </w:tc>
        <w:tc>
          <w:tcPr>
            <w:tcW w:w="1283" w:type="dxa"/>
            <w:vAlign w:val="center"/>
          </w:tcPr>
          <w:p w:rsidR="00D44F58" w:rsidRDefault="00D44F58" w:rsidP="00A93398">
            <w:pPr>
              <w:jc w:val="center"/>
              <w:rPr>
                <w:sz w:val="22"/>
                <w:lang w:val="lt-LT"/>
              </w:rPr>
            </w:pPr>
            <w:r>
              <w:rPr>
                <w:sz w:val="22"/>
                <w:lang w:val="lt-LT"/>
              </w:rPr>
              <w:t>Dešiniąją</w:t>
            </w:r>
          </w:p>
          <w:p w:rsidR="00D44F58" w:rsidRDefault="00D44F58" w:rsidP="00A93398">
            <w:pPr>
              <w:jc w:val="center"/>
              <w:rPr>
                <w:sz w:val="22"/>
                <w:lang w:val="lt-LT"/>
              </w:rPr>
            </w:pPr>
            <w:r>
              <w:rPr>
                <w:sz w:val="22"/>
                <w:lang w:val="lt-LT"/>
              </w:rPr>
              <w:t>difrakcinę liniją atitinkantis kampas</w:t>
            </w:r>
          </w:p>
        </w:tc>
        <w:tc>
          <w:tcPr>
            <w:tcW w:w="1243" w:type="dxa"/>
            <w:vAlign w:val="center"/>
          </w:tcPr>
          <w:p w:rsidR="00D44F58" w:rsidRDefault="00D44F58" w:rsidP="00A93398">
            <w:pPr>
              <w:jc w:val="center"/>
              <w:rPr>
                <w:sz w:val="22"/>
                <w:lang w:val="lt-LT"/>
              </w:rPr>
            </w:pPr>
            <w:r>
              <w:rPr>
                <w:sz w:val="22"/>
                <w:lang w:val="lt-LT"/>
              </w:rPr>
              <w:t>Kampų aritmetinis vidurkis</w:t>
            </w:r>
          </w:p>
          <w:p w:rsidR="00D44F58" w:rsidRDefault="00D44F58" w:rsidP="00A93398">
            <w:pPr>
              <w:jc w:val="center"/>
              <w:rPr>
                <w:sz w:val="22"/>
                <w:vertAlign w:val="subscript"/>
                <w:lang w:val="lt-LT"/>
              </w:rPr>
            </w:pPr>
            <w:r>
              <w:rPr>
                <w:sz w:val="22"/>
                <w:lang w:val="lt-LT"/>
              </w:rPr>
              <w:sym w:font="Symbol" w:char="F06A"/>
            </w:r>
            <w:r>
              <w:rPr>
                <w:sz w:val="22"/>
                <w:vertAlign w:val="subscript"/>
                <w:lang w:val="lt-LT"/>
              </w:rPr>
              <w:t>deš</w:t>
            </w:r>
          </w:p>
        </w:tc>
        <w:tc>
          <w:tcPr>
            <w:tcW w:w="908" w:type="dxa"/>
            <w:vAlign w:val="center"/>
          </w:tcPr>
          <w:p w:rsidR="00D44F58" w:rsidRDefault="00D44F58" w:rsidP="00A93398">
            <w:pPr>
              <w:jc w:val="center"/>
              <w:rPr>
                <w:sz w:val="22"/>
                <w:lang w:val="lt-LT"/>
              </w:rPr>
            </w:pPr>
            <w:r>
              <w:rPr>
                <w:sz w:val="22"/>
                <w:lang w:val="lt-LT"/>
              </w:rPr>
              <w:sym w:font="Symbol" w:char="F06A"/>
            </w:r>
            <w:r>
              <w:rPr>
                <w:sz w:val="22"/>
                <w:vertAlign w:val="subscript"/>
                <w:lang w:val="lt-LT"/>
              </w:rPr>
              <w:t>k</w:t>
            </w:r>
          </w:p>
        </w:tc>
        <w:tc>
          <w:tcPr>
            <w:tcW w:w="1190" w:type="dxa"/>
            <w:vAlign w:val="center"/>
          </w:tcPr>
          <w:p w:rsidR="00D44F58" w:rsidRDefault="00D44F58" w:rsidP="00A93398">
            <w:pPr>
              <w:jc w:val="center"/>
              <w:rPr>
                <w:sz w:val="22"/>
                <w:lang w:val="lt-LT"/>
              </w:rPr>
            </w:pPr>
            <w:r>
              <w:rPr>
                <w:sz w:val="22"/>
                <w:lang w:val="lt-LT"/>
              </w:rPr>
              <w:t>Bangos ilgis</w:t>
            </w:r>
          </w:p>
        </w:tc>
        <w:tc>
          <w:tcPr>
            <w:tcW w:w="1150" w:type="dxa"/>
            <w:vAlign w:val="center"/>
          </w:tcPr>
          <w:p w:rsidR="00D44F58" w:rsidRDefault="00D44F58" w:rsidP="00A93398">
            <w:pPr>
              <w:jc w:val="center"/>
              <w:rPr>
                <w:sz w:val="22"/>
                <w:lang w:val="lt-LT"/>
              </w:rPr>
            </w:pPr>
            <w:r>
              <w:rPr>
                <w:sz w:val="22"/>
                <w:lang w:val="lt-LT"/>
              </w:rPr>
              <w:sym w:font="Symbol" w:char="F06C"/>
            </w:r>
            <w:r>
              <w:rPr>
                <w:sz w:val="22"/>
                <w:lang w:val="lt-LT"/>
              </w:rPr>
              <w:t>= (</w:t>
            </w:r>
            <w:r>
              <w:rPr>
                <w:sz w:val="22"/>
                <w:lang w:val="lt-LT"/>
              </w:rPr>
              <w:sym w:font="Symbol" w:char="F06C"/>
            </w:r>
            <w:r>
              <w:rPr>
                <w:sz w:val="22"/>
                <w:lang w:val="en-US"/>
              </w:rPr>
              <w:t>’+</w:t>
            </w:r>
            <w:r>
              <w:rPr>
                <w:sz w:val="22"/>
                <w:lang w:val="lt-LT"/>
              </w:rPr>
              <w:sym w:font="Symbol" w:char="F06C"/>
            </w:r>
            <w:r>
              <w:rPr>
                <w:sz w:val="22"/>
                <w:lang w:val="lt-LT"/>
              </w:rPr>
              <w:t>”)/2</w:t>
            </w:r>
          </w:p>
        </w:tc>
      </w:tr>
      <w:bookmarkEnd w:id="0"/>
      <w:tr w:rsidR="00D44F58" w:rsidTr="00A93398">
        <w:tblPrEx>
          <w:tblCellMar>
            <w:top w:w="0" w:type="dxa"/>
            <w:bottom w:w="0" w:type="dxa"/>
          </w:tblCellMar>
        </w:tblPrEx>
        <w:trPr>
          <w:cantSplit/>
          <w:jc w:val="center"/>
        </w:trPr>
        <w:tc>
          <w:tcPr>
            <w:tcW w:w="1283" w:type="dxa"/>
            <w:vMerge w:val="restart"/>
            <w:vAlign w:val="center"/>
          </w:tcPr>
          <w:p w:rsidR="00D44F58" w:rsidRDefault="00D44F58" w:rsidP="00A93398">
            <w:pPr>
              <w:jc w:val="both"/>
              <w:rPr>
                <w:sz w:val="22"/>
                <w:lang w:val="lt-LT"/>
              </w:rPr>
            </w:pPr>
            <w:r>
              <w:rPr>
                <w:sz w:val="22"/>
                <w:lang w:val="lt-LT"/>
              </w:rPr>
              <w:t>k’= 1</w:t>
            </w:r>
          </w:p>
        </w:tc>
        <w:tc>
          <w:tcPr>
            <w:tcW w:w="1283" w:type="dxa"/>
            <w:vAlign w:val="center"/>
          </w:tcPr>
          <w:p w:rsidR="00D44F58" w:rsidRDefault="00FE5855" w:rsidP="00FE5855">
            <w:pPr>
              <w:rPr>
                <w:sz w:val="22"/>
                <w:lang w:val="lt-LT"/>
              </w:rPr>
            </w:pPr>
            <w:r>
              <w:rPr>
                <w:sz w:val="22"/>
                <w:lang w:val="lt-LT"/>
              </w:rPr>
              <w:t>270</w:t>
            </w:r>
            <w:r w:rsidR="00D44F58">
              <w:rPr>
                <w:sz w:val="22"/>
                <w:lang w:val="lt-LT"/>
              </w:rPr>
              <w:sym w:font="Symbol" w:char="F0B0"/>
            </w:r>
            <w:r>
              <w:rPr>
                <w:sz w:val="22"/>
                <w:lang w:val="lt-LT"/>
              </w:rPr>
              <w:t>34</w:t>
            </w:r>
            <w:r w:rsidR="00D44F58">
              <w:rPr>
                <w:sz w:val="22"/>
                <w:lang w:val="lt-LT"/>
              </w:rPr>
              <w:sym w:font="Symbol" w:char="F0A2"/>
            </w:r>
          </w:p>
        </w:tc>
        <w:tc>
          <w:tcPr>
            <w:tcW w:w="1243" w:type="dxa"/>
            <w:vMerge w:val="restart"/>
            <w:vAlign w:val="center"/>
          </w:tcPr>
          <w:p w:rsidR="00D44F58" w:rsidRDefault="005B280B" w:rsidP="00A93398">
            <w:pPr>
              <w:jc w:val="both"/>
              <w:rPr>
                <w:sz w:val="22"/>
                <w:lang w:val="lt-LT"/>
              </w:rPr>
            </w:pPr>
            <w:r>
              <w:rPr>
                <w:sz w:val="22"/>
                <w:lang w:val="lt-LT"/>
              </w:rPr>
              <w:t>270</w:t>
            </w:r>
            <w:r>
              <w:rPr>
                <w:sz w:val="22"/>
                <w:lang w:val="lt-LT"/>
              </w:rPr>
              <w:sym w:font="Symbol" w:char="F0B0"/>
            </w:r>
            <w:r>
              <w:rPr>
                <w:sz w:val="22"/>
                <w:lang w:val="lt-LT"/>
              </w:rPr>
              <w:t>33</w:t>
            </w:r>
            <w:r>
              <w:rPr>
                <w:sz w:val="22"/>
                <w:lang w:val="lt-LT"/>
              </w:rPr>
              <w:sym w:font="Symbol" w:char="F0A2"/>
            </w:r>
          </w:p>
        </w:tc>
        <w:tc>
          <w:tcPr>
            <w:tcW w:w="1283" w:type="dxa"/>
            <w:vAlign w:val="center"/>
          </w:tcPr>
          <w:p w:rsidR="00D44F58" w:rsidRDefault="005B280B" w:rsidP="005B280B">
            <w:pPr>
              <w:jc w:val="both"/>
              <w:rPr>
                <w:sz w:val="22"/>
                <w:lang w:val="lt-LT"/>
              </w:rPr>
            </w:pPr>
            <w:r>
              <w:rPr>
                <w:sz w:val="22"/>
                <w:lang w:val="lt-LT"/>
              </w:rPr>
              <w:t>258</w:t>
            </w:r>
            <w:r w:rsidR="00D44F58">
              <w:rPr>
                <w:sz w:val="22"/>
                <w:lang w:val="lt-LT"/>
              </w:rPr>
              <w:sym w:font="Symbol" w:char="F0B0"/>
            </w:r>
            <w:r>
              <w:rPr>
                <w:sz w:val="22"/>
                <w:lang w:val="lt-LT"/>
              </w:rPr>
              <w:t>14</w:t>
            </w:r>
            <w:r w:rsidR="00D44F58">
              <w:rPr>
                <w:sz w:val="22"/>
                <w:lang w:val="lt-LT"/>
              </w:rPr>
              <w:sym w:font="Symbol" w:char="F0A2"/>
            </w:r>
          </w:p>
        </w:tc>
        <w:tc>
          <w:tcPr>
            <w:tcW w:w="1243" w:type="dxa"/>
            <w:vMerge w:val="restart"/>
            <w:vAlign w:val="center"/>
          </w:tcPr>
          <w:p w:rsidR="00D44F58" w:rsidRDefault="005B280B" w:rsidP="00A93398">
            <w:pPr>
              <w:jc w:val="both"/>
              <w:rPr>
                <w:sz w:val="22"/>
                <w:lang w:val="lt-LT"/>
              </w:rPr>
            </w:pPr>
            <w:r>
              <w:rPr>
                <w:sz w:val="22"/>
                <w:lang w:val="lt-LT"/>
              </w:rPr>
              <w:t>258</w:t>
            </w:r>
            <w:r w:rsidR="00D44F58">
              <w:rPr>
                <w:sz w:val="22"/>
                <w:lang w:val="lt-LT"/>
              </w:rPr>
              <w:sym w:font="Symbol" w:char="F0B0"/>
            </w:r>
            <w:r>
              <w:rPr>
                <w:sz w:val="22"/>
                <w:lang w:val="lt-LT"/>
              </w:rPr>
              <w:t>15</w:t>
            </w:r>
            <w:r w:rsidR="00D44F58">
              <w:rPr>
                <w:sz w:val="22"/>
                <w:lang w:val="lt-LT"/>
              </w:rPr>
              <w:sym w:font="Symbol" w:char="F0A2"/>
            </w:r>
          </w:p>
        </w:tc>
        <w:tc>
          <w:tcPr>
            <w:tcW w:w="908" w:type="dxa"/>
            <w:vMerge w:val="restart"/>
            <w:vAlign w:val="center"/>
          </w:tcPr>
          <w:p w:rsidR="00D44F58" w:rsidRDefault="00D44F58" w:rsidP="005B280B">
            <w:pPr>
              <w:jc w:val="both"/>
              <w:rPr>
                <w:sz w:val="22"/>
                <w:lang w:val="lt-LT"/>
              </w:rPr>
            </w:pPr>
            <w:r>
              <w:rPr>
                <w:sz w:val="22"/>
                <w:lang w:val="lt-LT"/>
              </w:rPr>
              <w:t>6</w:t>
            </w:r>
            <w:r>
              <w:rPr>
                <w:sz w:val="22"/>
                <w:lang w:val="lt-LT"/>
              </w:rPr>
              <w:sym w:font="Symbol" w:char="F0B0"/>
            </w:r>
            <w:r w:rsidR="005B280B">
              <w:rPr>
                <w:sz w:val="22"/>
                <w:lang w:val="lt-LT"/>
              </w:rPr>
              <w:t>09</w:t>
            </w:r>
            <w:r>
              <w:rPr>
                <w:sz w:val="22"/>
                <w:lang w:val="lt-LT"/>
              </w:rPr>
              <w:sym w:font="Symbol" w:char="F0A2"/>
            </w:r>
          </w:p>
        </w:tc>
        <w:tc>
          <w:tcPr>
            <w:tcW w:w="1190" w:type="dxa"/>
            <w:vMerge w:val="restart"/>
            <w:vAlign w:val="center"/>
          </w:tcPr>
          <w:p w:rsidR="00D44F58" w:rsidRDefault="005B280B" w:rsidP="00A93398">
            <w:pPr>
              <w:jc w:val="both"/>
              <w:rPr>
                <w:sz w:val="22"/>
                <w:lang w:val="lt-LT"/>
              </w:rPr>
            </w:pPr>
            <w:r>
              <w:rPr>
                <w:sz w:val="22"/>
                <w:lang w:val="lt-LT"/>
              </w:rPr>
              <w:t>6.17</w:t>
            </w:r>
            <w:r w:rsidR="00D44F58">
              <w:rPr>
                <w:sz w:val="22"/>
                <w:lang w:val="lt-LT"/>
              </w:rPr>
              <w:sym w:font="Symbol" w:char="F0D7"/>
            </w:r>
            <w:r w:rsidR="00D44F58">
              <w:rPr>
                <w:sz w:val="22"/>
                <w:lang w:val="lt-LT"/>
              </w:rPr>
              <w:t>10</w:t>
            </w:r>
            <w:r w:rsidR="00D44F58">
              <w:rPr>
                <w:sz w:val="22"/>
                <w:vertAlign w:val="superscript"/>
                <w:lang w:val="lt-LT"/>
              </w:rPr>
              <w:t>-7</w:t>
            </w:r>
            <w:r w:rsidR="00D44F58">
              <w:rPr>
                <w:sz w:val="22"/>
                <w:lang w:val="lt-LT"/>
              </w:rPr>
              <w:t xml:space="preserve"> m</w:t>
            </w:r>
          </w:p>
        </w:tc>
        <w:tc>
          <w:tcPr>
            <w:tcW w:w="1150" w:type="dxa"/>
            <w:vMerge w:val="restart"/>
            <w:vAlign w:val="center"/>
          </w:tcPr>
          <w:p w:rsidR="00D44F58" w:rsidRDefault="005B280B" w:rsidP="00A93398">
            <w:pPr>
              <w:jc w:val="center"/>
              <w:rPr>
                <w:sz w:val="22"/>
                <w:lang w:val="lt-LT"/>
              </w:rPr>
            </w:pPr>
            <w:r>
              <w:rPr>
                <w:sz w:val="22"/>
                <w:lang w:val="lt-LT"/>
              </w:rPr>
              <w:t>6.17</w:t>
            </w:r>
            <w:r>
              <w:rPr>
                <w:sz w:val="22"/>
                <w:lang w:val="lt-LT"/>
              </w:rPr>
              <w:sym w:font="Symbol" w:char="F0D7"/>
            </w:r>
            <w:r>
              <w:rPr>
                <w:sz w:val="22"/>
                <w:lang w:val="lt-LT"/>
              </w:rPr>
              <w:t>10</w:t>
            </w:r>
            <w:r>
              <w:rPr>
                <w:sz w:val="22"/>
                <w:vertAlign w:val="superscript"/>
                <w:lang w:val="lt-LT"/>
              </w:rPr>
              <w:t>-7</w:t>
            </w:r>
            <w:r>
              <w:rPr>
                <w:sz w:val="22"/>
                <w:lang w:val="lt-LT"/>
              </w:rPr>
              <w:t xml:space="preserve"> m</w:t>
            </w:r>
          </w:p>
        </w:tc>
      </w:tr>
      <w:tr w:rsidR="00D44F58" w:rsidTr="00A93398">
        <w:tblPrEx>
          <w:tblCellMar>
            <w:top w:w="0" w:type="dxa"/>
            <w:bottom w:w="0" w:type="dxa"/>
          </w:tblCellMar>
        </w:tblPrEx>
        <w:trPr>
          <w:cantSplit/>
          <w:jc w:val="center"/>
        </w:trPr>
        <w:tc>
          <w:tcPr>
            <w:tcW w:w="1283" w:type="dxa"/>
            <w:vMerge/>
            <w:vAlign w:val="center"/>
          </w:tcPr>
          <w:p w:rsidR="00D44F58" w:rsidRDefault="00D44F58" w:rsidP="00A93398">
            <w:pPr>
              <w:jc w:val="both"/>
              <w:rPr>
                <w:sz w:val="22"/>
                <w:lang w:val="lt-LT"/>
              </w:rPr>
            </w:pPr>
          </w:p>
        </w:tc>
        <w:tc>
          <w:tcPr>
            <w:tcW w:w="1283" w:type="dxa"/>
            <w:vAlign w:val="center"/>
          </w:tcPr>
          <w:p w:rsidR="00D44F58" w:rsidRDefault="00FE5855" w:rsidP="00FE5855">
            <w:pPr>
              <w:jc w:val="both"/>
              <w:rPr>
                <w:sz w:val="22"/>
                <w:lang w:val="lt-LT"/>
              </w:rPr>
            </w:pPr>
            <w:r>
              <w:rPr>
                <w:sz w:val="22"/>
                <w:lang w:val="lt-LT"/>
              </w:rPr>
              <w:t>270</w:t>
            </w:r>
            <w:r w:rsidR="00D44F58">
              <w:rPr>
                <w:sz w:val="22"/>
                <w:lang w:val="lt-LT"/>
              </w:rPr>
              <w:sym w:font="Symbol" w:char="F0B0"/>
            </w:r>
            <w:r>
              <w:rPr>
                <w:sz w:val="22"/>
                <w:lang w:val="lt-LT"/>
              </w:rPr>
              <w:t>33</w:t>
            </w:r>
            <w:r w:rsidR="00D44F58">
              <w:rPr>
                <w:sz w:val="22"/>
                <w:lang w:val="lt-LT"/>
              </w:rPr>
              <w:sym w:font="Symbol" w:char="F0A2"/>
            </w:r>
          </w:p>
        </w:tc>
        <w:tc>
          <w:tcPr>
            <w:tcW w:w="1243" w:type="dxa"/>
            <w:vMerge/>
            <w:vAlign w:val="center"/>
          </w:tcPr>
          <w:p w:rsidR="00D44F58" w:rsidRDefault="00D44F58" w:rsidP="00A93398">
            <w:pPr>
              <w:jc w:val="both"/>
              <w:rPr>
                <w:sz w:val="22"/>
                <w:lang w:val="lt-LT"/>
              </w:rPr>
            </w:pPr>
          </w:p>
        </w:tc>
        <w:tc>
          <w:tcPr>
            <w:tcW w:w="1283" w:type="dxa"/>
            <w:vAlign w:val="center"/>
          </w:tcPr>
          <w:p w:rsidR="00D44F58" w:rsidRDefault="005B280B" w:rsidP="005B280B">
            <w:pPr>
              <w:jc w:val="both"/>
              <w:rPr>
                <w:sz w:val="22"/>
                <w:lang w:val="lt-LT"/>
              </w:rPr>
            </w:pPr>
            <w:r>
              <w:rPr>
                <w:sz w:val="22"/>
                <w:lang w:val="lt-LT"/>
              </w:rPr>
              <w:t>258</w:t>
            </w:r>
            <w:r w:rsidR="00D44F58">
              <w:rPr>
                <w:sz w:val="22"/>
                <w:lang w:val="lt-LT"/>
              </w:rPr>
              <w:sym w:font="Symbol" w:char="F0B0"/>
            </w:r>
            <w:r>
              <w:rPr>
                <w:sz w:val="22"/>
                <w:lang w:val="lt-LT"/>
              </w:rPr>
              <w:t>15</w:t>
            </w:r>
            <w:r w:rsidR="00D44F58">
              <w:rPr>
                <w:sz w:val="22"/>
                <w:lang w:val="lt-LT"/>
              </w:rPr>
              <w:sym w:font="Symbol" w:char="F0A2"/>
            </w:r>
          </w:p>
        </w:tc>
        <w:tc>
          <w:tcPr>
            <w:tcW w:w="1243" w:type="dxa"/>
            <w:vMerge/>
            <w:vAlign w:val="center"/>
          </w:tcPr>
          <w:p w:rsidR="00D44F58" w:rsidRDefault="00D44F58" w:rsidP="00A93398">
            <w:pPr>
              <w:jc w:val="both"/>
              <w:rPr>
                <w:sz w:val="22"/>
                <w:lang w:val="lt-LT"/>
              </w:rPr>
            </w:pPr>
          </w:p>
        </w:tc>
        <w:tc>
          <w:tcPr>
            <w:tcW w:w="908" w:type="dxa"/>
            <w:vMerge/>
            <w:vAlign w:val="center"/>
          </w:tcPr>
          <w:p w:rsidR="00D44F58" w:rsidRDefault="00D44F58" w:rsidP="00A93398">
            <w:pPr>
              <w:jc w:val="both"/>
              <w:rPr>
                <w:sz w:val="22"/>
                <w:lang w:val="lt-LT"/>
              </w:rPr>
            </w:pPr>
          </w:p>
        </w:tc>
        <w:tc>
          <w:tcPr>
            <w:tcW w:w="1190" w:type="dxa"/>
            <w:vMerge/>
            <w:vAlign w:val="center"/>
          </w:tcPr>
          <w:p w:rsidR="00D44F58" w:rsidRDefault="00D44F58" w:rsidP="00A93398">
            <w:pPr>
              <w:jc w:val="both"/>
              <w:rPr>
                <w:sz w:val="22"/>
                <w:lang w:val="lt-LT"/>
              </w:rPr>
            </w:pPr>
          </w:p>
        </w:tc>
        <w:tc>
          <w:tcPr>
            <w:tcW w:w="1150" w:type="dxa"/>
            <w:vMerge/>
          </w:tcPr>
          <w:p w:rsidR="00D44F58" w:rsidRDefault="00D44F58" w:rsidP="00A93398">
            <w:pPr>
              <w:jc w:val="both"/>
              <w:rPr>
                <w:sz w:val="22"/>
                <w:lang w:val="lt-LT"/>
              </w:rPr>
            </w:pPr>
          </w:p>
        </w:tc>
      </w:tr>
      <w:tr w:rsidR="00D44F58" w:rsidTr="00A93398">
        <w:tblPrEx>
          <w:tblCellMar>
            <w:top w:w="0" w:type="dxa"/>
            <w:bottom w:w="0" w:type="dxa"/>
          </w:tblCellMar>
        </w:tblPrEx>
        <w:trPr>
          <w:cantSplit/>
          <w:jc w:val="center"/>
        </w:trPr>
        <w:tc>
          <w:tcPr>
            <w:tcW w:w="1283" w:type="dxa"/>
            <w:vMerge/>
            <w:vAlign w:val="center"/>
          </w:tcPr>
          <w:p w:rsidR="00D44F58" w:rsidRDefault="00D44F58" w:rsidP="00A93398">
            <w:pPr>
              <w:jc w:val="both"/>
              <w:rPr>
                <w:sz w:val="22"/>
                <w:lang w:val="lt-LT"/>
              </w:rPr>
            </w:pPr>
          </w:p>
        </w:tc>
        <w:tc>
          <w:tcPr>
            <w:tcW w:w="1283" w:type="dxa"/>
            <w:vAlign w:val="center"/>
          </w:tcPr>
          <w:p w:rsidR="00D44F58" w:rsidRDefault="00FE5855" w:rsidP="00FE5855">
            <w:pPr>
              <w:jc w:val="both"/>
              <w:rPr>
                <w:sz w:val="22"/>
                <w:lang w:val="lt-LT"/>
              </w:rPr>
            </w:pPr>
            <w:r>
              <w:rPr>
                <w:sz w:val="22"/>
                <w:lang w:val="lt-LT"/>
              </w:rPr>
              <w:t>270</w:t>
            </w:r>
            <w:r w:rsidR="00D44F58">
              <w:rPr>
                <w:sz w:val="22"/>
                <w:lang w:val="lt-LT"/>
              </w:rPr>
              <w:sym w:font="Symbol" w:char="F0B0"/>
            </w:r>
            <w:r>
              <w:rPr>
                <w:sz w:val="22"/>
                <w:lang w:val="lt-LT"/>
              </w:rPr>
              <w:t>32</w:t>
            </w:r>
            <w:r w:rsidR="00D44F58">
              <w:rPr>
                <w:sz w:val="22"/>
                <w:lang w:val="lt-LT"/>
              </w:rPr>
              <w:sym w:font="Symbol" w:char="F0A2"/>
            </w:r>
          </w:p>
        </w:tc>
        <w:tc>
          <w:tcPr>
            <w:tcW w:w="1243" w:type="dxa"/>
            <w:vMerge/>
            <w:vAlign w:val="center"/>
          </w:tcPr>
          <w:p w:rsidR="00D44F58" w:rsidRDefault="00D44F58" w:rsidP="00A93398">
            <w:pPr>
              <w:jc w:val="both"/>
              <w:rPr>
                <w:sz w:val="22"/>
                <w:lang w:val="lt-LT"/>
              </w:rPr>
            </w:pPr>
          </w:p>
        </w:tc>
        <w:tc>
          <w:tcPr>
            <w:tcW w:w="1283" w:type="dxa"/>
            <w:vAlign w:val="center"/>
          </w:tcPr>
          <w:p w:rsidR="00D44F58" w:rsidRDefault="005B280B" w:rsidP="00A93398">
            <w:pPr>
              <w:jc w:val="both"/>
              <w:rPr>
                <w:sz w:val="22"/>
                <w:lang w:val="lt-LT"/>
              </w:rPr>
            </w:pPr>
            <w:r>
              <w:rPr>
                <w:sz w:val="22"/>
                <w:lang w:val="lt-LT"/>
              </w:rPr>
              <w:t>258</w:t>
            </w:r>
            <w:r w:rsidR="00D44F58">
              <w:rPr>
                <w:sz w:val="22"/>
                <w:lang w:val="lt-LT"/>
              </w:rPr>
              <w:sym w:font="Symbol" w:char="F0B0"/>
            </w:r>
            <w:r>
              <w:rPr>
                <w:sz w:val="22"/>
                <w:lang w:val="lt-LT"/>
              </w:rPr>
              <w:t>16</w:t>
            </w:r>
            <w:r w:rsidR="00D44F58">
              <w:rPr>
                <w:sz w:val="22"/>
                <w:lang w:val="lt-LT"/>
              </w:rPr>
              <w:sym w:font="Symbol" w:char="F0A2"/>
            </w:r>
          </w:p>
        </w:tc>
        <w:tc>
          <w:tcPr>
            <w:tcW w:w="1243" w:type="dxa"/>
            <w:vMerge/>
            <w:vAlign w:val="center"/>
          </w:tcPr>
          <w:p w:rsidR="00D44F58" w:rsidRDefault="00D44F58" w:rsidP="00A93398">
            <w:pPr>
              <w:jc w:val="both"/>
              <w:rPr>
                <w:sz w:val="22"/>
                <w:lang w:val="lt-LT"/>
              </w:rPr>
            </w:pPr>
          </w:p>
        </w:tc>
        <w:tc>
          <w:tcPr>
            <w:tcW w:w="908" w:type="dxa"/>
            <w:vMerge/>
            <w:vAlign w:val="center"/>
          </w:tcPr>
          <w:p w:rsidR="00D44F58" w:rsidRDefault="00D44F58" w:rsidP="00A93398">
            <w:pPr>
              <w:jc w:val="both"/>
              <w:rPr>
                <w:sz w:val="22"/>
                <w:lang w:val="lt-LT"/>
              </w:rPr>
            </w:pPr>
          </w:p>
        </w:tc>
        <w:tc>
          <w:tcPr>
            <w:tcW w:w="1190" w:type="dxa"/>
            <w:vMerge/>
            <w:vAlign w:val="center"/>
          </w:tcPr>
          <w:p w:rsidR="00D44F58" w:rsidRDefault="00D44F58" w:rsidP="00A93398">
            <w:pPr>
              <w:jc w:val="both"/>
              <w:rPr>
                <w:sz w:val="22"/>
                <w:lang w:val="lt-LT"/>
              </w:rPr>
            </w:pPr>
          </w:p>
        </w:tc>
        <w:tc>
          <w:tcPr>
            <w:tcW w:w="1150" w:type="dxa"/>
            <w:vMerge/>
          </w:tcPr>
          <w:p w:rsidR="00D44F58" w:rsidRDefault="00D44F58" w:rsidP="00A93398">
            <w:pPr>
              <w:jc w:val="both"/>
              <w:rPr>
                <w:sz w:val="22"/>
                <w:lang w:val="lt-LT"/>
              </w:rPr>
            </w:pPr>
          </w:p>
        </w:tc>
      </w:tr>
      <w:tr w:rsidR="00D44F58" w:rsidTr="00A93398">
        <w:tblPrEx>
          <w:tblCellMar>
            <w:top w:w="0" w:type="dxa"/>
            <w:bottom w:w="0" w:type="dxa"/>
          </w:tblCellMar>
        </w:tblPrEx>
        <w:trPr>
          <w:cantSplit/>
          <w:jc w:val="center"/>
        </w:trPr>
        <w:tc>
          <w:tcPr>
            <w:tcW w:w="1283" w:type="dxa"/>
            <w:vMerge w:val="restart"/>
            <w:vAlign w:val="center"/>
          </w:tcPr>
          <w:p w:rsidR="00D44F58" w:rsidRDefault="00D44F58" w:rsidP="00A93398">
            <w:pPr>
              <w:jc w:val="both"/>
              <w:rPr>
                <w:sz w:val="22"/>
                <w:lang w:val="lt-LT"/>
              </w:rPr>
            </w:pPr>
            <w:r>
              <w:rPr>
                <w:sz w:val="22"/>
                <w:lang w:val="lt-LT"/>
              </w:rPr>
              <w:t>k“= 2</w:t>
            </w:r>
          </w:p>
        </w:tc>
        <w:tc>
          <w:tcPr>
            <w:tcW w:w="1283" w:type="dxa"/>
            <w:vAlign w:val="center"/>
          </w:tcPr>
          <w:p w:rsidR="00D44F58" w:rsidRDefault="00FE5855" w:rsidP="00FE5855">
            <w:pPr>
              <w:jc w:val="both"/>
              <w:rPr>
                <w:sz w:val="22"/>
                <w:lang w:val="lt-LT"/>
              </w:rPr>
            </w:pPr>
            <w:r>
              <w:rPr>
                <w:sz w:val="22"/>
                <w:lang w:val="lt-LT"/>
              </w:rPr>
              <w:t>276</w:t>
            </w:r>
            <w:r w:rsidR="00D44F58">
              <w:rPr>
                <w:sz w:val="22"/>
                <w:lang w:val="lt-LT"/>
              </w:rPr>
              <w:sym w:font="Symbol" w:char="F0B0"/>
            </w:r>
            <w:r>
              <w:rPr>
                <w:sz w:val="22"/>
                <w:lang w:val="lt-LT"/>
              </w:rPr>
              <w:t>44</w:t>
            </w:r>
            <w:r w:rsidR="00D44F58">
              <w:rPr>
                <w:sz w:val="22"/>
                <w:lang w:val="lt-LT"/>
              </w:rPr>
              <w:sym w:font="Symbol" w:char="F0A2"/>
            </w:r>
          </w:p>
        </w:tc>
        <w:tc>
          <w:tcPr>
            <w:tcW w:w="1243" w:type="dxa"/>
            <w:vMerge w:val="restart"/>
            <w:vAlign w:val="center"/>
          </w:tcPr>
          <w:p w:rsidR="00D44F58" w:rsidRDefault="005B280B" w:rsidP="00A93398">
            <w:pPr>
              <w:jc w:val="both"/>
              <w:rPr>
                <w:sz w:val="22"/>
                <w:lang w:val="lt-LT"/>
              </w:rPr>
            </w:pPr>
            <w:r>
              <w:rPr>
                <w:sz w:val="22"/>
                <w:lang w:val="lt-LT"/>
              </w:rPr>
              <w:t>276</w:t>
            </w:r>
            <w:r>
              <w:rPr>
                <w:sz w:val="22"/>
                <w:lang w:val="lt-LT"/>
              </w:rPr>
              <w:sym w:font="Symbol" w:char="F0B0"/>
            </w:r>
            <w:r>
              <w:rPr>
                <w:sz w:val="22"/>
                <w:lang w:val="lt-LT"/>
              </w:rPr>
              <w:t>44</w:t>
            </w:r>
            <w:r>
              <w:rPr>
                <w:sz w:val="22"/>
                <w:lang w:val="lt-LT"/>
              </w:rPr>
              <w:sym w:font="Symbol" w:char="F0A2"/>
            </w:r>
          </w:p>
        </w:tc>
        <w:tc>
          <w:tcPr>
            <w:tcW w:w="1283" w:type="dxa"/>
            <w:vAlign w:val="center"/>
          </w:tcPr>
          <w:p w:rsidR="00D44F58" w:rsidRDefault="005B280B" w:rsidP="00A93398">
            <w:pPr>
              <w:jc w:val="both"/>
              <w:rPr>
                <w:sz w:val="22"/>
                <w:lang w:val="lt-LT"/>
              </w:rPr>
            </w:pPr>
            <w:r>
              <w:rPr>
                <w:sz w:val="22"/>
                <w:lang w:val="lt-LT"/>
              </w:rPr>
              <w:t>252</w:t>
            </w:r>
            <w:r w:rsidR="00D44F58">
              <w:rPr>
                <w:sz w:val="22"/>
                <w:lang w:val="lt-LT"/>
              </w:rPr>
              <w:sym w:font="Symbol" w:char="F0B0"/>
            </w:r>
            <w:r>
              <w:rPr>
                <w:sz w:val="22"/>
                <w:lang w:val="lt-LT"/>
              </w:rPr>
              <w:t>01</w:t>
            </w:r>
            <w:r w:rsidR="00D44F58">
              <w:rPr>
                <w:sz w:val="22"/>
                <w:lang w:val="lt-LT"/>
              </w:rPr>
              <w:sym w:font="Symbol" w:char="F0A2"/>
            </w:r>
          </w:p>
        </w:tc>
        <w:tc>
          <w:tcPr>
            <w:tcW w:w="1243" w:type="dxa"/>
            <w:vMerge w:val="restart"/>
            <w:vAlign w:val="center"/>
          </w:tcPr>
          <w:p w:rsidR="00D44F58" w:rsidRDefault="005B280B" w:rsidP="00A93398">
            <w:pPr>
              <w:jc w:val="both"/>
              <w:rPr>
                <w:sz w:val="22"/>
                <w:lang w:val="lt-LT"/>
              </w:rPr>
            </w:pPr>
            <w:r>
              <w:rPr>
                <w:sz w:val="22"/>
                <w:lang w:val="lt-LT"/>
              </w:rPr>
              <w:t>252</w:t>
            </w:r>
            <w:r w:rsidR="00D44F58">
              <w:rPr>
                <w:sz w:val="22"/>
                <w:lang w:val="lt-LT"/>
              </w:rPr>
              <w:sym w:font="Symbol" w:char="F0B0"/>
            </w:r>
            <w:r>
              <w:rPr>
                <w:sz w:val="22"/>
                <w:lang w:val="lt-LT"/>
              </w:rPr>
              <w:t>01</w:t>
            </w:r>
            <w:r w:rsidR="00D44F58">
              <w:rPr>
                <w:sz w:val="22"/>
                <w:lang w:val="lt-LT"/>
              </w:rPr>
              <w:sym w:font="Symbol" w:char="F0A2"/>
            </w:r>
          </w:p>
        </w:tc>
        <w:tc>
          <w:tcPr>
            <w:tcW w:w="908" w:type="dxa"/>
            <w:vMerge w:val="restart"/>
            <w:vAlign w:val="center"/>
          </w:tcPr>
          <w:p w:rsidR="00D44F58" w:rsidRDefault="005B280B" w:rsidP="00A93398">
            <w:pPr>
              <w:jc w:val="both"/>
              <w:rPr>
                <w:sz w:val="22"/>
                <w:lang w:val="lt-LT"/>
              </w:rPr>
            </w:pPr>
            <w:r>
              <w:rPr>
                <w:sz w:val="22"/>
                <w:lang w:val="lt-LT"/>
              </w:rPr>
              <w:t>12</w:t>
            </w:r>
            <w:r w:rsidR="00D44F58">
              <w:rPr>
                <w:sz w:val="22"/>
                <w:lang w:val="lt-LT"/>
              </w:rPr>
              <w:sym w:font="Symbol" w:char="F0B0"/>
            </w:r>
            <w:r>
              <w:rPr>
                <w:sz w:val="22"/>
                <w:lang w:val="lt-LT"/>
              </w:rPr>
              <w:t>22</w:t>
            </w:r>
            <w:r w:rsidR="00D44F58">
              <w:rPr>
                <w:sz w:val="22"/>
                <w:lang w:val="lt-LT"/>
              </w:rPr>
              <w:sym w:font="Symbol" w:char="F0A2"/>
            </w:r>
          </w:p>
        </w:tc>
        <w:tc>
          <w:tcPr>
            <w:tcW w:w="1190" w:type="dxa"/>
            <w:vMerge w:val="restart"/>
            <w:vAlign w:val="center"/>
          </w:tcPr>
          <w:p w:rsidR="00D44F58" w:rsidRDefault="005B280B" w:rsidP="00A93398">
            <w:pPr>
              <w:jc w:val="both"/>
              <w:rPr>
                <w:sz w:val="22"/>
                <w:lang w:val="lt-LT"/>
              </w:rPr>
            </w:pPr>
            <w:r>
              <w:rPr>
                <w:sz w:val="22"/>
                <w:lang w:val="lt-LT"/>
              </w:rPr>
              <w:t>6.17</w:t>
            </w:r>
            <w:r>
              <w:rPr>
                <w:sz w:val="22"/>
                <w:lang w:val="lt-LT"/>
              </w:rPr>
              <w:sym w:font="Symbol" w:char="F0D7"/>
            </w:r>
            <w:r>
              <w:rPr>
                <w:sz w:val="22"/>
                <w:lang w:val="lt-LT"/>
              </w:rPr>
              <w:t>10</w:t>
            </w:r>
            <w:r>
              <w:rPr>
                <w:sz w:val="22"/>
                <w:vertAlign w:val="superscript"/>
                <w:lang w:val="lt-LT"/>
              </w:rPr>
              <w:t>-7</w:t>
            </w:r>
            <w:r>
              <w:rPr>
                <w:sz w:val="22"/>
                <w:lang w:val="lt-LT"/>
              </w:rPr>
              <w:t xml:space="preserve"> m</w:t>
            </w:r>
          </w:p>
        </w:tc>
        <w:tc>
          <w:tcPr>
            <w:tcW w:w="1150" w:type="dxa"/>
            <w:vMerge/>
          </w:tcPr>
          <w:p w:rsidR="00D44F58" w:rsidRDefault="00D44F58" w:rsidP="00A93398">
            <w:pPr>
              <w:jc w:val="both"/>
              <w:rPr>
                <w:sz w:val="22"/>
                <w:lang w:val="lt-LT"/>
              </w:rPr>
            </w:pPr>
          </w:p>
        </w:tc>
      </w:tr>
      <w:tr w:rsidR="00D44F58" w:rsidTr="00A93398">
        <w:tblPrEx>
          <w:tblCellMar>
            <w:top w:w="0" w:type="dxa"/>
            <w:bottom w:w="0" w:type="dxa"/>
          </w:tblCellMar>
        </w:tblPrEx>
        <w:trPr>
          <w:cantSplit/>
          <w:jc w:val="center"/>
        </w:trPr>
        <w:tc>
          <w:tcPr>
            <w:tcW w:w="1283" w:type="dxa"/>
            <w:vMerge/>
          </w:tcPr>
          <w:p w:rsidR="00D44F58" w:rsidRDefault="00D44F58" w:rsidP="00A93398">
            <w:pPr>
              <w:jc w:val="both"/>
              <w:rPr>
                <w:sz w:val="22"/>
                <w:lang w:val="lt-LT"/>
              </w:rPr>
            </w:pPr>
          </w:p>
        </w:tc>
        <w:tc>
          <w:tcPr>
            <w:tcW w:w="1283" w:type="dxa"/>
          </w:tcPr>
          <w:p w:rsidR="00D44F58" w:rsidRDefault="00FE5855" w:rsidP="005B280B">
            <w:pPr>
              <w:jc w:val="both"/>
              <w:rPr>
                <w:sz w:val="22"/>
                <w:lang w:val="lt-LT"/>
              </w:rPr>
            </w:pPr>
            <w:r>
              <w:rPr>
                <w:sz w:val="22"/>
                <w:lang w:val="lt-LT"/>
              </w:rPr>
              <w:t>276</w:t>
            </w:r>
            <w:r w:rsidR="00D44F58">
              <w:rPr>
                <w:sz w:val="22"/>
                <w:lang w:val="lt-LT"/>
              </w:rPr>
              <w:sym w:font="Symbol" w:char="F0B0"/>
            </w:r>
            <w:r w:rsidR="005B280B">
              <w:rPr>
                <w:sz w:val="22"/>
                <w:lang w:val="lt-LT"/>
              </w:rPr>
              <w:t>42</w:t>
            </w:r>
            <w:r w:rsidR="00D44F58">
              <w:rPr>
                <w:sz w:val="22"/>
                <w:lang w:val="lt-LT"/>
              </w:rPr>
              <w:sym w:font="Symbol" w:char="F0A2"/>
            </w:r>
          </w:p>
        </w:tc>
        <w:tc>
          <w:tcPr>
            <w:tcW w:w="1243" w:type="dxa"/>
            <w:vMerge/>
          </w:tcPr>
          <w:p w:rsidR="00D44F58" w:rsidRDefault="00D44F58" w:rsidP="00A93398">
            <w:pPr>
              <w:jc w:val="both"/>
              <w:rPr>
                <w:sz w:val="22"/>
                <w:lang w:val="lt-LT"/>
              </w:rPr>
            </w:pPr>
          </w:p>
        </w:tc>
        <w:tc>
          <w:tcPr>
            <w:tcW w:w="1283" w:type="dxa"/>
          </w:tcPr>
          <w:p w:rsidR="00D44F58" w:rsidRDefault="005B280B" w:rsidP="00A93398">
            <w:pPr>
              <w:jc w:val="both"/>
              <w:rPr>
                <w:sz w:val="22"/>
                <w:lang w:val="lt-LT"/>
              </w:rPr>
            </w:pPr>
            <w:r>
              <w:rPr>
                <w:sz w:val="22"/>
                <w:lang w:val="lt-LT"/>
              </w:rPr>
              <w:t>252</w:t>
            </w:r>
            <w:r w:rsidR="00D44F58">
              <w:rPr>
                <w:sz w:val="22"/>
                <w:lang w:val="lt-LT"/>
              </w:rPr>
              <w:sym w:font="Symbol" w:char="F0B0"/>
            </w:r>
            <w:r>
              <w:rPr>
                <w:sz w:val="22"/>
                <w:lang w:val="lt-LT"/>
              </w:rPr>
              <w:t>00</w:t>
            </w:r>
            <w:r w:rsidR="00D44F58">
              <w:rPr>
                <w:sz w:val="22"/>
                <w:lang w:val="lt-LT"/>
              </w:rPr>
              <w:sym w:font="Symbol" w:char="F0A2"/>
            </w:r>
          </w:p>
        </w:tc>
        <w:tc>
          <w:tcPr>
            <w:tcW w:w="1243" w:type="dxa"/>
            <w:vMerge/>
          </w:tcPr>
          <w:p w:rsidR="00D44F58" w:rsidRDefault="00D44F58" w:rsidP="00A93398">
            <w:pPr>
              <w:jc w:val="both"/>
              <w:rPr>
                <w:sz w:val="22"/>
                <w:lang w:val="lt-LT"/>
              </w:rPr>
            </w:pPr>
          </w:p>
        </w:tc>
        <w:tc>
          <w:tcPr>
            <w:tcW w:w="908" w:type="dxa"/>
            <w:vMerge/>
          </w:tcPr>
          <w:p w:rsidR="00D44F58" w:rsidRDefault="00D44F58" w:rsidP="00A93398">
            <w:pPr>
              <w:jc w:val="both"/>
              <w:rPr>
                <w:sz w:val="22"/>
                <w:lang w:val="lt-LT"/>
              </w:rPr>
            </w:pPr>
          </w:p>
        </w:tc>
        <w:tc>
          <w:tcPr>
            <w:tcW w:w="1190" w:type="dxa"/>
            <w:vMerge/>
          </w:tcPr>
          <w:p w:rsidR="00D44F58" w:rsidRDefault="00D44F58" w:rsidP="00A93398">
            <w:pPr>
              <w:jc w:val="both"/>
              <w:rPr>
                <w:sz w:val="22"/>
                <w:lang w:val="lt-LT"/>
              </w:rPr>
            </w:pPr>
          </w:p>
        </w:tc>
        <w:tc>
          <w:tcPr>
            <w:tcW w:w="1150" w:type="dxa"/>
            <w:vMerge/>
          </w:tcPr>
          <w:p w:rsidR="00D44F58" w:rsidRDefault="00D44F58" w:rsidP="00A93398">
            <w:pPr>
              <w:jc w:val="both"/>
              <w:rPr>
                <w:sz w:val="22"/>
                <w:lang w:val="lt-LT"/>
              </w:rPr>
            </w:pPr>
          </w:p>
        </w:tc>
      </w:tr>
      <w:tr w:rsidR="00D44F58" w:rsidTr="00A93398">
        <w:tblPrEx>
          <w:tblCellMar>
            <w:top w:w="0" w:type="dxa"/>
            <w:bottom w:w="0" w:type="dxa"/>
          </w:tblCellMar>
        </w:tblPrEx>
        <w:trPr>
          <w:cantSplit/>
          <w:jc w:val="center"/>
        </w:trPr>
        <w:tc>
          <w:tcPr>
            <w:tcW w:w="1283" w:type="dxa"/>
            <w:vMerge/>
          </w:tcPr>
          <w:p w:rsidR="00D44F58" w:rsidRDefault="00D44F58" w:rsidP="00A93398">
            <w:pPr>
              <w:jc w:val="both"/>
              <w:rPr>
                <w:sz w:val="22"/>
                <w:lang w:val="lt-LT"/>
              </w:rPr>
            </w:pPr>
          </w:p>
        </w:tc>
        <w:tc>
          <w:tcPr>
            <w:tcW w:w="1283" w:type="dxa"/>
          </w:tcPr>
          <w:p w:rsidR="00D44F58" w:rsidRDefault="005B280B" w:rsidP="005B280B">
            <w:pPr>
              <w:jc w:val="both"/>
              <w:rPr>
                <w:sz w:val="22"/>
                <w:lang w:val="lt-LT"/>
              </w:rPr>
            </w:pPr>
            <w:r>
              <w:rPr>
                <w:sz w:val="22"/>
                <w:lang w:val="lt-LT"/>
              </w:rPr>
              <w:t>276</w:t>
            </w:r>
            <w:r w:rsidR="00D44F58">
              <w:rPr>
                <w:sz w:val="22"/>
                <w:lang w:val="lt-LT"/>
              </w:rPr>
              <w:sym w:font="Symbol" w:char="F0B0"/>
            </w:r>
            <w:r>
              <w:rPr>
                <w:sz w:val="22"/>
                <w:lang w:val="lt-LT"/>
              </w:rPr>
              <w:t>46</w:t>
            </w:r>
            <w:r w:rsidR="00D44F58">
              <w:rPr>
                <w:sz w:val="22"/>
                <w:lang w:val="lt-LT"/>
              </w:rPr>
              <w:sym w:font="Symbol" w:char="F0A2"/>
            </w:r>
          </w:p>
        </w:tc>
        <w:tc>
          <w:tcPr>
            <w:tcW w:w="1243" w:type="dxa"/>
            <w:vMerge/>
          </w:tcPr>
          <w:p w:rsidR="00D44F58" w:rsidRDefault="00D44F58" w:rsidP="00A93398">
            <w:pPr>
              <w:jc w:val="both"/>
              <w:rPr>
                <w:sz w:val="22"/>
                <w:lang w:val="lt-LT"/>
              </w:rPr>
            </w:pPr>
          </w:p>
        </w:tc>
        <w:tc>
          <w:tcPr>
            <w:tcW w:w="1283" w:type="dxa"/>
          </w:tcPr>
          <w:p w:rsidR="00D44F58" w:rsidRDefault="005B280B" w:rsidP="00A93398">
            <w:pPr>
              <w:jc w:val="both"/>
              <w:rPr>
                <w:sz w:val="22"/>
                <w:lang w:val="lt-LT"/>
              </w:rPr>
            </w:pPr>
            <w:r>
              <w:rPr>
                <w:sz w:val="22"/>
                <w:lang w:val="lt-LT"/>
              </w:rPr>
              <w:t>252</w:t>
            </w:r>
            <w:r w:rsidR="00D44F58">
              <w:rPr>
                <w:sz w:val="22"/>
                <w:lang w:val="lt-LT"/>
              </w:rPr>
              <w:sym w:font="Symbol" w:char="F0B0"/>
            </w:r>
            <w:r>
              <w:rPr>
                <w:sz w:val="22"/>
                <w:lang w:val="lt-LT"/>
              </w:rPr>
              <w:t>02</w:t>
            </w:r>
            <w:r w:rsidR="00D44F58">
              <w:rPr>
                <w:sz w:val="22"/>
                <w:lang w:val="lt-LT"/>
              </w:rPr>
              <w:sym w:font="Symbol" w:char="F0A2"/>
            </w:r>
          </w:p>
        </w:tc>
        <w:tc>
          <w:tcPr>
            <w:tcW w:w="1243" w:type="dxa"/>
            <w:vMerge/>
          </w:tcPr>
          <w:p w:rsidR="00D44F58" w:rsidRDefault="00D44F58" w:rsidP="00A93398">
            <w:pPr>
              <w:jc w:val="both"/>
              <w:rPr>
                <w:sz w:val="22"/>
                <w:lang w:val="lt-LT"/>
              </w:rPr>
            </w:pPr>
          </w:p>
        </w:tc>
        <w:tc>
          <w:tcPr>
            <w:tcW w:w="908" w:type="dxa"/>
            <w:vMerge/>
          </w:tcPr>
          <w:p w:rsidR="00D44F58" w:rsidRDefault="00D44F58" w:rsidP="00A93398">
            <w:pPr>
              <w:jc w:val="both"/>
              <w:rPr>
                <w:sz w:val="22"/>
                <w:lang w:val="lt-LT"/>
              </w:rPr>
            </w:pPr>
          </w:p>
        </w:tc>
        <w:tc>
          <w:tcPr>
            <w:tcW w:w="1190" w:type="dxa"/>
            <w:vMerge/>
          </w:tcPr>
          <w:p w:rsidR="00D44F58" w:rsidRDefault="00D44F58" w:rsidP="00A93398">
            <w:pPr>
              <w:jc w:val="both"/>
              <w:rPr>
                <w:sz w:val="22"/>
                <w:lang w:val="lt-LT"/>
              </w:rPr>
            </w:pPr>
          </w:p>
        </w:tc>
        <w:tc>
          <w:tcPr>
            <w:tcW w:w="1150" w:type="dxa"/>
            <w:vMerge/>
          </w:tcPr>
          <w:p w:rsidR="00D44F58" w:rsidRDefault="00D44F58" w:rsidP="00A93398">
            <w:pPr>
              <w:jc w:val="both"/>
              <w:rPr>
                <w:sz w:val="22"/>
                <w:lang w:val="lt-LT"/>
              </w:rPr>
            </w:pPr>
          </w:p>
        </w:tc>
      </w:tr>
    </w:tbl>
    <w:p w:rsidR="00D44F58" w:rsidRDefault="00D44F58" w:rsidP="00D44F58">
      <w:pPr>
        <w:jc w:val="both"/>
        <w:rPr>
          <w:sz w:val="22"/>
          <w:lang w:val="lt-LT"/>
        </w:rPr>
      </w:pPr>
    </w:p>
    <w:p w:rsidR="00D44F58" w:rsidRDefault="00D44F58" w:rsidP="00D44F58">
      <w:pPr>
        <w:pStyle w:val="BodyText"/>
        <w:jc w:val="left"/>
        <w:rPr>
          <w:b/>
        </w:rPr>
      </w:pPr>
      <w:r>
        <w:rPr>
          <w:b/>
        </w:rPr>
        <w:t>Išvados</w:t>
      </w:r>
    </w:p>
    <w:p w:rsidR="009A1E32" w:rsidRPr="00D44F58" w:rsidRDefault="00D44F58">
      <w:pPr>
        <w:rPr>
          <w:lang w:val="lt-LT"/>
        </w:rPr>
      </w:pPr>
      <w:r>
        <w:rPr>
          <w:lang w:val="lt-LT"/>
        </w:rPr>
        <w:t xml:space="preserve">Mūsų išmatuotos geltonos bangos ilgis, lygus </w:t>
      </w:r>
      <w:r w:rsidR="005B280B">
        <w:rPr>
          <w:sz w:val="22"/>
          <w:lang w:val="lt-LT"/>
        </w:rPr>
        <w:t>617 nm</w:t>
      </w:r>
      <w:r>
        <w:rPr>
          <w:lang w:val="lt-LT"/>
        </w:rPr>
        <w:t xml:space="preserve">. Teorinis geltonos šviesos bangos ilgis yra </w:t>
      </w:r>
      <w:r w:rsidR="005B280B" w:rsidRPr="005B280B">
        <w:rPr>
          <w:lang w:val="lt-LT"/>
        </w:rPr>
        <w:t>565-590 nm</w:t>
      </w:r>
      <w:r>
        <w:rPr>
          <w:lang w:val="lt-LT"/>
        </w:rPr>
        <w:t>.</w:t>
      </w:r>
      <w:r w:rsidR="005B280B">
        <w:rPr>
          <w:lang w:val="lt-LT"/>
        </w:rPr>
        <w:t xml:space="preserve"> D</w:t>
      </w:r>
      <w:r>
        <w:rPr>
          <w:lang w:val="lt-LT"/>
        </w:rPr>
        <w:t>idelė paklaida atsirado</w:t>
      </w:r>
      <w:r w:rsidR="005B280B">
        <w:rPr>
          <w:lang w:val="lt-LT"/>
        </w:rPr>
        <w:t xml:space="preserve"> greičiausiai</w:t>
      </w:r>
      <w:r>
        <w:rPr>
          <w:lang w:val="lt-LT"/>
        </w:rPr>
        <w:t xml:space="preserve"> dėl </w:t>
      </w:r>
      <w:r w:rsidR="005B280B">
        <w:rPr>
          <w:lang w:val="lt-LT"/>
        </w:rPr>
        <w:t>tam tikrų prietaiso defektų.</w:t>
      </w:r>
    </w:p>
    <w:sectPr w:rsidR="009A1E32" w:rsidRPr="00D44F58">
      <w:pgSz w:w="11906" w:h="16838" w:code="9"/>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63F1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726155F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79BA2CE6"/>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8"/>
    <w:rsid w:val="005B280B"/>
    <w:rsid w:val="009A1E32"/>
    <w:rsid w:val="00D44F58"/>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5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D44F58"/>
    <w:pPr>
      <w:keepNext/>
      <w:outlineLvl w:val="0"/>
    </w:pPr>
    <w:rPr>
      <w:b/>
      <w:szCs w:val="20"/>
      <w:lang w:val="lt-LT" w:eastAsia="lt-L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F58"/>
    <w:rPr>
      <w:rFonts w:ascii="Times New Roman" w:eastAsia="Times New Roman" w:hAnsi="Times New Roman" w:cs="Times New Roman"/>
      <w:b/>
      <w:sz w:val="24"/>
      <w:szCs w:val="20"/>
      <w:lang w:val="lt-LT" w:eastAsia="lt-LT"/>
    </w:rPr>
  </w:style>
  <w:style w:type="paragraph" w:styleId="BodyText">
    <w:name w:val="Body Text"/>
    <w:basedOn w:val="Normal"/>
    <w:link w:val="BodyTextChar"/>
    <w:rsid w:val="00D44F58"/>
    <w:pPr>
      <w:jc w:val="center"/>
    </w:pPr>
    <w:rPr>
      <w:lang w:val="lt-LT"/>
    </w:rPr>
  </w:style>
  <w:style w:type="character" w:customStyle="1" w:styleId="BodyTextChar">
    <w:name w:val="Body Text Char"/>
    <w:basedOn w:val="DefaultParagraphFont"/>
    <w:link w:val="BodyText"/>
    <w:rsid w:val="00D44F58"/>
    <w:rPr>
      <w:rFonts w:ascii="Times New Roman" w:eastAsia="Times New Roman" w:hAnsi="Times New Roman" w:cs="Times New Roman"/>
      <w:sz w:val="24"/>
      <w:szCs w:val="24"/>
      <w:lang w:val="lt-LT"/>
    </w:rPr>
  </w:style>
  <w:style w:type="paragraph" w:styleId="ListParagraph">
    <w:name w:val="List Paragraph"/>
    <w:basedOn w:val="Normal"/>
    <w:uiPriority w:val="34"/>
    <w:qFormat/>
    <w:rsid w:val="00FE5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5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D44F58"/>
    <w:pPr>
      <w:keepNext/>
      <w:outlineLvl w:val="0"/>
    </w:pPr>
    <w:rPr>
      <w:b/>
      <w:szCs w:val="20"/>
      <w:lang w:val="lt-LT" w:eastAsia="lt-L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F58"/>
    <w:rPr>
      <w:rFonts w:ascii="Times New Roman" w:eastAsia="Times New Roman" w:hAnsi="Times New Roman" w:cs="Times New Roman"/>
      <w:b/>
      <w:sz w:val="24"/>
      <w:szCs w:val="20"/>
      <w:lang w:val="lt-LT" w:eastAsia="lt-LT"/>
    </w:rPr>
  </w:style>
  <w:style w:type="paragraph" w:styleId="BodyText">
    <w:name w:val="Body Text"/>
    <w:basedOn w:val="Normal"/>
    <w:link w:val="BodyTextChar"/>
    <w:rsid w:val="00D44F58"/>
    <w:pPr>
      <w:jc w:val="center"/>
    </w:pPr>
    <w:rPr>
      <w:lang w:val="lt-LT"/>
    </w:rPr>
  </w:style>
  <w:style w:type="character" w:customStyle="1" w:styleId="BodyTextChar">
    <w:name w:val="Body Text Char"/>
    <w:basedOn w:val="DefaultParagraphFont"/>
    <w:link w:val="BodyText"/>
    <w:rsid w:val="00D44F58"/>
    <w:rPr>
      <w:rFonts w:ascii="Times New Roman" w:eastAsia="Times New Roman" w:hAnsi="Times New Roman" w:cs="Times New Roman"/>
      <w:sz w:val="24"/>
      <w:szCs w:val="24"/>
      <w:lang w:val="lt-LT"/>
    </w:rPr>
  </w:style>
  <w:style w:type="paragraph" w:styleId="ListParagraph">
    <w:name w:val="List Paragraph"/>
    <w:basedOn w:val="Normal"/>
    <w:uiPriority w:val="34"/>
    <w:qFormat/>
    <w:rsid w:val="00FE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Tautvydas</dc:creator>
  <cp:lastModifiedBy>Tautvydas</cp:lastModifiedBy>
  <cp:revision>1</cp:revision>
  <dcterms:created xsi:type="dcterms:W3CDTF">2012-12-12T19:51:00Z</dcterms:created>
  <dcterms:modified xsi:type="dcterms:W3CDTF">2012-12-12T20:31:00Z</dcterms:modified>
</cp:coreProperties>
</file>