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A76" w:rsidRDefault="005F4521" w:rsidP="007F4A76">
      <w:pPr>
        <w:pStyle w:val="Default"/>
      </w:pPr>
      <w:r>
        <w:tab/>
      </w:r>
      <w:r>
        <w:tab/>
      </w:r>
      <w:r>
        <w:tab/>
      </w:r>
    </w:p>
    <w:p w:rsidR="00C16082" w:rsidRPr="00C16082" w:rsidRDefault="007F4A76" w:rsidP="00C16082">
      <w:pPr>
        <w:pStyle w:val="Default"/>
      </w:pPr>
      <w:r>
        <w:t xml:space="preserve"> </w:t>
      </w:r>
    </w:p>
    <w:p w:rsidR="00C16082" w:rsidRPr="00C16082" w:rsidRDefault="00C16082" w:rsidP="00C16082">
      <w:pPr>
        <w:autoSpaceDE w:val="0"/>
        <w:autoSpaceDN w:val="0"/>
        <w:adjustRightInd w:val="0"/>
        <w:rPr>
          <w:rFonts w:eastAsiaTheme="minorHAnsi"/>
          <w:color w:val="000000"/>
          <w:sz w:val="24"/>
          <w:szCs w:val="24"/>
        </w:rPr>
      </w:pPr>
      <w:r w:rsidRPr="00C16082">
        <w:rPr>
          <w:rFonts w:eastAsiaTheme="minorHAnsi"/>
          <w:color w:val="000000"/>
          <w:sz w:val="24"/>
          <w:szCs w:val="24"/>
        </w:rPr>
        <w:t xml:space="preserve"> </w:t>
      </w:r>
    </w:p>
    <w:p w:rsidR="00C16082" w:rsidRPr="00C16082" w:rsidRDefault="00C16082" w:rsidP="00C16082">
      <w:pPr>
        <w:autoSpaceDE w:val="0"/>
        <w:autoSpaceDN w:val="0"/>
        <w:adjustRightInd w:val="0"/>
        <w:ind w:left="555" w:hanging="555"/>
        <w:jc w:val="center"/>
        <w:rPr>
          <w:rFonts w:eastAsiaTheme="minorHAnsi"/>
          <w:color w:val="000000"/>
          <w:sz w:val="32"/>
          <w:szCs w:val="32"/>
        </w:rPr>
      </w:pPr>
      <w:r w:rsidRPr="00C16082">
        <w:rPr>
          <w:rFonts w:eastAsiaTheme="minorHAnsi"/>
          <w:color w:val="000000"/>
          <w:sz w:val="32"/>
          <w:szCs w:val="32"/>
        </w:rPr>
        <w:t xml:space="preserve">SKYSTŲ TIRPALŲ PAVIRŠINĖS ĮTEMPTIES KOEFICIENTO PRIKLAUSOMYBĖS NUO KONCENTRACIJOS TYRIMAS </w:t>
      </w:r>
    </w:p>
    <w:p w:rsidR="007F4A76" w:rsidRDefault="005F4521" w:rsidP="007F4A76">
      <w:pPr>
        <w:pStyle w:val="Pagrindinistekstas"/>
        <w:jc w:val="both"/>
      </w:pPr>
      <w:r>
        <w:tab/>
      </w:r>
    </w:p>
    <w:p w:rsidR="005F4521" w:rsidRDefault="005F4521" w:rsidP="007F4A76">
      <w:pPr>
        <w:pStyle w:val="Pagrindinistekstas"/>
        <w:ind w:left="3888" w:firstLine="1296"/>
        <w:jc w:val="both"/>
      </w:pPr>
      <w:r>
        <w:t>Tautvydas Petkus IF-1/9</w:t>
      </w:r>
      <w:r w:rsidR="007F4A76">
        <w:tab/>
      </w:r>
      <w:r w:rsidR="007F4A76">
        <w:tab/>
      </w:r>
      <w:r w:rsidR="007F4A76">
        <w:tab/>
      </w:r>
      <w:r w:rsidR="00C16082">
        <w:t>Data: 2012-04</w:t>
      </w:r>
      <w:r>
        <w:t>-</w:t>
      </w:r>
      <w:r w:rsidR="00C16082">
        <w:t>11</w:t>
      </w:r>
    </w:p>
    <w:p w:rsidR="005F4521" w:rsidRDefault="005F4521" w:rsidP="005F4521">
      <w:pPr>
        <w:pStyle w:val="Pagrindinistekstas"/>
        <w:jc w:val="both"/>
      </w:pPr>
      <w:r>
        <w:tab/>
      </w:r>
      <w:r>
        <w:tab/>
      </w:r>
      <w:r>
        <w:tab/>
      </w:r>
      <w:r>
        <w:tab/>
        <w:t>Dėstytojas</w:t>
      </w:r>
      <w:r w:rsidRPr="005F4521">
        <w:t xml:space="preserve"> R. Naujokaitis, V. </w:t>
      </w:r>
      <w:proofErr w:type="spellStart"/>
      <w:r w:rsidRPr="005F4521">
        <w:t>Vaidelys</w:t>
      </w:r>
      <w:proofErr w:type="spellEnd"/>
    </w:p>
    <w:p w:rsidR="005F4521" w:rsidRDefault="005F4521" w:rsidP="005F4521">
      <w:pPr>
        <w:pStyle w:val="Pagrindinistekstas"/>
        <w:jc w:val="both"/>
      </w:pPr>
    </w:p>
    <w:p w:rsidR="006E7D12" w:rsidRPr="00C16082" w:rsidRDefault="005F4521" w:rsidP="00C16082">
      <w:pPr>
        <w:pStyle w:val="Default"/>
      </w:pPr>
      <w:r>
        <w:rPr>
          <w:b/>
        </w:rPr>
        <w:t xml:space="preserve">Darbo užduotis.  </w:t>
      </w:r>
      <w:r w:rsidR="006E7D12">
        <w:t xml:space="preserve"> </w:t>
      </w:r>
      <w:r w:rsidR="00C16082">
        <w:rPr>
          <w:sz w:val="23"/>
          <w:szCs w:val="23"/>
        </w:rPr>
        <w:t xml:space="preserve">Ištirti, kaip priklauso vandens paviršinės </w:t>
      </w:r>
      <w:proofErr w:type="spellStart"/>
      <w:r w:rsidR="00C16082">
        <w:rPr>
          <w:sz w:val="23"/>
          <w:szCs w:val="23"/>
        </w:rPr>
        <w:t>įtempties</w:t>
      </w:r>
      <w:proofErr w:type="spellEnd"/>
      <w:r w:rsidR="00C16082">
        <w:rPr>
          <w:sz w:val="23"/>
          <w:szCs w:val="23"/>
        </w:rPr>
        <w:t xml:space="preserve"> koeficientas nuo jame ištirpinto alkoholio koncentracijos.</w:t>
      </w:r>
    </w:p>
    <w:p w:rsidR="00C16082" w:rsidRDefault="005F4521" w:rsidP="00C16082">
      <w:pPr>
        <w:pStyle w:val="Default"/>
      </w:pPr>
      <w:r>
        <w:rPr>
          <w:b/>
        </w:rPr>
        <w:t>Teorinė dalis.</w:t>
      </w:r>
      <w:r>
        <w:t xml:space="preserve"> </w:t>
      </w:r>
    </w:p>
    <w:p w:rsidR="00C16082" w:rsidRDefault="00C16082" w:rsidP="00C16082">
      <w:pPr>
        <w:pStyle w:val="Default"/>
        <w:rPr>
          <w:sz w:val="23"/>
          <w:szCs w:val="23"/>
        </w:rPr>
      </w:pPr>
      <w:r>
        <w:t xml:space="preserve"> </w:t>
      </w:r>
      <w:r>
        <w:rPr>
          <w:sz w:val="23"/>
          <w:szCs w:val="23"/>
        </w:rPr>
        <w:t>Skysčio molekulės yra arti viena kitos, todėl tarp jų veikia gana didelės molekulinės jėgos. Didėjant atstumui, molekulinės jėgos sparčiai mažėja.</w:t>
      </w:r>
      <w:r w:rsidRPr="00C16082">
        <w:t xml:space="preserve"> </w:t>
      </w:r>
      <w:r>
        <w:rPr>
          <w:sz w:val="23"/>
          <w:szCs w:val="23"/>
        </w:rPr>
        <w:t>K</w:t>
      </w:r>
      <w:r w:rsidRPr="00C16082">
        <w:rPr>
          <w:sz w:val="23"/>
          <w:szCs w:val="23"/>
        </w:rPr>
        <w:t xml:space="preserve">iekviena skysčio molekulė, pereidama iš skysčio gilumos į jo paviršių, atlieka darbą. Šį darbą atlikti gali tik molekulė, turinti pakankamą kinetinės energijos kiekį. Atlikto darbo didumu padidėja molekulės potencinė energija. Todėl kiekviena paviršinio skysčio sluoksnio molekulė, giluminių atžvilgiu, turi potencinės energijos </w:t>
      </w:r>
      <w:r w:rsidRPr="00C16082">
        <w:rPr>
          <w:i/>
          <w:iCs/>
          <w:sz w:val="23"/>
          <w:szCs w:val="23"/>
        </w:rPr>
        <w:t>perteklių</w:t>
      </w:r>
      <w:r w:rsidRPr="00C16082">
        <w:rPr>
          <w:sz w:val="23"/>
          <w:szCs w:val="23"/>
        </w:rPr>
        <w:t xml:space="preserve">. Šią paviršinio sluoksnio perteklinę energiją </w:t>
      </w:r>
      <w:r w:rsidRPr="00C16082">
        <w:rPr>
          <w:i/>
          <w:iCs/>
          <w:sz w:val="23"/>
          <w:szCs w:val="23"/>
        </w:rPr>
        <w:t>W</w:t>
      </w:r>
      <w:r w:rsidRPr="00C16082">
        <w:rPr>
          <w:i/>
          <w:iCs/>
          <w:position w:val="-10"/>
          <w:sz w:val="23"/>
          <w:szCs w:val="23"/>
          <w:vertAlign w:val="subscript"/>
        </w:rPr>
        <w:t xml:space="preserve">p </w:t>
      </w:r>
      <w:r w:rsidRPr="00C16082">
        <w:rPr>
          <w:sz w:val="23"/>
          <w:szCs w:val="23"/>
        </w:rPr>
        <w:t xml:space="preserve">vadiname </w:t>
      </w:r>
      <w:r w:rsidRPr="00C16082">
        <w:rPr>
          <w:i/>
          <w:iCs/>
          <w:sz w:val="23"/>
          <w:szCs w:val="23"/>
        </w:rPr>
        <w:t>paviršine</w:t>
      </w:r>
      <w:r w:rsidRPr="00C16082">
        <w:rPr>
          <w:sz w:val="23"/>
          <w:szCs w:val="23"/>
        </w:rPr>
        <w:t xml:space="preserve">. Ji tiesiog proporcinga skysčio paviršiaus plotui </w:t>
      </w:r>
      <w:r w:rsidRPr="00C16082">
        <w:rPr>
          <w:i/>
          <w:iCs/>
          <w:sz w:val="23"/>
          <w:szCs w:val="23"/>
        </w:rPr>
        <w:t>S</w:t>
      </w:r>
      <w:r w:rsidRPr="00C16082">
        <w:rPr>
          <w:sz w:val="23"/>
          <w:szCs w:val="23"/>
        </w:rPr>
        <w:t xml:space="preserve">, t.y. </w:t>
      </w:r>
    </w:p>
    <w:p w:rsidR="00C16082" w:rsidRDefault="00C16082" w:rsidP="00C16082">
      <w:pPr>
        <w:pStyle w:val="Default"/>
        <w:rPr>
          <w:sz w:val="23"/>
          <w:szCs w:val="23"/>
        </w:rPr>
      </w:pPr>
      <w:r>
        <w:t xml:space="preserve"> </w:t>
      </w:r>
      <w:proofErr w:type="spellStart"/>
      <w:r>
        <w:rPr>
          <w:i/>
          <w:iCs/>
          <w:sz w:val="23"/>
          <w:szCs w:val="23"/>
        </w:rPr>
        <w:t>W</w:t>
      </w:r>
      <w:r>
        <w:rPr>
          <w:i/>
          <w:iCs/>
          <w:sz w:val="17"/>
          <w:szCs w:val="17"/>
        </w:rPr>
        <w:t>p=</w:t>
      </w:r>
      <w:r>
        <w:rPr>
          <w:sz w:val="23"/>
          <w:szCs w:val="23"/>
        </w:rPr>
        <w:t>σS</w:t>
      </w:r>
      <w:proofErr w:type="spellEnd"/>
    </w:p>
    <w:p w:rsidR="00C16082" w:rsidRDefault="00C16082" w:rsidP="00C16082">
      <w:pPr>
        <w:pStyle w:val="Default"/>
        <w:rPr>
          <w:sz w:val="23"/>
          <w:szCs w:val="23"/>
        </w:rPr>
      </w:pPr>
      <w:r w:rsidRPr="00C16082">
        <w:rPr>
          <w:sz w:val="23"/>
          <w:szCs w:val="23"/>
        </w:rPr>
        <w:t xml:space="preserve">Dydis </w:t>
      </w:r>
      <w:r>
        <w:rPr>
          <w:sz w:val="23"/>
          <w:szCs w:val="23"/>
        </w:rPr>
        <w:t xml:space="preserve">  </w:t>
      </w:r>
      <w:r w:rsidRPr="00C16082">
        <w:rPr>
          <w:sz w:val="23"/>
          <w:szCs w:val="23"/>
        </w:rPr>
        <w:t>σ</w:t>
      </w:r>
      <w:r>
        <w:rPr>
          <w:sz w:val="23"/>
          <w:szCs w:val="23"/>
        </w:rPr>
        <w:t xml:space="preserve">  = </w:t>
      </w:r>
      <w:proofErr w:type="spellStart"/>
      <w:r w:rsidRPr="00C16082">
        <w:rPr>
          <w:i/>
          <w:iCs/>
          <w:sz w:val="23"/>
          <w:szCs w:val="23"/>
        </w:rPr>
        <w:t>W</w:t>
      </w:r>
      <w:r w:rsidRPr="00C16082">
        <w:rPr>
          <w:i/>
          <w:iCs/>
          <w:sz w:val="18"/>
          <w:szCs w:val="18"/>
        </w:rPr>
        <w:t>p</w:t>
      </w:r>
      <w:proofErr w:type="spellEnd"/>
      <w:r w:rsidRPr="00C16082">
        <w:rPr>
          <w:i/>
          <w:iCs/>
          <w:sz w:val="18"/>
          <w:szCs w:val="18"/>
        </w:rPr>
        <w:t xml:space="preserve"> / S</w:t>
      </w:r>
      <w:r>
        <w:rPr>
          <w:i/>
          <w:iCs/>
          <w:sz w:val="18"/>
          <w:szCs w:val="18"/>
        </w:rPr>
        <w:t xml:space="preserve">    (J/m²)    </w:t>
      </w:r>
      <w:r w:rsidRPr="00C16082">
        <w:rPr>
          <w:sz w:val="23"/>
          <w:szCs w:val="23"/>
        </w:rPr>
        <w:t xml:space="preserve">vadinamas </w:t>
      </w:r>
      <w:r w:rsidRPr="00C16082">
        <w:rPr>
          <w:i/>
          <w:iCs/>
          <w:sz w:val="23"/>
          <w:szCs w:val="23"/>
        </w:rPr>
        <w:t xml:space="preserve">paviršinės </w:t>
      </w:r>
      <w:proofErr w:type="spellStart"/>
      <w:r w:rsidRPr="00C16082">
        <w:rPr>
          <w:i/>
          <w:iCs/>
          <w:sz w:val="23"/>
          <w:szCs w:val="23"/>
        </w:rPr>
        <w:t>įtempties</w:t>
      </w:r>
      <w:proofErr w:type="spellEnd"/>
      <w:r w:rsidRPr="00C16082">
        <w:rPr>
          <w:i/>
          <w:iCs/>
          <w:sz w:val="23"/>
          <w:szCs w:val="23"/>
        </w:rPr>
        <w:t xml:space="preserve"> koeficientu</w:t>
      </w:r>
      <w:r w:rsidRPr="00C16082">
        <w:rPr>
          <w:sz w:val="23"/>
          <w:szCs w:val="23"/>
        </w:rPr>
        <w:t xml:space="preserve">. Jis skaitine verte lygus </w:t>
      </w:r>
      <w:r w:rsidRPr="00C16082">
        <w:rPr>
          <w:i/>
          <w:iCs/>
          <w:sz w:val="23"/>
          <w:szCs w:val="23"/>
        </w:rPr>
        <w:t xml:space="preserve">paviršiaus ploto vieneto paviršinei energijai </w:t>
      </w:r>
      <w:r w:rsidRPr="00C16082">
        <w:rPr>
          <w:sz w:val="23"/>
          <w:szCs w:val="23"/>
        </w:rPr>
        <w:t>ir priklauso nuo skysčio prigimties, temperatūros bei ištirpintų medžiagų.</w:t>
      </w:r>
    </w:p>
    <w:p w:rsidR="00C16082" w:rsidRDefault="00C16082" w:rsidP="00C16082">
      <w:pPr>
        <w:pStyle w:val="Default"/>
        <w:rPr>
          <w:sz w:val="23"/>
          <w:szCs w:val="23"/>
        </w:rPr>
      </w:pPr>
      <w:proofErr w:type="spellStart"/>
      <w:r>
        <w:rPr>
          <w:sz w:val="23"/>
          <w:szCs w:val="23"/>
        </w:rPr>
        <w:t>Laplasas</w:t>
      </w:r>
      <w:proofErr w:type="spellEnd"/>
      <w:r>
        <w:rPr>
          <w:sz w:val="23"/>
          <w:szCs w:val="23"/>
        </w:rPr>
        <w:t xml:space="preserve"> įrodė, kad, dėl skysčio paviršinės </w:t>
      </w:r>
      <w:proofErr w:type="spellStart"/>
      <w:r>
        <w:rPr>
          <w:sz w:val="23"/>
          <w:szCs w:val="23"/>
        </w:rPr>
        <w:t>įtempties</w:t>
      </w:r>
      <w:proofErr w:type="spellEnd"/>
      <w:r>
        <w:rPr>
          <w:sz w:val="23"/>
          <w:szCs w:val="23"/>
        </w:rPr>
        <w:t xml:space="preserve"> jėgų kreivas skysčio paviršiaus sluoksnis, plokščiojo atžvilgiu, skystį veikia papildomu slėgiu </w:t>
      </w:r>
      <w:proofErr w:type="spellStart"/>
      <w:r>
        <w:rPr>
          <w:sz w:val="23"/>
          <w:szCs w:val="23"/>
        </w:rPr>
        <w:t>Δ</w:t>
      </w:r>
      <w:r>
        <w:rPr>
          <w:i/>
          <w:iCs/>
          <w:sz w:val="23"/>
          <w:szCs w:val="23"/>
        </w:rPr>
        <w:t>p</w:t>
      </w:r>
      <w:proofErr w:type="spellEnd"/>
      <w:r>
        <w:rPr>
          <w:sz w:val="23"/>
          <w:szCs w:val="23"/>
        </w:rPr>
        <w:t xml:space="preserve">, kuris nukreiptas </w:t>
      </w:r>
      <w:r>
        <w:rPr>
          <w:i/>
          <w:iCs/>
          <w:sz w:val="23"/>
          <w:szCs w:val="23"/>
        </w:rPr>
        <w:t>paviršiaus kreivumo centro link</w:t>
      </w:r>
      <w:r>
        <w:rPr>
          <w:sz w:val="23"/>
          <w:szCs w:val="23"/>
        </w:rPr>
        <w:t xml:space="preserve">. Pagal </w:t>
      </w:r>
      <w:proofErr w:type="spellStart"/>
      <w:r>
        <w:rPr>
          <w:sz w:val="23"/>
          <w:szCs w:val="23"/>
        </w:rPr>
        <w:t>Laplasą</w:t>
      </w:r>
      <w:proofErr w:type="spellEnd"/>
      <w:r>
        <w:rPr>
          <w:sz w:val="23"/>
          <w:szCs w:val="23"/>
        </w:rPr>
        <w:t xml:space="preserve">, spindulio </w:t>
      </w:r>
      <w:r>
        <w:rPr>
          <w:i/>
          <w:iCs/>
          <w:sz w:val="23"/>
          <w:szCs w:val="23"/>
        </w:rPr>
        <w:t xml:space="preserve">R </w:t>
      </w:r>
      <w:r>
        <w:rPr>
          <w:sz w:val="23"/>
          <w:szCs w:val="23"/>
        </w:rPr>
        <w:t>skysčio sferinio paviršiaus papildomas slėgis išreiškiamas taip:</w:t>
      </w:r>
    </w:p>
    <w:p w:rsidR="00C16082" w:rsidRDefault="00C16082" w:rsidP="00C16082">
      <w:pPr>
        <w:pStyle w:val="Default"/>
        <w:rPr>
          <w:i/>
          <w:sz w:val="23"/>
          <w:szCs w:val="23"/>
        </w:rPr>
      </w:pPr>
      <w:proofErr w:type="spellStart"/>
      <w:r w:rsidRPr="00C16082">
        <w:rPr>
          <w:rFonts w:cs="Symbol"/>
          <w:i/>
          <w:sz w:val="23"/>
          <w:szCs w:val="23"/>
        </w:rPr>
        <w:t>Δ</w:t>
      </w:r>
      <w:r w:rsidRPr="00C16082">
        <w:rPr>
          <w:i/>
          <w:sz w:val="23"/>
          <w:szCs w:val="23"/>
        </w:rPr>
        <w:t>p</w:t>
      </w:r>
      <w:proofErr w:type="spellEnd"/>
      <w:r w:rsidRPr="00C16082">
        <w:rPr>
          <w:i/>
          <w:sz w:val="23"/>
          <w:szCs w:val="23"/>
        </w:rPr>
        <w:t xml:space="preserve"> =2σ</w:t>
      </w:r>
      <w:r>
        <w:rPr>
          <w:i/>
          <w:sz w:val="23"/>
          <w:szCs w:val="23"/>
        </w:rPr>
        <w:t>/R</w:t>
      </w:r>
    </w:p>
    <w:p w:rsidR="00C16082" w:rsidRPr="004F6A04" w:rsidRDefault="004F6A04" w:rsidP="00C16082">
      <w:pPr>
        <w:pStyle w:val="Default"/>
        <w:rPr>
          <w:sz w:val="23"/>
          <w:szCs w:val="23"/>
        </w:rPr>
      </w:pPr>
      <w:r>
        <w:rPr>
          <w:sz w:val="23"/>
          <w:szCs w:val="23"/>
        </w:rPr>
        <w:t xml:space="preserve">Papildomas slėgis labai svarbus kapiliariniams reiškiniams. Skysčiui kapiliarą drėkinant, susidaro įgaubtas meniskas, ir po juo slėgis dydžiu </w:t>
      </w:r>
      <w:proofErr w:type="spellStart"/>
      <w:r w:rsidRPr="00C16082">
        <w:rPr>
          <w:rFonts w:cs="Symbol"/>
          <w:i/>
          <w:sz w:val="23"/>
          <w:szCs w:val="23"/>
        </w:rPr>
        <w:t>Δ</w:t>
      </w:r>
      <w:r w:rsidRPr="00C16082">
        <w:rPr>
          <w:i/>
          <w:sz w:val="23"/>
          <w:szCs w:val="23"/>
        </w:rPr>
        <w:t>p</w:t>
      </w:r>
      <w:proofErr w:type="spellEnd"/>
      <w:r>
        <w:rPr>
          <w:sz w:val="23"/>
          <w:szCs w:val="23"/>
        </w:rPr>
        <w:t xml:space="preserve"> sumažėja.</w:t>
      </w:r>
    </w:p>
    <w:p w:rsidR="00AF5C86" w:rsidRDefault="00C16082" w:rsidP="00C16082">
      <w:pPr>
        <w:pStyle w:val="Default"/>
      </w:pPr>
      <w:r>
        <w:rPr>
          <w:sz w:val="23"/>
          <w:szCs w:val="23"/>
        </w:rPr>
        <w:t xml:space="preserve"> </w:t>
      </w:r>
      <w:r w:rsidR="005F4521">
        <w:rPr>
          <w:b/>
        </w:rPr>
        <w:t>Aparatūra ir darbo metodas.</w:t>
      </w:r>
      <w:r w:rsidR="005F4521">
        <w:t xml:space="preserve"> </w:t>
      </w:r>
    </w:p>
    <w:p w:rsidR="003227EC" w:rsidRDefault="00AF5C86" w:rsidP="004F6A04">
      <w:pPr>
        <w:pStyle w:val="Pagrindinistekstas"/>
        <w:jc w:val="both"/>
        <w:rPr>
          <w:i/>
          <w:color w:val="000000"/>
          <w:sz w:val="23"/>
          <w:szCs w:val="23"/>
        </w:rPr>
      </w:pPr>
      <w:r>
        <w:t xml:space="preserve"> </w:t>
      </w:r>
      <w:r w:rsidR="004F6A04">
        <w:rPr>
          <w:color w:val="000000"/>
          <w:sz w:val="23"/>
          <w:szCs w:val="23"/>
        </w:rPr>
        <w:t>Į inde įpiltą tiriamąjį skystį įleidus kapiliarą, guminiu vamzdeliu sujungtą su manometru, drėkinantis skystis kapiliaru pakyla aukštyn. Į vandenį panardinus gaubtą, susidaro slėgis, kuris veikia kapiliarą ir skysčio manometrą. Kai kapiliaro galas yra skysčio paviršiniame sluoksnyje, šį slėgį didiname, nardindami gaubtą tol, kol pasirodo burbuliukai, priešingu atveju gaubtą nardiname tol, kol meniskas kapiliare nuslūgsta iki skysčio paviršiaus lygio inde 1. Taip susidaręs slėgis išmatuojamas manometru ir išreiškiamas taip:</w:t>
      </w:r>
      <w:r w:rsidR="004F6A04" w:rsidRPr="004F6A04">
        <w:rPr>
          <w:i/>
          <w:color w:val="000000"/>
          <w:sz w:val="23"/>
          <w:szCs w:val="23"/>
        </w:rPr>
        <w:t xml:space="preserve"> </w:t>
      </w:r>
      <w:r w:rsidR="004F6A04" w:rsidRPr="004F6A04">
        <w:rPr>
          <w:i/>
          <w:iCs/>
          <w:color w:val="000000"/>
          <w:sz w:val="23"/>
          <w:szCs w:val="23"/>
        </w:rPr>
        <w:t>p=</w:t>
      </w:r>
      <w:r w:rsidR="004F6A04" w:rsidRPr="004F6A04">
        <w:rPr>
          <w:i/>
          <w:color w:val="000000"/>
          <w:sz w:val="23"/>
          <w:szCs w:val="23"/>
        </w:rPr>
        <w:t>ρ1 * g * h1</w:t>
      </w:r>
    </w:p>
    <w:p w:rsidR="004F6A04" w:rsidRDefault="004F6A04" w:rsidP="004F6A04">
      <w:pPr>
        <w:autoSpaceDE w:val="0"/>
        <w:autoSpaceDN w:val="0"/>
        <w:adjustRightInd w:val="0"/>
        <w:jc w:val="both"/>
        <w:rPr>
          <w:sz w:val="23"/>
          <w:szCs w:val="23"/>
        </w:rPr>
      </w:pPr>
      <w:r w:rsidRPr="004F6A04">
        <w:rPr>
          <w:rFonts w:eastAsiaTheme="minorHAnsi"/>
          <w:color w:val="000000"/>
          <w:sz w:val="23"/>
          <w:szCs w:val="23"/>
        </w:rPr>
        <w:t>čia ρ</w:t>
      </w:r>
      <w:r w:rsidRPr="004F6A04">
        <w:rPr>
          <w:rFonts w:eastAsiaTheme="minorHAnsi"/>
          <w:color w:val="000000"/>
          <w:position w:val="-10"/>
          <w:sz w:val="23"/>
          <w:szCs w:val="23"/>
          <w:vertAlign w:val="subscript"/>
        </w:rPr>
        <w:t xml:space="preserve">1 </w:t>
      </w:r>
      <w:r w:rsidRPr="004F6A04">
        <w:rPr>
          <w:rFonts w:eastAsiaTheme="minorHAnsi"/>
          <w:color w:val="000000"/>
          <w:sz w:val="23"/>
          <w:szCs w:val="23"/>
        </w:rPr>
        <w:t xml:space="preserve">– </w:t>
      </w:r>
      <w:proofErr w:type="spellStart"/>
      <w:r w:rsidRPr="004F6A04">
        <w:rPr>
          <w:rFonts w:eastAsiaTheme="minorHAnsi"/>
          <w:color w:val="000000"/>
          <w:sz w:val="23"/>
          <w:szCs w:val="23"/>
        </w:rPr>
        <w:t>manometrinio</w:t>
      </w:r>
      <w:proofErr w:type="spellEnd"/>
      <w:r w:rsidRPr="004F6A04">
        <w:rPr>
          <w:rFonts w:eastAsiaTheme="minorHAnsi"/>
          <w:color w:val="000000"/>
          <w:sz w:val="23"/>
          <w:szCs w:val="23"/>
        </w:rPr>
        <w:t xml:space="preserve"> skysčio tankis ir </w:t>
      </w:r>
      <w:r w:rsidRPr="004F6A04">
        <w:rPr>
          <w:rFonts w:eastAsiaTheme="minorHAnsi"/>
          <w:i/>
          <w:iCs/>
          <w:color w:val="000000"/>
          <w:sz w:val="23"/>
          <w:szCs w:val="23"/>
        </w:rPr>
        <w:t>h</w:t>
      </w:r>
      <w:r w:rsidRPr="004F6A04">
        <w:rPr>
          <w:rFonts w:eastAsiaTheme="minorHAnsi"/>
          <w:color w:val="000000"/>
          <w:position w:val="-10"/>
          <w:sz w:val="23"/>
          <w:szCs w:val="23"/>
          <w:vertAlign w:val="subscript"/>
        </w:rPr>
        <w:t xml:space="preserve">1 </w:t>
      </w:r>
      <w:r w:rsidRPr="004F6A04">
        <w:rPr>
          <w:rFonts w:eastAsiaTheme="minorHAnsi"/>
          <w:color w:val="000000"/>
          <w:sz w:val="23"/>
          <w:szCs w:val="23"/>
        </w:rPr>
        <w:t xml:space="preserve">– skysčio lygių manometro šakose skirtumas. Šis slėgis kompensuoja kapiliare susidariusį </w:t>
      </w:r>
      <w:proofErr w:type="spellStart"/>
      <w:r w:rsidRPr="004F6A04">
        <w:rPr>
          <w:rFonts w:eastAsiaTheme="minorHAnsi"/>
          <w:color w:val="000000"/>
          <w:sz w:val="23"/>
          <w:szCs w:val="23"/>
        </w:rPr>
        <w:t>Laplaso</w:t>
      </w:r>
      <w:proofErr w:type="spellEnd"/>
      <w:r w:rsidRPr="004F6A04">
        <w:rPr>
          <w:rFonts w:eastAsiaTheme="minorHAnsi"/>
          <w:color w:val="000000"/>
          <w:sz w:val="23"/>
          <w:szCs w:val="23"/>
        </w:rPr>
        <w:t xml:space="preserve"> slėgį</w:t>
      </w:r>
      <w:r>
        <w:rPr>
          <w:rFonts w:eastAsiaTheme="minorHAnsi"/>
          <w:color w:val="000000"/>
          <w:sz w:val="23"/>
          <w:szCs w:val="23"/>
        </w:rPr>
        <w:t>.</w:t>
      </w:r>
      <w:r w:rsidR="001F28F5">
        <w:rPr>
          <w:rFonts w:eastAsiaTheme="minorHAnsi"/>
          <w:color w:val="000000"/>
          <w:sz w:val="23"/>
          <w:szCs w:val="23"/>
        </w:rPr>
        <w:t xml:space="preserve"> </w:t>
      </w:r>
      <w:r w:rsidR="001F28F5" w:rsidRPr="001F28F5">
        <w:rPr>
          <w:i/>
          <w:color w:val="000000"/>
          <w:sz w:val="23"/>
          <w:szCs w:val="23"/>
        </w:rPr>
        <w:t xml:space="preserve">ρ1 * g * h1 = </w:t>
      </w:r>
      <w:r w:rsidR="001F28F5" w:rsidRPr="001F28F5">
        <w:rPr>
          <w:i/>
          <w:sz w:val="23"/>
          <w:szCs w:val="23"/>
        </w:rPr>
        <w:t>2</w:t>
      </w:r>
      <w:r w:rsidR="001F28F5" w:rsidRPr="001F28F5">
        <w:rPr>
          <w:i/>
          <w:color w:val="000000"/>
          <w:sz w:val="23"/>
          <w:szCs w:val="23"/>
        </w:rPr>
        <w:t>σ</w:t>
      </w:r>
      <w:r w:rsidR="001F28F5" w:rsidRPr="001F28F5">
        <w:rPr>
          <w:i/>
          <w:sz w:val="23"/>
          <w:szCs w:val="23"/>
        </w:rPr>
        <w:t>/h</w:t>
      </w:r>
      <w:r w:rsidR="001F28F5">
        <w:rPr>
          <w:i/>
          <w:sz w:val="23"/>
          <w:szCs w:val="23"/>
        </w:rPr>
        <w:t xml:space="preserve">. </w:t>
      </w:r>
      <w:r w:rsidR="001F28F5">
        <w:rPr>
          <w:sz w:val="23"/>
          <w:szCs w:val="23"/>
        </w:rPr>
        <w:t>Iš čia išplaukia:</w:t>
      </w:r>
    </w:p>
    <w:p w:rsidR="001F28F5" w:rsidRPr="001F28F5" w:rsidRDefault="001F28F5" w:rsidP="004F6A04">
      <w:pPr>
        <w:autoSpaceDE w:val="0"/>
        <w:autoSpaceDN w:val="0"/>
        <w:adjustRightInd w:val="0"/>
        <w:jc w:val="both"/>
        <w:rPr>
          <w:rFonts w:eastAsiaTheme="minorHAnsi"/>
          <w:color w:val="000000"/>
          <w:sz w:val="23"/>
          <w:szCs w:val="23"/>
          <w:lang w:val="en-US"/>
        </w:rPr>
      </w:pPr>
      <w:r w:rsidRPr="001F28F5">
        <w:rPr>
          <w:i/>
          <w:color w:val="000000"/>
          <w:sz w:val="23"/>
          <w:szCs w:val="23"/>
        </w:rPr>
        <w:t>σ</w:t>
      </w:r>
      <w:r>
        <w:rPr>
          <w:i/>
          <w:color w:val="000000"/>
          <w:sz w:val="23"/>
          <w:szCs w:val="23"/>
          <w:lang w:val="en-US"/>
        </w:rPr>
        <w:t>=0.5</w:t>
      </w:r>
      <w:r w:rsidRPr="001F28F5">
        <w:rPr>
          <w:i/>
          <w:color w:val="000000"/>
          <w:sz w:val="23"/>
          <w:szCs w:val="23"/>
        </w:rPr>
        <w:t xml:space="preserve"> ρ1</w:t>
      </w:r>
      <w:r>
        <w:rPr>
          <w:i/>
          <w:color w:val="000000"/>
          <w:sz w:val="23"/>
          <w:szCs w:val="23"/>
        </w:rPr>
        <w:t>*g*h1*r</w:t>
      </w:r>
    </w:p>
    <w:p w:rsidR="006E7D12" w:rsidRPr="006E7D12" w:rsidRDefault="006E7D12" w:rsidP="003227EC">
      <w:pPr>
        <w:autoSpaceDE w:val="0"/>
        <w:autoSpaceDN w:val="0"/>
        <w:adjustRightInd w:val="0"/>
        <w:jc w:val="both"/>
        <w:rPr>
          <w:rFonts w:eastAsiaTheme="minorHAnsi"/>
          <w:color w:val="000000"/>
          <w:sz w:val="23"/>
          <w:szCs w:val="23"/>
        </w:rPr>
      </w:pPr>
      <w:r w:rsidRPr="006E7D12">
        <w:rPr>
          <w:rFonts w:eastAsiaTheme="minorHAnsi"/>
          <w:color w:val="000000"/>
          <w:sz w:val="23"/>
          <w:szCs w:val="23"/>
        </w:rPr>
        <w:t xml:space="preserve">Tyrimo rezultatus surašome į lentelę. </w:t>
      </w:r>
    </w:p>
    <w:p w:rsidR="0061421A" w:rsidRDefault="005F4521" w:rsidP="0061421A">
      <w:pPr>
        <w:pStyle w:val="Pagrindinistekstas"/>
        <w:jc w:val="both"/>
      </w:pPr>
      <w:r>
        <w:rPr>
          <w:b/>
        </w:rPr>
        <w:t>Darbo rezultatai.</w:t>
      </w:r>
    </w:p>
    <w:tbl>
      <w:tblPr>
        <w:tblStyle w:val="Lentelstinklelis"/>
        <w:tblW w:w="0" w:type="auto"/>
        <w:tblLook w:val="04A0"/>
      </w:tblPr>
      <w:tblGrid>
        <w:gridCol w:w="1231"/>
        <w:gridCol w:w="1231"/>
        <w:gridCol w:w="1232"/>
        <w:gridCol w:w="1232"/>
        <w:gridCol w:w="1232"/>
        <w:gridCol w:w="1232"/>
        <w:gridCol w:w="1232"/>
        <w:gridCol w:w="1232"/>
      </w:tblGrid>
      <w:tr w:rsidR="001F28F5" w:rsidTr="001F28F5">
        <w:tc>
          <w:tcPr>
            <w:tcW w:w="2462" w:type="dxa"/>
            <w:gridSpan w:val="2"/>
            <w:tcBorders>
              <w:bottom w:val="single" w:sz="24" w:space="0" w:color="000000" w:themeColor="text1"/>
            </w:tcBorders>
          </w:tcPr>
          <w:p w:rsidR="001F28F5" w:rsidRPr="001F28F5" w:rsidRDefault="001F28F5" w:rsidP="00186DDE">
            <w:pPr>
              <w:rPr>
                <w:i/>
                <w:sz w:val="24"/>
              </w:rPr>
            </w:pPr>
            <w:r w:rsidRPr="001F28F5">
              <w:rPr>
                <w:i/>
                <w:color w:val="000000"/>
                <w:sz w:val="23"/>
                <w:szCs w:val="23"/>
              </w:rPr>
              <w:t>ρ = 997,80 kg/m³</w:t>
            </w:r>
          </w:p>
        </w:tc>
        <w:tc>
          <w:tcPr>
            <w:tcW w:w="2464" w:type="dxa"/>
            <w:gridSpan w:val="2"/>
            <w:tcBorders>
              <w:bottom w:val="single" w:sz="24" w:space="0" w:color="000000" w:themeColor="text1"/>
            </w:tcBorders>
          </w:tcPr>
          <w:p w:rsidR="001F28F5" w:rsidRPr="001F28F5" w:rsidRDefault="001F28F5" w:rsidP="00186DDE">
            <w:pPr>
              <w:rPr>
                <w:i/>
                <w:sz w:val="24"/>
              </w:rPr>
            </w:pPr>
            <w:r w:rsidRPr="001F28F5">
              <w:rPr>
                <w:i/>
                <w:sz w:val="24"/>
              </w:rPr>
              <w:t>R = 0.30mm</w:t>
            </w:r>
          </w:p>
        </w:tc>
        <w:tc>
          <w:tcPr>
            <w:tcW w:w="4928" w:type="dxa"/>
            <w:gridSpan w:val="4"/>
            <w:tcBorders>
              <w:bottom w:val="single" w:sz="24" w:space="0" w:color="000000" w:themeColor="text1"/>
            </w:tcBorders>
          </w:tcPr>
          <w:p w:rsidR="001F28F5" w:rsidRPr="001F28F5" w:rsidRDefault="001F28F5" w:rsidP="00186DDE">
            <w:pPr>
              <w:rPr>
                <w:i/>
                <w:sz w:val="24"/>
              </w:rPr>
            </w:pPr>
            <w:r w:rsidRPr="001F28F5">
              <w:rPr>
                <w:rFonts w:cs="Symbol"/>
                <w:i/>
                <w:color w:val="000000"/>
                <w:sz w:val="23"/>
                <w:szCs w:val="23"/>
              </w:rPr>
              <w:t>ΔR = +-0.01mm</w:t>
            </w:r>
          </w:p>
        </w:tc>
      </w:tr>
      <w:tr w:rsidR="001F28F5" w:rsidTr="0011449C">
        <w:tc>
          <w:tcPr>
            <w:tcW w:w="1231" w:type="dxa"/>
            <w:tcBorders>
              <w:top w:val="single" w:sz="24" w:space="0" w:color="000000" w:themeColor="text1"/>
              <w:right w:val="single" w:sz="24" w:space="0" w:color="000000" w:themeColor="text1"/>
            </w:tcBorders>
          </w:tcPr>
          <w:p w:rsidR="001F28F5" w:rsidRPr="001F28F5" w:rsidRDefault="001F28F5" w:rsidP="001F28F5">
            <w:pPr>
              <w:spacing w:before="60" w:after="40"/>
              <w:rPr>
                <w:color w:val="000000"/>
              </w:rPr>
            </w:pPr>
            <w:r>
              <w:rPr>
                <w:i/>
                <w:iCs/>
                <w:color w:val="000000"/>
              </w:rPr>
              <w:t>z</w:t>
            </w:r>
            <w:r>
              <w:rPr>
                <w:color w:val="000000"/>
              </w:rPr>
              <w:t xml:space="preserve">, % </w:t>
            </w:r>
          </w:p>
        </w:tc>
        <w:tc>
          <w:tcPr>
            <w:tcW w:w="1231" w:type="dxa"/>
            <w:tcBorders>
              <w:top w:val="single" w:sz="24" w:space="0" w:color="000000" w:themeColor="text1"/>
              <w:left w:val="single" w:sz="24" w:space="0" w:color="000000" w:themeColor="text1"/>
              <w:bottom w:val="single" w:sz="24" w:space="0" w:color="000000" w:themeColor="text1"/>
            </w:tcBorders>
          </w:tcPr>
          <w:p w:rsidR="001F28F5" w:rsidRPr="001F28F5" w:rsidRDefault="001F28F5" w:rsidP="00186DDE">
            <w:pPr>
              <w:rPr>
                <w:i/>
                <w:sz w:val="24"/>
              </w:rPr>
            </w:pPr>
            <w:r w:rsidRPr="001F28F5">
              <w:rPr>
                <w:i/>
                <w:sz w:val="24"/>
              </w:rPr>
              <w:t>0</w:t>
            </w:r>
          </w:p>
        </w:tc>
        <w:tc>
          <w:tcPr>
            <w:tcW w:w="1232" w:type="dxa"/>
            <w:tcBorders>
              <w:top w:val="single" w:sz="24" w:space="0" w:color="000000" w:themeColor="text1"/>
              <w:bottom w:val="single" w:sz="24" w:space="0" w:color="000000" w:themeColor="text1"/>
            </w:tcBorders>
          </w:tcPr>
          <w:p w:rsidR="001F28F5" w:rsidRPr="001F28F5" w:rsidRDefault="001F28F5" w:rsidP="00186DDE">
            <w:pPr>
              <w:rPr>
                <w:i/>
                <w:sz w:val="24"/>
              </w:rPr>
            </w:pPr>
            <w:r w:rsidRPr="001F28F5">
              <w:rPr>
                <w:i/>
                <w:sz w:val="24"/>
              </w:rPr>
              <w:t>10</w:t>
            </w:r>
          </w:p>
        </w:tc>
        <w:tc>
          <w:tcPr>
            <w:tcW w:w="1232" w:type="dxa"/>
            <w:tcBorders>
              <w:top w:val="single" w:sz="24" w:space="0" w:color="000000" w:themeColor="text1"/>
              <w:bottom w:val="single" w:sz="24" w:space="0" w:color="000000" w:themeColor="text1"/>
            </w:tcBorders>
          </w:tcPr>
          <w:p w:rsidR="001F28F5" w:rsidRPr="001F28F5" w:rsidRDefault="001F28F5" w:rsidP="00186DDE">
            <w:pPr>
              <w:rPr>
                <w:i/>
                <w:sz w:val="24"/>
              </w:rPr>
            </w:pPr>
            <w:r w:rsidRPr="001F28F5">
              <w:rPr>
                <w:i/>
                <w:sz w:val="24"/>
              </w:rPr>
              <w:t>20</w:t>
            </w:r>
          </w:p>
        </w:tc>
        <w:tc>
          <w:tcPr>
            <w:tcW w:w="1232" w:type="dxa"/>
            <w:tcBorders>
              <w:top w:val="single" w:sz="24" w:space="0" w:color="000000" w:themeColor="text1"/>
              <w:bottom w:val="single" w:sz="24" w:space="0" w:color="000000" w:themeColor="text1"/>
            </w:tcBorders>
          </w:tcPr>
          <w:p w:rsidR="001F28F5" w:rsidRPr="001F28F5" w:rsidRDefault="001F28F5" w:rsidP="00186DDE">
            <w:pPr>
              <w:rPr>
                <w:i/>
                <w:sz w:val="24"/>
              </w:rPr>
            </w:pPr>
            <w:r w:rsidRPr="001F28F5">
              <w:rPr>
                <w:i/>
                <w:sz w:val="24"/>
              </w:rPr>
              <w:t>40</w:t>
            </w:r>
          </w:p>
        </w:tc>
        <w:tc>
          <w:tcPr>
            <w:tcW w:w="1232" w:type="dxa"/>
            <w:tcBorders>
              <w:top w:val="single" w:sz="24" w:space="0" w:color="000000" w:themeColor="text1"/>
              <w:bottom w:val="single" w:sz="24" w:space="0" w:color="000000" w:themeColor="text1"/>
            </w:tcBorders>
          </w:tcPr>
          <w:p w:rsidR="001F28F5" w:rsidRPr="001F28F5" w:rsidRDefault="001F28F5" w:rsidP="00186DDE">
            <w:pPr>
              <w:rPr>
                <w:i/>
                <w:sz w:val="24"/>
              </w:rPr>
            </w:pPr>
            <w:r w:rsidRPr="001F28F5">
              <w:rPr>
                <w:i/>
                <w:sz w:val="24"/>
              </w:rPr>
              <w:t>80</w:t>
            </w:r>
          </w:p>
        </w:tc>
        <w:tc>
          <w:tcPr>
            <w:tcW w:w="1232" w:type="dxa"/>
            <w:tcBorders>
              <w:top w:val="single" w:sz="24" w:space="0" w:color="000000" w:themeColor="text1"/>
              <w:bottom w:val="single" w:sz="24" w:space="0" w:color="000000" w:themeColor="text1"/>
            </w:tcBorders>
          </w:tcPr>
          <w:p w:rsidR="001F28F5" w:rsidRPr="001F28F5" w:rsidRDefault="001F28F5" w:rsidP="00186DDE">
            <w:pPr>
              <w:rPr>
                <w:i/>
                <w:sz w:val="24"/>
              </w:rPr>
            </w:pPr>
            <w:r w:rsidRPr="001F28F5">
              <w:rPr>
                <w:i/>
                <w:sz w:val="24"/>
              </w:rPr>
              <w:t>96</w:t>
            </w:r>
          </w:p>
        </w:tc>
        <w:tc>
          <w:tcPr>
            <w:tcW w:w="1232" w:type="dxa"/>
            <w:tcBorders>
              <w:top w:val="single" w:sz="24" w:space="0" w:color="000000" w:themeColor="text1"/>
              <w:bottom w:val="single" w:sz="24" w:space="0" w:color="000000" w:themeColor="text1"/>
            </w:tcBorders>
          </w:tcPr>
          <w:p w:rsidR="001F28F5" w:rsidRPr="001F28F5" w:rsidRDefault="001F28F5" w:rsidP="00186DDE">
            <w:pPr>
              <w:rPr>
                <w:i/>
                <w:sz w:val="24"/>
              </w:rPr>
            </w:pPr>
            <w:r w:rsidRPr="001F28F5">
              <w:rPr>
                <w:i/>
                <w:sz w:val="24"/>
              </w:rPr>
              <w:t>x</w:t>
            </w:r>
          </w:p>
        </w:tc>
      </w:tr>
      <w:tr w:rsidR="001F28F5" w:rsidTr="0011449C">
        <w:tc>
          <w:tcPr>
            <w:tcW w:w="1231" w:type="dxa"/>
            <w:tcBorders>
              <w:right w:val="single" w:sz="24" w:space="0" w:color="000000" w:themeColor="text1"/>
            </w:tcBorders>
          </w:tcPr>
          <w:p w:rsidR="001F28F5" w:rsidRPr="001F28F5" w:rsidRDefault="001F28F5" w:rsidP="001F28F5">
            <w:pPr>
              <w:spacing w:before="60" w:after="40"/>
              <w:rPr>
                <w:color w:val="000000"/>
              </w:rPr>
            </w:pPr>
            <w:r>
              <w:rPr>
                <w:color w:val="000000"/>
              </w:rPr>
              <w:t xml:space="preserve">&lt; </w:t>
            </w:r>
            <w:r>
              <w:rPr>
                <w:i/>
                <w:iCs/>
                <w:color w:val="000000"/>
              </w:rPr>
              <w:t xml:space="preserve">h </w:t>
            </w:r>
            <w:r>
              <w:rPr>
                <w:color w:val="000000"/>
              </w:rPr>
              <w:t xml:space="preserve">&gt; </w:t>
            </w:r>
          </w:p>
        </w:tc>
        <w:tc>
          <w:tcPr>
            <w:tcW w:w="1231" w:type="dxa"/>
            <w:tcBorders>
              <w:left w:val="single" w:sz="24" w:space="0" w:color="000000" w:themeColor="text1"/>
            </w:tcBorders>
          </w:tcPr>
          <w:p w:rsidR="001F28F5" w:rsidRDefault="0011449C" w:rsidP="00186DDE">
            <w:pPr>
              <w:rPr>
                <w:sz w:val="24"/>
              </w:rPr>
            </w:pPr>
            <w:r>
              <w:rPr>
                <w:sz w:val="24"/>
              </w:rPr>
              <w:t>39</w:t>
            </w:r>
          </w:p>
        </w:tc>
        <w:tc>
          <w:tcPr>
            <w:tcW w:w="1232" w:type="dxa"/>
          </w:tcPr>
          <w:p w:rsidR="001F28F5" w:rsidRDefault="0011449C" w:rsidP="00186DDE">
            <w:pPr>
              <w:rPr>
                <w:sz w:val="24"/>
              </w:rPr>
            </w:pPr>
            <w:r>
              <w:rPr>
                <w:sz w:val="24"/>
              </w:rPr>
              <w:t>30</w:t>
            </w:r>
          </w:p>
        </w:tc>
        <w:tc>
          <w:tcPr>
            <w:tcW w:w="1232" w:type="dxa"/>
          </w:tcPr>
          <w:p w:rsidR="001F28F5" w:rsidRDefault="0011449C" w:rsidP="00186DDE">
            <w:pPr>
              <w:rPr>
                <w:sz w:val="24"/>
              </w:rPr>
            </w:pPr>
            <w:r>
              <w:rPr>
                <w:sz w:val="24"/>
              </w:rPr>
              <w:t>26</w:t>
            </w:r>
          </w:p>
        </w:tc>
        <w:tc>
          <w:tcPr>
            <w:tcW w:w="1232" w:type="dxa"/>
          </w:tcPr>
          <w:p w:rsidR="001F28F5" w:rsidRDefault="0011449C" w:rsidP="00186DDE">
            <w:pPr>
              <w:rPr>
                <w:sz w:val="24"/>
              </w:rPr>
            </w:pPr>
            <w:r>
              <w:rPr>
                <w:sz w:val="24"/>
              </w:rPr>
              <w:t>18</w:t>
            </w:r>
          </w:p>
        </w:tc>
        <w:tc>
          <w:tcPr>
            <w:tcW w:w="1232" w:type="dxa"/>
          </w:tcPr>
          <w:p w:rsidR="001F28F5" w:rsidRDefault="0011449C" w:rsidP="00186DDE">
            <w:pPr>
              <w:rPr>
                <w:sz w:val="24"/>
              </w:rPr>
            </w:pPr>
            <w:r>
              <w:rPr>
                <w:sz w:val="24"/>
              </w:rPr>
              <w:t>14</w:t>
            </w:r>
          </w:p>
        </w:tc>
        <w:tc>
          <w:tcPr>
            <w:tcW w:w="1232" w:type="dxa"/>
          </w:tcPr>
          <w:p w:rsidR="001F28F5" w:rsidRDefault="0011449C" w:rsidP="00186DDE">
            <w:pPr>
              <w:rPr>
                <w:sz w:val="24"/>
              </w:rPr>
            </w:pPr>
            <w:r>
              <w:rPr>
                <w:sz w:val="24"/>
              </w:rPr>
              <w:t>12</w:t>
            </w:r>
          </w:p>
        </w:tc>
        <w:tc>
          <w:tcPr>
            <w:tcW w:w="1232" w:type="dxa"/>
          </w:tcPr>
          <w:p w:rsidR="001F28F5" w:rsidRDefault="0011449C" w:rsidP="00186DDE">
            <w:pPr>
              <w:rPr>
                <w:sz w:val="24"/>
              </w:rPr>
            </w:pPr>
            <w:r>
              <w:rPr>
                <w:sz w:val="24"/>
              </w:rPr>
              <w:t>17</w:t>
            </w:r>
          </w:p>
        </w:tc>
      </w:tr>
      <w:tr w:rsidR="001F28F5" w:rsidTr="0011449C">
        <w:tc>
          <w:tcPr>
            <w:tcW w:w="1231" w:type="dxa"/>
            <w:tcBorders>
              <w:right w:val="single" w:sz="24" w:space="0" w:color="000000" w:themeColor="text1"/>
            </w:tcBorders>
          </w:tcPr>
          <w:p w:rsidR="001F28F5" w:rsidRPr="001F28F5" w:rsidRDefault="001F28F5" w:rsidP="001F28F5">
            <w:pPr>
              <w:spacing w:before="60" w:after="40"/>
              <w:rPr>
                <w:color w:val="000000"/>
              </w:rPr>
            </w:pPr>
            <w:r>
              <w:rPr>
                <w:color w:val="000000"/>
              </w:rPr>
              <w:t>σ, J/m</w:t>
            </w:r>
            <w:r>
              <w:rPr>
                <w:color w:val="000000"/>
                <w:position w:val="8"/>
                <w:vertAlign w:val="superscript"/>
              </w:rPr>
              <w:t xml:space="preserve">2 </w:t>
            </w:r>
          </w:p>
        </w:tc>
        <w:tc>
          <w:tcPr>
            <w:tcW w:w="1231" w:type="dxa"/>
            <w:tcBorders>
              <w:left w:val="single" w:sz="24" w:space="0" w:color="000000" w:themeColor="text1"/>
            </w:tcBorders>
          </w:tcPr>
          <w:p w:rsidR="001F28F5" w:rsidRDefault="0011449C" w:rsidP="00186DDE">
            <w:pPr>
              <w:rPr>
                <w:sz w:val="24"/>
              </w:rPr>
            </w:pPr>
            <w:r>
              <w:rPr>
                <w:sz w:val="24"/>
              </w:rPr>
              <w:t>0.057</w:t>
            </w:r>
          </w:p>
        </w:tc>
        <w:tc>
          <w:tcPr>
            <w:tcW w:w="1232" w:type="dxa"/>
          </w:tcPr>
          <w:p w:rsidR="001F28F5" w:rsidRDefault="0011449C" w:rsidP="00186DDE">
            <w:pPr>
              <w:rPr>
                <w:sz w:val="24"/>
              </w:rPr>
            </w:pPr>
            <w:r>
              <w:rPr>
                <w:sz w:val="24"/>
              </w:rPr>
              <w:t>0.044</w:t>
            </w:r>
          </w:p>
        </w:tc>
        <w:tc>
          <w:tcPr>
            <w:tcW w:w="1232" w:type="dxa"/>
          </w:tcPr>
          <w:p w:rsidR="001F28F5" w:rsidRDefault="0011449C" w:rsidP="00186DDE">
            <w:pPr>
              <w:rPr>
                <w:sz w:val="24"/>
              </w:rPr>
            </w:pPr>
            <w:r>
              <w:rPr>
                <w:sz w:val="24"/>
              </w:rPr>
              <w:t>0.038</w:t>
            </w:r>
          </w:p>
        </w:tc>
        <w:tc>
          <w:tcPr>
            <w:tcW w:w="1232" w:type="dxa"/>
          </w:tcPr>
          <w:p w:rsidR="001F28F5" w:rsidRDefault="0011449C" w:rsidP="00186DDE">
            <w:pPr>
              <w:rPr>
                <w:sz w:val="24"/>
              </w:rPr>
            </w:pPr>
            <w:r>
              <w:rPr>
                <w:sz w:val="24"/>
              </w:rPr>
              <w:t>0.026</w:t>
            </w:r>
          </w:p>
        </w:tc>
        <w:tc>
          <w:tcPr>
            <w:tcW w:w="1232" w:type="dxa"/>
          </w:tcPr>
          <w:p w:rsidR="001F28F5" w:rsidRDefault="0011449C" w:rsidP="00186DDE">
            <w:pPr>
              <w:rPr>
                <w:sz w:val="24"/>
              </w:rPr>
            </w:pPr>
            <w:r>
              <w:rPr>
                <w:sz w:val="24"/>
              </w:rPr>
              <w:t>0.021</w:t>
            </w:r>
          </w:p>
        </w:tc>
        <w:tc>
          <w:tcPr>
            <w:tcW w:w="1232" w:type="dxa"/>
          </w:tcPr>
          <w:p w:rsidR="001F28F5" w:rsidRDefault="0011449C" w:rsidP="00186DDE">
            <w:pPr>
              <w:rPr>
                <w:sz w:val="24"/>
              </w:rPr>
            </w:pPr>
            <w:r>
              <w:rPr>
                <w:sz w:val="24"/>
              </w:rPr>
              <w:t>0.018</w:t>
            </w:r>
          </w:p>
        </w:tc>
        <w:tc>
          <w:tcPr>
            <w:tcW w:w="1232" w:type="dxa"/>
          </w:tcPr>
          <w:p w:rsidR="001F28F5" w:rsidRDefault="0011449C" w:rsidP="00186DDE">
            <w:pPr>
              <w:rPr>
                <w:sz w:val="24"/>
              </w:rPr>
            </w:pPr>
            <w:r>
              <w:rPr>
                <w:sz w:val="24"/>
              </w:rPr>
              <w:t>0.025</w:t>
            </w:r>
          </w:p>
        </w:tc>
      </w:tr>
    </w:tbl>
    <w:p w:rsidR="0011449C" w:rsidRPr="0011449C" w:rsidRDefault="0011449C" w:rsidP="0011449C">
      <w:pPr>
        <w:autoSpaceDE w:val="0"/>
        <w:autoSpaceDN w:val="0"/>
        <w:adjustRightInd w:val="0"/>
        <w:rPr>
          <w:rFonts w:eastAsiaTheme="minorHAnsi"/>
          <w:color w:val="000000"/>
          <w:sz w:val="24"/>
          <w:szCs w:val="24"/>
        </w:rPr>
      </w:pPr>
    </w:p>
    <w:p w:rsidR="0011449C" w:rsidRPr="0011449C" w:rsidRDefault="0011449C" w:rsidP="0011449C">
      <w:pPr>
        <w:autoSpaceDE w:val="0"/>
        <w:autoSpaceDN w:val="0"/>
        <w:adjustRightInd w:val="0"/>
        <w:ind w:left="425" w:hanging="425"/>
        <w:jc w:val="both"/>
        <w:rPr>
          <w:rFonts w:eastAsiaTheme="minorHAnsi"/>
          <w:color w:val="000000"/>
          <w:sz w:val="23"/>
          <w:szCs w:val="23"/>
        </w:rPr>
      </w:pPr>
      <w:r>
        <w:rPr>
          <w:rFonts w:eastAsiaTheme="minorHAnsi"/>
          <w:noProof/>
          <w:color w:val="000000"/>
          <w:sz w:val="23"/>
          <w:szCs w:val="23"/>
          <w:lang w:eastAsia="lt-LT"/>
        </w:rPr>
        <w:drawing>
          <wp:anchor distT="0" distB="0" distL="114300" distR="114300" simplePos="0" relativeHeight="251658240" behindDoc="0" locked="0" layoutInCell="1" allowOverlap="1">
            <wp:simplePos x="0" y="0"/>
            <wp:positionH relativeFrom="column">
              <wp:posOffset>17145</wp:posOffset>
            </wp:positionH>
            <wp:positionV relativeFrom="paragraph">
              <wp:posOffset>198755</wp:posOffset>
            </wp:positionV>
            <wp:extent cx="2654935" cy="621030"/>
            <wp:effectExtent l="19050" t="0" r="0" b="0"/>
            <wp:wrapSquare wrapText="bothSides"/>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54935" cy="621030"/>
                    </a:xfrm>
                    <a:prstGeom prst="rect">
                      <a:avLst/>
                    </a:prstGeom>
                    <a:noFill/>
                    <a:ln w="9525">
                      <a:noFill/>
                      <a:miter lim="800000"/>
                      <a:headEnd/>
                      <a:tailEnd/>
                    </a:ln>
                  </pic:spPr>
                </pic:pic>
              </a:graphicData>
            </a:graphic>
          </wp:anchor>
        </w:drawing>
      </w:r>
      <w:r w:rsidRPr="0011449C">
        <w:rPr>
          <w:rFonts w:eastAsiaTheme="minorHAnsi"/>
          <w:color w:val="000000"/>
          <w:sz w:val="23"/>
          <w:szCs w:val="23"/>
        </w:rPr>
        <w:t xml:space="preserve">Pasirinktai tirpalo koncentracijai įvertiname ribinę dydžio σ nustatymo paklaidą </w:t>
      </w:r>
    </w:p>
    <w:p w:rsidR="00633F18" w:rsidRDefault="00633F18" w:rsidP="00186DDE">
      <w:pPr>
        <w:rPr>
          <w:sz w:val="24"/>
        </w:rPr>
      </w:pPr>
    </w:p>
    <w:p w:rsidR="0011449C" w:rsidRDefault="0011449C" w:rsidP="001B303B">
      <w:pPr>
        <w:pStyle w:val="Pagrindinistekstas"/>
        <w:jc w:val="both"/>
        <w:rPr>
          <w:b/>
        </w:rPr>
      </w:pPr>
    </w:p>
    <w:p w:rsidR="0011449C" w:rsidRDefault="0011449C" w:rsidP="001B303B">
      <w:pPr>
        <w:pStyle w:val="Pagrindinistekstas"/>
        <w:jc w:val="both"/>
        <w:rPr>
          <w:i/>
          <w:color w:val="000000"/>
          <w:sz w:val="23"/>
          <w:szCs w:val="23"/>
        </w:rPr>
      </w:pPr>
      <w:proofErr w:type="spellStart"/>
      <w:r w:rsidRPr="00C16082">
        <w:rPr>
          <w:rFonts w:cs="Symbol"/>
          <w:i/>
          <w:color w:val="000000"/>
          <w:sz w:val="23"/>
          <w:szCs w:val="23"/>
        </w:rPr>
        <w:lastRenderedPageBreak/>
        <w:t>Δ</w:t>
      </w:r>
      <w:r w:rsidRPr="001F28F5">
        <w:rPr>
          <w:i/>
          <w:color w:val="000000"/>
          <w:sz w:val="23"/>
          <w:szCs w:val="23"/>
        </w:rPr>
        <w:t>σ</w:t>
      </w:r>
      <w:proofErr w:type="spellEnd"/>
      <w:r>
        <w:rPr>
          <w:i/>
          <w:color w:val="000000"/>
          <w:sz w:val="23"/>
          <w:szCs w:val="23"/>
        </w:rPr>
        <w:t xml:space="preserve"> = 0.0035 N/m</w:t>
      </w:r>
    </w:p>
    <w:p w:rsidR="0011449C" w:rsidRPr="0011449C" w:rsidRDefault="0011449C" w:rsidP="0011449C">
      <w:pPr>
        <w:autoSpaceDE w:val="0"/>
        <w:autoSpaceDN w:val="0"/>
        <w:adjustRightInd w:val="0"/>
        <w:rPr>
          <w:rFonts w:eastAsiaTheme="minorHAnsi"/>
          <w:color w:val="000000"/>
          <w:sz w:val="24"/>
          <w:szCs w:val="24"/>
        </w:rPr>
      </w:pPr>
    </w:p>
    <w:p w:rsidR="0011449C" w:rsidRDefault="0011449C" w:rsidP="0011449C">
      <w:pPr>
        <w:autoSpaceDE w:val="0"/>
        <w:autoSpaceDN w:val="0"/>
        <w:adjustRightInd w:val="0"/>
        <w:ind w:left="425" w:hanging="425"/>
        <w:jc w:val="both"/>
        <w:rPr>
          <w:rFonts w:eastAsiaTheme="minorHAnsi"/>
          <w:color w:val="000000"/>
          <w:sz w:val="23"/>
          <w:szCs w:val="23"/>
        </w:rPr>
      </w:pPr>
      <w:r w:rsidRPr="0011449C">
        <w:rPr>
          <w:rFonts w:eastAsiaTheme="minorHAnsi"/>
          <w:color w:val="000000"/>
          <w:sz w:val="23"/>
          <w:szCs w:val="23"/>
        </w:rPr>
        <w:t>brėžiame grafiką</w:t>
      </w:r>
      <w:r>
        <w:rPr>
          <w:rFonts w:eastAsiaTheme="minorHAnsi"/>
          <w:color w:val="000000"/>
          <w:sz w:val="23"/>
          <w:szCs w:val="23"/>
        </w:rPr>
        <w:t xml:space="preserve"> </w:t>
      </w:r>
      <w:proofErr w:type="spellStart"/>
      <w:r w:rsidRPr="0011449C">
        <w:rPr>
          <w:rFonts w:eastAsiaTheme="minorHAnsi"/>
          <w:color w:val="000000"/>
          <w:sz w:val="23"/>
          <w:szCs w:val="23"/>
        </w:rPr>
        <w:t>σ</w:t>
      </w:r>
      <w:r>
        <w:rPr>
          <w:rFonts w:eastAsiaTheme="minorHAnsi"/>
          <w:color w:val="000000"/>
          <w:sz w:val="23"/>
          <w:szCs w:val="23"/>
        </w:rPr>
        <w:t>=f</w:t>
      </w:r>
      <w:proofErr w:type="spellEnd"/>
      <w:r>
        <w:rPr>
          <w:rFonts w:eastAsiaTheme="minorHAnsi"/>
          <w:color w:val="000000"/>
          <w:sz w:val="23"/>
          <w:szCs w:val="23"/>
        </w:rPr>
        <w:t>(z)</w:t>
      </w:r>
      <w:r w:rsidRPr="0011449C">
        <w:rPr>
          <w:rFonts w:eastAsiaTheme="minorHAnsi"/>
          <w:color w:val="000000"/>
          <w:sz w:val="23"/>
          <w:szCs w:val="23"/>
        </w:rPr>
        <w:t xml:space="preserve"> ir iš jo nustatome nežinomą tirpalo koncentraciją</w:t>
      </w:r>
      <w:r>
        <w:rPr>
          <w:rFonts w:eastAsiaTheme="minorHAnsi"/>
          <w:color w:val="000000"/>
          <w:sz w:val="23"/>
          <w:szCs w:val="23"/>
        </w:rPr>
        <w:t xml:space="preserve"> </w:t>
      </w:r>
      <w:r w:rsidRPr="0011449C">
        <w:rPr>
          <w:rFonts w:eastAsiaTheme="minorHAnsi"/>
          <w:i/>
          <w:color w:val="000000"/>
          <w:sz w:val="23"/>
          <w:szCs w:val="23"/>
        </w:rPr>
        <w:t>x</w:t>
      </w:r>
      <w:r>
        <w:rPr>
          <w:rFonts w:eastAsiaTheme="minorHAnsi"/>
          <w:color w:val="000000"/>
          <w:sz w:val="23"/>
          <w:szCs w:val="23"/>
        </w:rPr>
        <w:t>.</w:t>
      </w:r>
    </w:p>
    <w:p w:rsidR="0011449C" w:rsidRDefault="0011449C" w:rsidP="0011449C">
      <w:pPr>
        <w:autoSpaceDE w:val="0"/>
        <w:autoSpaceDN w:val="0"/>
        <w:adjustRightInd w:val="0"/>
        <w:ind w:left="425" w:hanging="425"/>
        <w:jc w:val="both"/>
        <w:rPr>
          <w:rFonts w:eastAsiaTheme="minorHAnsi"/>
          <w:color w:val="000000"/>
          <w:sz w:val="23"/>
          <w:szCs w:val="23"/>
        </w:rPr>
      </w:pPr>
      <w:r>
        <w:rPr>
          <w:rFonts w:eastAsiaTheme="minorHAnsi"/>
          <w:noProof/>
          <w:color w:val="000000"/>
          <w:sz w:val="23"/>
          <w:szCs w:val="23"/>
          <w:lang w:eastAsia="lt-LT"/>
        </w:rPr>
        <w:drawing>
          <wp:inline distT="0" distB="0" distL="0" distR="0">
            <wp:extent cx="5486400" cy="3200400"/>
            <wp:effectExtent l="19050" t="0" r="19050" b="0"/>
            <wp:docPr id="2" name="Diagrama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5389" w:rsidRPr="00C35389" w:rsidRDefault="00C35389" w:rsidP="0011449C">
      <w:pPr>
        <w:autoSpaceDE w:val="0"/>
        <w:autoSpaceDN w:val="0"/>
        <w:adjustRightInd w:val="0"/>
        <w:ind w:left="425" w:hanging="425"/>
        <w:jc w:val="both"/>
        <w:rPr>
          <w:rFonts w:eastAsiaTheme="minorHAnsi"/>
          <w:color w:val="000000"/>
          <w:sz w:val="23"/>
          <w:szCs w:val="23"/>
          <w:lang w:val="en-US"/>
        </w:rPr>
      </w:pPr>
      <w:r>
        <w:rPr>
          <w:rFonts w:eastAsiaTheme="minorHAnsi"/>
          <w:color w:val="000000"/>
          <w:sz w:val="23"/>
          <w:szCs w:val="23"/>
        </w:rPr>
        <w:t>Kadangi f(</w:t>
      </w:r>
      <w:r w:rsidRPr="00C35389">
        <w:rPr>
          <w:rFonts w:eastAsiaTheme="minorHAnsi"/>
          <w:i/>
          <w:color w:val="000000"/>
          <w:sz w:val="23"/>
          <w:szCs w:val="23"/>
        </w:rPr>
        <w:t>x</w:t>
      </w:r>
      <w:r>
        <w:rPr>
          <w:rFonts w:eastAsiaTheme="minorHAnsi"/>
          <w:color w:val="000000"/>
          <w:sz w:val="23"/>
          <w:szCs w:val="23"/>
        </w:rPr>
        <w:t xml:space="preserve">) = 0.025, tai pagal grafiką galime spręsti, jog </w:t>
      </w:r>
      <w:r w:rsidRPr="00C35389">
        <w:rPr>
          <w:rFonts w:eastAsiaTheme="minorHAnsi"/>
          <w:i/>
          <w:color w:val="000000"/>
          <w:sz w:val="23"/>
          <w:szCs w:val="23"/>
        </w:rPr>
        <w:t>x</w:t>
      </w:r>
      <w:r>
        <w:rPr>
          <w:rFonts w:eastAsiaTheme="minorHAnsi"/>
          <w:i/>
          <w:color w:val="000000"/>
          <w:sz w:val="23"/>
          <w:szCs w:val="23"/>
        </w:rPr>
        <w:t xml:space="preserve"> </w:t>
      </w:r>
      <w:r>
        <w:rPr>
          <w:rFonts w:eastAsiaTheme="minorHAnsi"/>
          <w:i/>
          <w:color w:val="000000"/>
          <w:sz w:val="23"/>
          <w:szCs w:val="23"/>
          <w:lang w:val="en-US"/>
        </w:rPr>
        <w:t>≈50.</w:t>
      </w:r>
    </w:p>
    <w:p w:rsidR="00B82881" w:rsidRPr="00C35389" w:rsidRDefault="005F4521" w:rsidP="00C35389">
      <w:pPr>
        <w:autoSpaceDE w:val="0"/>
        <w:autoSpaceDN w:val="0"/>
        <w:adjustRightInd w:val="0"/>
        <w:ind w:left="142" w:hanging="142"/>
        <w:rPr>
          <w:rFonts w:eastAsiaTheme="minorHAnsi"/>
          <w:color w:val="000000"/>
          <w:sz w:val="32"/>
          <w:szCs w:val="32"/>
        </w:rPr>
      </w:pPr>
      <w:r>
        <w:rPr>
          <w:b/>
        </w:rPr>
        <w:t xml:space="preserve">Išvados. </w:t>
      </w:r>
      <w:r w:rsidR="00633F18">
        <w:t xml:space="preserve">Atliekant bandymus, buvo </w:t>
      </w:r>
      <w:r w:rsidR="00C35389">
        <w:t xml:space="preserve">įsitikinta, jog skystų tirpalų paviršinės </w:t>
      </w:r>
      <w:proofErr w:type="spellStart"/>
      <w:r w:rsidR="00C35389">
        <w:t>įtempties</w:t>
      </w:r>
      <w:proofErr w:type="spellEnd"/>
      <w:r w:rsidR="00C35389">
        <w:t xml:space="preserve"> koeficientas proporcingai priklauso nuo tirpalo koncentracijos. Didėjant koncentracijai, paviršiaus </w:t>
      </w:r>
      <w:proofErr w:type="spellStart"/>
      <w:r w:rsidR="00C35389">
        <w:t>įtemptis</w:t>
      </w:r>
      <w:proofErr w:type="spellEnd"/>
      <w:r w:rsidR="00C35389">
        <w:t xml:space="preserve"> mažėja. Tyrimai nebuvo labai tikslūs dėl matavimo paklaidų ir darbo mėginių kokybės.</w:t>
      </w:r>
    </w:p>
    <w:p w:rsidR="001B303B" w:rsidRDefault="001B303B">
      <w:pPr>
        <w:rPr>
          <w:b/>
          <w:sz w:val="22"/>
          <w:szCs w:val="22"/>
        </w:rPr>
      </w:pPr>
      <w:r>
        <w:rPr>
          <w:b/>
          <w:sz w:val="22"/>
          <w:szCs w:val="22"/>
        </w:rPr>
        <w:t>Naudota literatūra.</w:t>
      </w:r>
    </w:p>
    <w:p w:rsidR="001B303B" w:rsidRDefault="001B303B" w:rsidP="001B303B">
      <w:pPr>
        <w:rPr>
          <w:sz w:val="22"/>
          <w:szCs w:val="22"/>
        </w:rPr>
      </w:pPr>
      <w:r>
        <w:rPr>
          <w:sz w:val="22"/>
          <w:szCs w:val="22"/>
        </w:rPr>
        <w:t xml:space="preserve">Fizikinės mechanikos laboratoriniai darbai/V. Ilgūnas, K. V. Bernatonis, L. Augulis, S. </w:t>
      </w:r>
      <w:proofErr w:type="spellStart"/>
      <w:r>
        <w:rPr>
          <w:sz w:val="22"/>
          <w:szCs w:val="22"/>
        </w:rPr>
        <w:t>Joneliūnas</w:t>
      </w:r>
      <w:proofErr w:type="spellEnd"/>
      <w:r>
        <w:rPr>
          <w:sz w:val="22"/>
          <w:szCs w:val="22"/>
        </w:rPr>
        <w:t>, S. Tamulevičius</w:t>
      </w:r>
      <w:r w:rsidR="00AA6643">
        <w:rPr>
          <w:sz w:val="22"/>
          <w:szCs w:val="22"/>
        </w:rPr>
        <w:t xml:space="preserve">. </w:t>
      </w:r>
      <w:r>
        <w:rPr>
          <w:sz w:val="22"/>
          <w:szCs w:val="22"/>
        </w:rPr>
        <w:t>1988.</w:t>
      </w:r>
    </w:p>
    <w:p w:rsidR="001B303B" w:rsidRPr="001B303B" w:rsidRDefault="001B303B" w:rsidP="001B303B">
      <w:pPr>
        <w:rPr>
          <w:sz w:val="22"/>
          <w:szCs w:val="22"/>
        </w:rPr>
      </w:pPr>
      <w:proofErr w:type="spellStart"/>
      <w:r>
        <w:rPr>
          <w:sz w:val="22"/>
          <w:szCs w:val="22"/>
        </w:rPr>
        <w:t>A.Tamašauskas</w:t>
      </w:r>
      <w:proofErr w:type="spellEnd"/>
      <w:r>
        <w:rPr>
          <w:sz w:val="22"/>
          <w:szCs w:val="22"/>
        </w:rPr>
        <w:t>. Fizika 1. 1987.</w:t>
      </w:r>
    </w:p>
    <w:sectPr w:rsidR="001B303B" w:rsidRPr="001B303B" w:rsidSect="00B82881">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Tahoma">
    <w:panose1 w:val="020B0604030504040204"/>
    <w:charset w:val="BA"/>
    <w:family w:val="swiss"/>
    <w:pitch w:val="variable"/>
    <w:sig w:usb0="E1002EFF" w:usb1="C000605B" w:usb2="00000029" w:usb3="00000000" w:csb0="000101F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1CF7"/>
    <w:multiLevelType w:val="hybridMultilevel"/>
    <w:tmpl w:val="52AE325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285F1205"/>
    <w:multiLevelType w:val="hybridMultilevel"/>
    <w:tmpl w:val="BA5A85B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3AD834EF"/>
    <w:multiLevelType w:val="singleLevel"/>
    <w:tmpl w:val="C9B6BDF0"/>
    <w:lvl w:ilvl="0">
      <w:start w:val="1"/>
      <w:numFmt w:val="decimal"/>
      <w:lvlText w:val="%1."/>
      <w:lvlJc w:val="left"/>
      <w:pPr>
        <w:tabs>
          <w:tab w:val="num" w:pos="1080"/>
        </w:tabs>
        <w:ind w:left="1080" w:hanging="3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296"/>
  <w:hyphenationZone w:val="396"/>
  <w:characterSpacingControl w:val="doNotCompress"/>
  <w:compat/>
  <w:rsids>
    <w:rsidRoot w:val="005F4521"/>
    <w:rsid w:val="0003708E"/>
    <w:rsid w:val="000C0485"/>
    <w:rsid w:val="0011449C"/>
    <w:rsid w:val="00186DDE"/>
    <w:rsid w:val="001B303B"/>
    <w:rsid w:val="001F28F5"/>
    <w:rsid w:val="001F544F"/>
    <w:rsid w:val="002B1693"/>
    <w:rsid w:val="003227EC"/>
    <w:rsid w:val="0037143E"/>
    <w:rsid w:val="00412618"/>
    <w:rsid w:val="004F6A04"/>
    <w:rsid w:val="00562D4A"/>
    <w:rsid w:val="005958DF"/>
    <w:rsid w:val="005D6DBE"/>
    <w:rsid w:val="005F4521"/>
    <w:rsid w:val="0061421A"/>
    <w:rsid w:val="00633F18"/>
    <w:rsid w:val="006D6D13"/>
    <w:rsid w:val="006E7D12"/>
    <w:rsid w:val="00782C84"/>
    <w:rsid w:val="007B45F1"/>
    <w:rsid w:val="007F4A76"/>
    <w:rsid w:val="009718AD"/>
    <w:rsid w:val="00A06064"/>
    <w:rsid w:val="00A95B7B"/>
    <w:rsid w:val="00AA6643"/>
    <w:rsid w:val="00AD4A41"/>
    <w:rsid w:val="00AF5C86"/>
    <w:rsid w:val="00B82881"/>
    <w:rsid w:val="00BD4786"/>
    <w:rsid w:val="00BD6611"/>
    <w:rsid w:val="00BE3909"/>
    <w:rsid w:val="00C158A6"/>
    <w:rsid w:val="00C16082"/>
    <w:rsid w:val="00C35389"/>
    <w:rsid w:val="00C604EF"/>
    <w:rsid w:val="00D62D13"/>
    <w:rsid w:val="00E02F9D"/>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5F4521"/>
    <w:pPr>
      <w:spacing w:after="0" w:line="240" w:lineRule="auto"/>
    </w:pPr>
    <w:rPr>
      <w:rFonts w:ascii="Times New Roman" w:eastAsia="Times New Roman" w:hAnsi="Times New Roman" w:cs="Times New Roman"/>
      <w:sz w:val="20"/>
      <w:szCs w:val="20"/>
    </w:rPr>
  </w:style>
  <w:style w:type="character" w:default="1" w:styleId="Numatytasispastraiposriftas">
    <w:name w:val="Default Paragraph Font"/>
    <w:uiPriority w:val="1"/>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rsid w:val="005F4521"/>
    <w:rPr>
      <w:sz w:val="24"/>
    </w:rPr>
  </w:style>
  <w:style w:type="character" w:customStyle="1" w:styleId="PagrindinistekstasDiagrama">
    <w:name w:val="Pagrindinis tekstas Diagrama"/>
    <w:basedOn w:val="Numatytasispastraiposriftas"/>
    <w:link w:val="Pagrindinistekstas"/>
    <w:rsid w:val="005F4521"/>
    <w:rPr>
      <w:rFonts w:ascii="Times New Roman" w:eastAsia="Times New Roman" w:hAnsi="Times New Roman" w:cs="Times New Roman"/>
      <w:sz w:val="24"/>
      <w:szCs w:val="20"/>
    </w:rPr>
  </w:style>
  <w:style w:type="paragraph" w:styleId="Pavadinimas">
    <w:name w:val="Title"/>
    <w:basedOn w:val="prastasis"/>
    <w:link w:val="PavadinimasDiagrama"/>
    <w:qFormat/>
    <w:rsid w:val="005F4521"/>
    <w:pPr>
      <w:jc w:val="center"/>
    </w:pPr>
    <w:rPr>
      <w:sz w:val="24"/>
    </w:rPr>
  </w:style>
  <w:style w:type="character" w:customStyle="1" w:styleId="PavadinimasDiagrama">
    <w:name w:val="Pavadinimas Diagrama"/>
    <w:basedOn w:val="Numatytasispastraiposriftas"/>
    <w:link w:val="Pavadinimas"/>
    <w:rsid w:val="005F4521"/>
    <w:rPr>
      <w:rFonts w:ascii="Times New Roman" w:eastAsia="Times New Roman" w:hAnsi="Times New Roman" w:cs="Times New Roman"/>
      <w:sz w:val="24"/>
      <w:szCs w:val="20"/>
    </w:rPr>
  </w:style>
  <w:style w:type="paragraph" w:customStyle="1" w:styleId="Default">
    <w:name w:val="Default"/>
    <w:rsid w:val="005F4521"/>
    <w:pPr>
      <w:autoSpaceDE w:val="0"/>
      <w:autoSpaceDN w:val="0"/>
      <w:adjustRightInd w:val="0"/>
      <w:spacing w:after="0" w:line="240" w:lineRule="auto"/>
    </w:pPr>
    <w:rPr>
      <w:rFonts w:ascii="Times New Roman" w:hAnsi="Times New Roman" w:cs="Times New Roman"/>
      <w:color w:val="000000"/>
      <w:sz w:val="24"/>
      <w:szCs w:val="24"/>
    </w:rPr>
  </w:style>
  <w:style w:type="character" w:styleId="Vietosrezervavimoenklotekstas">
    <w:name w:val="Placeholder Text"/>
    <w:basedOn w:val="Numatytasispastraiposriftas"/>
    <w:uiPriority w:val="99"/>
    <w:semiHidden/>
    <w:rsid w:val="00412618"/>
    <w:rPr>
      <w:color w:val="808080"/>
    </w:rPr>
  </w:style>
  <w:style w:type="paragraph" w:styleId="Debesliotekstas">
    <w:name w:val="Balloon Text"/>
    <w:basedOn w:val="prastasis"/>
    <w:link w:val="DebesliotekstasDiagrama"/>
    <w:uiPriority w:val="99"/>
    <w:semiHidden/>
    <w:unhideWhenUsed/>
    <w:rsid w:val="00412618"/>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412618"/>
    <w:rPr>
      <w:rFonts w:ascii="Tahoma" w:eastAsia="Times New Roman" w:hAnsi="Tahoma" w:cs="Tahoma"/>
      <w:sz w:val="16"/>
      <w:szCs w:val="16"/>
    </w:rPr>
  </w:style>
  <w:style w:type="paragraph" w:styleId="Sraopastraipa">
    <w:name w:val="List Paragraph"/>
    <w:basedOn w:val="prastasis"/>
    <w:uiPriority w:val="34"/>
    <w:qFormat/>
    <w:rsid w:val="001B303B"/>
    <w:pPr>
      <w:ind w:left="720"/>
      <w:contextualSpacing/>
    </w:pPr>
  </w:style>
  <w:style w:type="table" w:styleId="Lentelstinklelis">
    <w:name w:val="Table Grid"/>
    <w:basedOn w:val="prastojilentel"/>
    <w:uiPriority w:val="59"/>
    <w:rsid w:val="001F28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darbalapis1.xlsx"/></Relationships>
</file>

<file path=word/charts/chart1.xml><?xml version="1.0" encoding="utf-8"?>
<c:chartSpace xmlns:c="http://schemas.openxmlformats.org/drawingml/2006/chart" xmlns:a="http://schemas.openxmlformats.org/drawingml/2006/main" xmlns:r="http://schemas.openxmlformats.org/officeDocument/2006/relationships">
  <c:lang val="lt-LT"/>
  <c:chart>
    <c:title>
      <c:layout/>
    </c:title>
    <c:plotArea>
      <c:layout/>
      <c:scatterChart>
        <c:scatterStyle val="lineMarker"/>
        <c:ser>
          <c:idx val="0"/>
          <c:order val="0"/>
          <c:tx>
            <c:strRef>
              <c:f>Lapas1!$B$1</c:f>
              <c:strCache>
                <c:ptCount val="1"/>
                <c:pt idx="0">
                  <c:v>σ=f(z) </c:v>
                </c:pt>
              </c:strCache>
            </c:strRef>
          </c:tx>
          <c:marker>
            <c:symbol val="square"/>
            <c:size val="5"/>
          </c:marker>
          <c:xVal>
            <c:numRef>
              <c:f>Lapas1!$A$2:$A$7</c:f>
              <c:numCache>
                <c:formatCode>General</c:formatCode>
                <c:ptCount val="6"/>
                <c:pt idx="0">
                  <c:v>0</c:v>
                </c:pt>
                <c:pt idx="1">
                  <c:v>10</c:v>
                </c:pt>
                <c:pt idx="2">
                  <c:v>20</c:v>
                </c:pt>
                <c:pt idx="3">
                  <c:v>40</c:v>
                </c:pt>
                <c:pt idx="4">
                  <c:v>80</c:v>
                </c:pt>
                <c:pt idx="5">
                  <c:v>96</c:v>
                </c:pt>
              </c:numCache>
            </c:numRef>
          </c:xVal>
          <c:yVal>
            <c:numRef>
              <c:f>Lapas1!$B$2:$B$7</c:f>
              <c:numCache>
                <c:formatCode>General</c:formatCode>
                <c:ptCount val="6"/>
                <c:pt idx="0">
                  <c:v>5.7000000000000002E-2</c:v>
                </c:pt>
                <c:pt idx="1">
                  <c:v>4.3999999999999997E-2</c:v>
                </c:pt>
                <c:pt idx="2">
                  <c:v>3.7999999999999999E-2</c:v>
                </c:pt>
                <c:pt idx="3">
                  <c:v>2.5999999999999999E-2</c:v>
                </c:pt>
                <c:pt idx="4">
                  <c:v>2.1000000000000001E-2</c:v>
                </c:pt>
                <c:pt idx="5">
                  <c:v>1.7999999999999999E-2</c:v>
                </c:pt>
              </c:numCache>
            </c:numRef>
          </c:yVal>
        </c:ser>
        <c:axId val="48079616"/>
        <c:axId val="48077824"/>
      </c:scatterChart>
      <c:valAx>
        <c:axId val="48079616"/>
        <c:scaling>
          <c:orientation val="minMax"/>
        </c:scaling>
        <c:axPos val="b"/>
        <c:numFmt formatCode="General" sourceLinked="1"/>
        <c:tickLblPos val="nextTo"/>
        <c:crossAx val="48077824"/>
        <c:crosses val="autoZero"/>
        <c:crossBetween val="midCat"/>
      </c:valAx>
      <c:valAx>
        <c:axId val="48077824"/>
        <c:scaling>
          <c:orientation val="minMax"/>
        </c:scaling>
        <c:axPos val="l"/>
        <c:majorGridlines/>
        <c:numFmt formatCode="General" sourceLinked="1"/>
        <c:tickLblPos val="nextTo"/>
        <c:crossAx val="48079616"/>
        <c:crosses val="autoZero"/>
        <c:crossBetween val="midCat"/>
      </c:valAx>
    </c:plotArea>
    <c:legend>
      <c:legendPos val="r"/>
      <c:layout/>
    </c:legend>
    <c:plotVisOnly val="1"/>
  </c:chart>
  <c:externalData r:id="rId1"/>
</c:chartSpace>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4DBA0-6EC5-41AE-BD81-BCB4265E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2117</Words>
  <Characters>1207</Characters>
  <Application>Microsoft Office Word</Application>
  <DocSecurity>0</DocSecurity>
  <Lines>10</Lines>
  <Paragraphs>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Tautvydas</dc:creator>
  <cp:lastModifiedBy>Tautvydas</cp:lastModifiedBy>
  <cp:revision>11</cp:revision>
  <dcterms:created xsi:type="dcterms:W3CDTF">2012-02-21T21:26:00Z</dcterms:created>
  <dcterms:modified xsi:type="dcterms:W3CDTF">2012-04-11T09:44:00Z</dcterms:modified>
</cp:coreProperties>
</file>