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47A4E" w14:textId="0D5E4135" w:rsidR="0041768C" w:rsidRDefault="00D769AC" w:rsidP="009F3C8C">
      <w:pPr>
        <w:pStyle w:val="Title"/>
      </w:pPr>
      <w:r>
        <w:t xml:space="preserve">Ammonium mass detection protocol and </w:t>
      </w:r>
      <w:r w:rsidR="0041768C">
        <w:t>sampler</w:t>
      </w:r>
    </w:p>
    <w:p w14:paraId="0574BBF6" w14:textId="77777777" w:rsidR="0041768C" w:rsidRDefault="0041768C" w:rsidP="00AB30C7">
      <w:pPr>
        <w:pStyle w:val="Subtitle"/>
      </w:pPr>
      <w:r>
        <w:t>Pete Marchetto</w:t>
      </w:r>
      <w:r w:rsidR="00A3408A">
        <w:t>, Soil and Water Lab, Department of Biological and Environmental Engineering, Cornell University, Ithaca, NY, USA</w:t>
      </w:r>
    </w:p>
    <w:p w14:paraId="516FC838" w14:textId="77777777" w:rsidR="0041768C" w:rsidRDefault="0041768C" w:rsidP="00AB30C7">
      <w:pPr>
        <w:pStyle w:val="Heading1"/>
      </w:pPr>
      <w:r>
        <w:t>Introduction</w:t>
      </w:r>
    </w:p>
    <w:p w14:paraId="4860F94A" w14:textId="77777777" w:rsidR="0041768C" w:rsidRPr="0041768C" w:rsidRDefault="0041768C">
      <w:r>
        <w:tab/>
        <w:t>There is a current dearth of inexpensive means to determine mass fraction of ammonium salts in liquid samples. The method described herein allows for inexpensive yet precise measurement of ammonium content using only simple lye in the form of KOH. This is possible given the following:</w:t>
      </w:r>
    </w:p>
    <w:p w14:paraId="4B4869C5" w14:textId="77777777" w:rsidR="0041768C" w:rsidRPr="0041768C" w:rsidRDefault="0041768C">
      <m:oMathPara>
        <m:oMath>
          <m:r>
            <w:rPr>
              <w:rFonts w:ascii="Cambria Math" w:hAnsi="Cambria Math"/>
            </w:rPr>
            <m:t>N</m:t>
          </m:r>
          <m:sSubSup>
            <m:sSubSupPr>
              <m:ctrlPr>
                <w:rPr>
                  <w:rFonts w:ascii="Cambria Math" w:hAnsi="Cambria Math"/>
                  <w:i/>
                </w:rPr>
              </m:ctrlPr>
            </m:sSubSupPr>
            <m:e>
              <m:r>
                <w:rPr>
                  <w:rFonts w:ascii="Cambria Math" w:hAnsi="Cambria Math"/>
                </w:rPr>
                <m:t>H</m:t>
              </m:r>
            </m:e>
            <m:sub>
              <m:r>
                <w:rPr>
                  <w:rFonts w:ascii="Cambria Math" w:hAnsi="Cambria Math"/>
                </w:rPr>
                <m:t>4</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O+KOH</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O+KA</m:t>
          </m:r>
        </m:oMath>
      </m:oMathPara>
    </w:p>
    <w:p w14:paraId="340E74E5" w14:textId="728DA56E" w:rsidR="0041768C" w:rsidRPr="008E25AD" w:rsidRDefault="0041768C">
      <w:proofErr w:type="gramStart"/>
      <w:r>
        <w:t>where</w:t>
      </w:r>
      <w:proofErr w:type="gramEnd"/>
      <w:r>
        <w:t xml:space="preserve"> </w:t>
      </w:r>
      <w:r w:rsidR="00A3408A" w:rsidRPr="00A3408A">
        <w:rPr>
          <w:i/>
        </w:rPr>
        <w:t>A</w:t>
      </w:r>
      <w:r w:rsidR="00A3408A">
        <w:t xml:space="preserve"> is the anion attached to the ammonium group. </w:t>
      </w:r>
      <w:r w:rsidR="00A3408A">
        <w:rPr>
          <w:i/>
        </w:rPr>
        <w:t>KA</w:t>
      </w:r>
      <w:r w:rsidR="00A3408A">
        <w:t xml:space="preserve"> is necessarily soluble in water, while </w:t>
      </w:r>
      <w:r w:rsidR="00A3408A" w:rsidRPr="00A3408A">
        <w:rPr>
          <w:i/>
        </w:rPr>
        <w:t>NH</w:t>
      </w:r>
      <w:r w:rsidR="00A3408A" w:rsidRPr="00A3408A">
        <w:rPr>
          <w:vertAlign w:val="subscript"/>
        </w:rPr>
        <w:t>3</w:t>
      </w:r>
      <w:r w:rsidR="00A3408A">
        <w:t xml:space="preserve"> is the only gas produced, and therefore the only mass to be lost. Thus, by calculating the amount of mass lost, the amount of ammonium content in the sample can be found.</w:t>
      </w:r>
      <w:r w:rsidR="008E25AD">
        <w:t xml:space="preserve"> This same equation holds true for </w:t>
      </w:r>
      <w:proofErr w:type="spellStart"/>
      <w:r w:rsidR="008E25AD">
        <w:rPr>
          <w:i/>
        </w:rPr>
        <w:t>NaOH</w:t>
      </w:r>
      <w:proofErr w:type="spellEnd"/>
      <w:r w:rsidR="008E25AD">
        <w:rPr>
          <w:i/>
        </w:rPr>
        <w:t xml:space="preserve">, </w:t>
      </w:r>
      <w:proofErr w:type="spellStart"/>
      <w:r w:rsidR="008E25AD">
        <w:rPr>
          <w:i/>
        </w:rPr>
        <w:t>LiOH</w:t>
      </w:r>
      <w:proofErr w:type="spellEnd"/>
      <w:r w:rsidR="008E25AD">
        <w:rPr>
          <w:i/>
        </w:rPr>
        <w:t>,</w:t>
      </w:r>
      <w:r w:rsidR="008E25AD">
        <w:t xml:space="preserve"> and other metals in this series.</w:t>
      </w:r>
    </w:p>
    <w:p w14:paraId="29A7563A" w14:textId="77777777" w:rsidR="00A3408A" w:rsidRDefault="00A3408A">
      <w:r>
        <w:tab/>
        <w:t xml:space="preserve">The yield can be maximized for this reaction by increasing the amount of </w:t>
      </w:r>
      <w:r>
        <w:rPr>
          <w:i/>
        </w:rPr>
        <w:t>KOH</w:t>
      </w:r>
      <w:r>
        <w:t xml:space="preserve"> in the solution, thus increasing the pH. However, ammonia is easily soluble in water. To remove the total quantity of ammonia, the temperature may be increased to around 95 °C, which will allow over 95% of the ammonia to be pushed out of solution. With the subsequent </w:t>
      </w:r>
      <w:r w:rsidR="00D15924">
        <w:t>off gassing of ammonia</w:t>
      </w:r>
      <w:r>
        <w:t xml:space="preserve">, the mass of the solution will decrease, and so the total amount of ammonium ion in the solution </w:t>
      </w:r>
      <w:r w:rsidR="00D15924">
        <w:t>can</w:t>
      </w:r>
      <w:r>
        <w:t xml:space="preserve"> be known.</w:t>
      </w:r>
    </w:p>
    <w:p w14:paraId="78D6256C" w14:textId="23FDEB79" w:rsidR="00AB30C7" w:rsidRDefault="00655B6A">
      <w:r>
        <w:tab/>
        <w:t>The relative concentrations of ammonia and ammonium ions relative to pH can be seen in Fig. 1. The solubility of ammonia in water as a function of temperature can be seen in Fig. 2.</w:t>
      </w:r>
    </w:p>
    <w:p w14:paraId="13A3AB2A" w14:textId="1EB3C55D" w:rsidR="00A3408A" w:rsidRDefault="00655B6A" w:rsidP="009F3C8C">
      <w:pPr>
        <w:jc w:val="center"/>
      </w:pPr>
      <w:r>
        <w:rPr>
          <w:rFonts w:ascii="Helvetica" w:hAnsi="Helvetica" w:cs="Helvetica"/>
          <w:noProof/>
        </w:rPr>
        <w:drawing>
          <wp:inline distT="0" distB="0" distL="0" distR="0" wp14:anchorId="17B14DA7" wp14:editId="2AF82989">
            <wp:extent cx="2844800" cy="22516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5394" cy="2252074"/>
                    </a:xfrm>
                    <a:prstGeom prst="rect">
                      <a:avLst/>
                    </a:prstGeom>
                    <a:noFill/>
                    <a:ln>
                      <a:noFill/>
                    </a:ln>
                  </pic:spPr>
                </pic:pic>
              </a:graphicData>
            </a:graphic>
          </wp:inline>
        </w:drawing>
      </w:r>
    </w:p>
    <w:p w14:paraId="71A7360E" w14:textId="2748FA02" w:rsidR="00655B6A" w:rsidRPr="009F3C8C" w:rsidRDefault="00655B6A" w:rsidP="009F3C8C">
      <w:pPr>
        <w:jc w:val="center"/>
        <w:rPr>
          <w:rStyle w:val="Emphasis"/>
        </w:rPr>
      </w:pPr>
      <w:r w:rsidRPr="009F3C8C">
        <w:rPr>
          <w:rStyle w:val="Emphasis"/>
        </w:rPr>
        <w:t xml:space="preserve">Fig. 1: Relative concentrations of NH4+ and NH3 as functions of pH. </w:t>
      </w:r>
      <w:proofErr w:type="gramStart"/>
      <w:r w:rsidRPr="009F3C8C">
        <w:rPr>
          <w:rStyle w:val="Emphasis"/>
        </w:rPr>
        <w:t>From Richard.</w:t>
      </w:r>
      <w:proofErr w:type="gramEnd"/>
    </w:p>
    <w:p w14:paraId="35ABDD84" w14:textId="69F3FD5D" w:rsidR="00655B6A" w:rsidRDefault="009F3C8C" w:rsidP="009F3C8C">
      <w:pPr>
        <w:jc w:val="center"/>
      </w:pPr>
      <w:r>
        <w:rPr>
          <w:rFonts w:ascii="Helvetica" w:hAnsi="Helvetica" w:cs="Helvetica"/>
          <w:noProof/>
        </w:rPr>
        <w:lastRenderedPageBreak/>
        <w:drawing>
          <wp:inline distT="0" distB="0" distL="0" distR="0" wp14:anchorId="0F39C736" wp14:editId="3E6CAB4A">
            <wp:extent cx="3073400" cy="464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0" cy="4648200"/>
                    </a:xfrm>
                    <a:prstGeom prst="rect">
                      <a:avLst/>
                    </a:prstGeom>
                    <a:noFill/>
                    <a:ln>
                      <a:noFill/>
                    </a:ln>
                  </pic:spPr>
                </pic:pic>
              </a:graphicData>
            </a:graphic>
          </wp:inline>
        </w:drawing>
      </w:r>
    </w:p>
    <w:p w14:paraId="68C134FE" w14:textId="0DAC508A" w:rsidR="009F3C8C" w:rsidRPr="009F3C8C" w:rsidRDefault="009F3C8C" w:rsidP="009F3C8C">
      <w:pPr>
        <w:jc w:val="center"/>
        <w:rPr>
          <w:rStyle w:val="Emphasis"/>
        </w:rPr>
      </w:pPr>
      <w:r w:rsidRPr="009F3C8C">
        <w:rPr>
          <w:rStyle w:val="Emphasis"/>
        </w:rPr>
        <w:t xml:space="preserve">Fig. 2: Solubility of NH3 in water as a function of temperature. </w:t>
      </w:r>
      <w:proofErr w:type="gramStart"/>
      <w:r w:rsidRPr="009F3C8C">
        <w:rPr>
          <w:rStyle w:val="Emphasis"/>
        </w:rPr>
        <w:t>From Process Cooling Magazine.</w:t>
      </w:r>
      <w:proofErr w:type="gramEnd"/>
    </w:p>
    <w:p w14:paraId="08EA37AA" w14:textId="77777777" w:rsidR="00A3408A" w:rsidRDefault="00A3408A" w:rsidP="00AB30C7">
      <w:pPr>
        <w:pStyle w:val="Heading1"/>
      </w:pPr>
      <w:r>
        <w:t>Materials and Methods</w:t>
      </w:r>
    </w:p>
    <w:p w14:paraId="1408CFA8" w14:textId="54D9AD37" w:rsidR="008A28B4" w:rsidRDefault="00A3408A">
      <w:r>
        <w:tab/>
      </w:r>
      <w:r w:rsidR="000E143A">
        <w:t xml:space="preserve">For the first lab test, two salts were used, and so two concentrations of </w:t>
      </w:r>
      <w:r w:rsidR="000E143A" w:rsidRPr="000E143A">
        <w:rPr>
          <w:i/>
        </w:rPr>
        <w:t>NH</w:t>
      </w:r>
      <w:r w:rsidR="000E143A" w:rsidRPr="000E143A">
        <w:rPr>
          <w:vertAlign w:val="subscript"/>
        </w:rPr>
        <w:t>4</w:t>
      </w:r>
      <w:r w:rsidR="000E143A" w:rsidRPr="000E143A">
        <w:rPr>
          <w:i/>
        </w:rPr>
        <w:t>SO</w:t>
      </w:r>
      <w:r w:rsidR="000E143A" w:rsidRPr="000E143A">
        <w:rPr>
          <w:vertAlign w:val="subscript"/>
        </w:rPr>
        <w:t>4</w:t>
      </w:r>
      <w:r w:rsidR="000E143A">
        <w:t xml:space="preserve"> and </w:t>
      </w:r>
      <w:r w:rsidR="000E143A" w:rsidRPr="000E143A">
        <w:rPr>
          <w:i/>
        </w:rPr>
        <w:t>NH</w:t>
      </w:r>
      <w:r w:rsidR="000E143A" w:rsidRPr="000E143A">
        <w:rPr>
          <w:vertAlign w:val="subscript"/>
        </w:rPr>
        <w:t>4</w:t>
      </w:r>
      <w:r w:rsidR="000E143A" w:rsidRPr="000E143A">
        <w:rPr>
          <w:i/>
        </w:rPr>
        <w:t>Cl</w:t>
      </w:r>
      <w:r w:rsidR="000E143A">
        <w:t xml:space="preserve"> were prepared. These four samples were weighed in their containers, then put on an </w:t>
      </w:r>
      <w:proofErr w:type="spellStart"/>
      <w:r w:rsidR="000E143A">
        <w:t>Isotemp</w:t>
      </w:r>
      <w:proofErr w:type="spellEnd"/>
      <w:r w:rsidR="000E143A">
        <w:t xml:space="preserve"> hot plate (Fisher Scientific, Waltham, MA, USA), set to just below 100 °C. They were allowed to heat</w:t>
      </w:r>
      <w:r w:rsidR="00913D67">
        <w:t xml:space="preserve"> in a fume hood</w:t>
      </w:r>
      <w:r w:rsidR="000E143A">
        <w:t xml:space="preserve"> for thirty minutes, then removed and weighed again. The </w:t>
      </w:r>
      <w:r w:rsidR="000E143A" w:rsidRPr="000E143A">
        <w:rPr>
          <w:i/>
        </w:rPr>
        <w:t>∆m</w:t>
      </w:r>
      <w:r w:rsidR="000E143A">
        <w:t xml:space="preserve"> was recorded, and calculated relative to the initial mass for a yield percentage.</w:t>
      </w:r>
    </w:p>
    <w:p w14:paraId="3113166E" w14:textId="77777777" w:rsidR="008A28B4" w:rsidRDefault="008A28B4" w:rsidP="009F3C8C">
      <w:pPr>
        <w:pStyle w:val="Heading1"/>
      </w:pPr>
      <w:r>
        <w:t>Results</w:t>
      </w:r>
    </w:p>
    <w:tbl>
      <w:tblPr>
        <w:tblStyle w:val="LightList-Accent1"/>
        <w:tblW w:w="9108" w:type="dxa"/>
        <w:tblLayout w:type="fixed"/>
        <w:tblLook w:val="04A0" w:firstRow="1" w:lastRow="0" w:firstColumn="1" w:lastColumn="0" w:noHBand="0" w:noVBand="1"/>
      </w:tblPr>
      <w:tblGrid>
        <w:gridCol w:w="881"/>
        <w:gridCol w:w="1464"/>
        <w:gridCol w:w="1372"/>
        <w:gridCol w:w="809"/>
        <w:gridCol w:w="1882"/>
        <w:gridCol w:w="1069"/>
        <w:gridCol w:w="1631"/>
      </w:tblGrid>
      <w:tr w:rsidR="00D15924" w:rsidRPr="008A28B4" w14:paraId="1FD8BB60" w14:textId="77777777" w:rsidTr="00D679DA">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noWrap/>
            <w:hideMark/>
          </w:tcPr>
          <w:p w14:paraId="44504EDB" w14:textId="77777777" w:rsidR="008A28B4" w:rsidRPr="00D15924" w:rsidRDefault="008A28B4" w:rsidP="008A28B4">
            <w:pPr>
              <w:rPr>
                <w:rFonts w:ascii="Calibri" w:eastAsia="Times New Roman" w:hAnsi="Calibri" w:cs="Times New Roman"/>
                <w:color w:val="000000"/>
                <w:sz w:val="20"/>
              </w:rPr>
            </w:pPr>
            <w:r w:rsidRPr="00D15924">
              <w:rPr>
                <w:rFonts w:ascii="Calibri" w:eastAsia="Times New Roman" w:hAnsi="Calibri" w:cs="Times New Roman"/>
                <w:color w:val="000000"/>
                <w:sz w:val="20"/>
              </w:rPr>
              <w:t>Sample</w:t>
            </w:r>
          </w:p>
        </w:tc>
        <w:tc>
          <w:tcPr>
            <w:tcW w:w="1464" w:type="dxa"/>
            <w:tcBorders>
              <w:bottom w:val="single" w:sz="4" w:space="0" w:color="auto"/>
            </w:tcBorders>
            <w:noWrap/>
            <w:hideMark/>
          </w:tcPr>
          <w:p w14:paraId="57EDF9AE" w14:textId="77777777" w:rsidR="008A28B4" w:rsidRPr="00D15924" w:rsidRDefault="008A28B4" w:rsidP="008A28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D15924">
              <w:rPr>
                <w:rFonts w:ascii="Calibri" w:eastAsia="Times New Roman" w:hAnsi="Calibri" w:cs="Times New Roman"/>
                <w:color w:val="000000"/>
                <w:sz w:val="20"/>
              </w:rPr>
              <w:t>Initial Mass (g)</w:t>
            </w:r>
          </w:p>
        </w:tc>
        <w:tc>
          <w:tcPr>
            <w:tcW w:w="1372" w:type="dxa"/>
            <w:tcBorders>
              <w:bottom w:val="single" w:sz="4" w:space="0" w:color="auto"/>
            </w:tcBorders>
            <w:noWrap/>
            <w:hideMark/>
          </w:tcPr>
          <w:p w14:paraId="5F90650C" w14:textId="77777777" w:rsidR="008A28B4" w:rsidRPr="00D15924" w:rsidRDefault="008A28B4" w:rsidP="008A28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D15924">
              <w:rPr>
                <w:rFonts w:ascii="Calibri" w:eastAsia="Times New Roman" w:hAnsi="Calibri" w:cs="Times New Roman"/>
                <w:color w:val="000000"/>
                <w:sz w:val="20"/>
              </w:rPr>
              <w:t>Final Mass (g)</w:t>
            </w:r>
          </w:p>
        </w:tc>
        <w:tc>
          <w:tcPr>
            <w:tcW w:w="809" w:type="dxa"/>
            <w:tcBorders>
              <w:bottom w:val="single" w:sz="4" w:space="0" w:color="auto"/>
            </w:tcBorders>
            <w:noWrap/>
            <w:hideMark/>
          </w:tcPr>
          <w:p w14:paraId="41815939" w14:textId="77777777" w:rsidR="008A28B4" w:rsidRPr="00D15924" w:rsidRDefault="008A28B4" w:rsidP="008A28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D15924">
              <w:rPr>
                <w:rFonts w:ascii="Calibri" w:eastAsia="Times New Roman" w:hAnsi="Calibri" w:cs="Times New Roman"/>
                <w:color w:val="000000"/>
                <w:sz w:val="20"/>
              </w:rPr>
              <w:t>∆m (g)</w:t>
            </w:r>
          </w:p>
        </w:tc>
        <w:tc>
          <w:tcPr>
            <w:tcW w:w="1882" w:type="dxa"/>
            <w:tcBorders>
              <w:bottom w:val="single" w:sz="4" w:space="0" w:color="auto"/>
            </w:tcBorders>
            <w:noWrap/>
            <w:hideMark/>
          </w:tcPr>
          <w:p w14:paraId="1A48ADB6" w14:textId="49FE668A" w:rsidR="008A28B4" w:rsidRPr="00D15924" w:rsidRDefault="008A28B4" w:rsidP="008A28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D15924">
              <w:rPr>
                <w:rFonts w:ascii="Calibri" w:eastAsia="Times New Roman" w:hAnsi="Calibri" w:cs="Times New Roman"/>
                <w:color w:val="000000"/>
                <w:sz w:val="20"/>
              </w:rPr>
              <w:t>Total NH</w:t>
            </w:r>
            <w:r w:rsidRPr="00D679DA">
              <w:rPr>
                <w:rFonts w:ascii="Calibri" w:eastAsia="Times New Roman" w:hAnsi="Calibri" w:cs="Times New Roman"/>
                <w:color w:val="000000"/>
                <w:sz w:val="20"/>
                <w:vertAlign w:val="subscript"/>
              </w:rPr>
              <w:t>4</w:t>
            </w:r>
            <w:r w:rsidR="00D679DA" w:rsidRPr="00D679DA">
              <w:rPr>
                <w:rFonts w:ascii="Calibri" w:eastAsia="Times New Roman" w:hAnsi="Calibri" w:cs="Times New Roman"/>
                <w:color w:val="000000"/>
                <w:sz w:val="20"/>
                <w:vertAlign w:val="superscript"/>
              </w:rPr>
              <w:t>+</w:t>
            </w:r>
            <w:r w:rsidR="00D679DA">
              <w:rPr>
                <w:rFonts w:ascii="Calibri" w:eastAsia="Times New Roman" w:hAnsi="Calibri" w:cs="Times New Roman"/>
                <w:color w:val="000000"/>
                <w:sz w:val="20"/>
              </w:rPr>
              <w:t xml:space="preserve"> </w:t>
            </w:r>
            <w:r w:rsidRPr="00D15924">
              <w:rPr>
                <w:rFonts w:ascii="Calibri" w:eastAsia="Times New Roman" w:hAnsi="Calibri" w:cs="Times New Roman"/>
                <w:color w:val="000000"/>
                <w:sz w:val="20"/>
              </w:rPr>
              <w:t>Mass (g)</w:t>
            </w:r>
          </w:p>
        </w:tc>
        <w:tc>
          <w:tcPr>
            <w:tcW w:w="1069" w:type="dxa"/>
            <w:tcBorders>
              <w:bottom w:val="single" w:sz="4" w:space="0" w:color="auto"/>
            </w:tcBorders>
            <w:noWrap/>
            <w:hideMark/>
          </w:tcPr>
          <w:p w14:paraId="713CD5F6" w14:textId="77777777" w:rsidR="008A28B4" w:rsidRPr="00D15924" w:rsidRDefault="008A28B4" w:rsidP="008A28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D15924">
              <w:rPr>
                <w:rFonts w:ascii="Calibri" w:eastAsia="Times New Roman" w:hAnsi="Calibri" w:cs="Times New Roman"/>
                <w:color w:val="000000"/>
                <w:sz w:val="20"/>
              </w:rPr>
              <w:t>Salt Type</w:t>
            </w:r>
          </w:p>
        </w:tc>
        <w:tc>
          <w:tcPr>
            <w:tcW w:w="1631" w:type="dxa"/>
            <w:tcBorders>
              <w:bottom w:val="single" w:sz="4" w:space="0" w:color="auto"/>
            </w:tcBorders>
            <w:noWrap/>
            <w:hideMark/>
          </w:tcPr>
          <w:p w14:paraId="45E93D12" w14:textId="77777777" w:rsidR="008A28B4" w:rsidRPr="00D15924" w:rsidRDefault="00D15924" w:rsidP="00D15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Pr>
                <w:rFonts w:ascii="Calibri" w:eastAsia="Times New Roman" w:hAnsi="Calibri" w:cs="Times New Roman"/>
                <w:color w:val="000000"/>
                <w:sz w:val="20"/>
              </w:rPr>
              <w:t>Percent Yield</w:t>
            </w:r>
          </w:p>
        </w:tc>
      </w:tr>
      <w:tr w:rsidR="00D15924" w:rsidRPr="008A28B4" w14:paraId="2DA3AC81" w14:textId="77777777" w:rsidTr="00D679D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81" w:type="dxa"/>
            <w:tcBorders>
              <w:top w:val="single" w:sz="4" w:space="0" w:color="auto"/>
              <w:left w:val="single" w:sz="4" w:space="0" w:color="auto"/>
              <w:bottom w:val="single" w:sz="4" w:space="0" w:color="auto"/>
              <w:right w:val="single" w:sz="4" w:space="0" w:color="auto"/>
            </w:tcBorders>
            <w:noWrap/>
            <w:hideMark/>
          </w:tcPr>
          <w:p w14:paraId="58991190" w14:textId="77777777" w:rsidR="008A28B4" w:rsidRPr="008A28B4" w:rsidRDefault="008A28B4" w:rsidP="008A28B4">
            <w:pPr>
              <w:jc w:val="right"/>
              <w:rPr>
                <w:rFonts w:ascii="Calibri" w:eastAsia="Times New Roman" w:hAnsi="Calibri" w:cs="Times New Roman"/>
                <w:color w:val="000000"/>
              </w:rPr>
            </w:pPr>
            <w:r>
              <w:rPr>
                <w:rFonts w:ascii="Calibri" w:eastAsia="Times New Roman" w:hAnsi="Calibri" w:cs="Times New Roman"/>
                <w:color w:val="000000"/>
              </w:rPr>
              <w:t>1</w:t>
            </w:r>
          </w:p>
        </w:tc>
        <w:tc>
          <w:tcPr>
            <w:tcW w:w="1464" w:type="dxa"/>
            <w:tcBorders>
              <w:top w:val="single" w:sz="4" w:space="0" w:color="auto"/>
              <w:left w:val="single" w:sz="4" w:space="0" w:color="auto"/>
              <w:bottom w:val="single" w:sz="4" w:space="0" w:color="auto"/>
              <w:right w:val="single" w:sz="4" w:space="0" w:color="auto"/>
            </w:tcBorders>
            <w:noWrap/>
            <w:hideMark/>
          </w:tcPr>
          <w:p w14:paraId="0343AA4B" w14:textId="77777777" w:rsidR="008A28B4" w:rsidRPr="008A28B4" w:rsidRDefault="008A28B4"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83.307</w:t>
            </w:r>
          </w:p>
        </w:tc>
        <w:tc>
          <w:tcPr>
            <w:tcW w:w="1372" w:type="dxa"/>
            <w:tcBorders>
              <w:top w:val="single" w:sz="4" w:space="0" w:color="auto"/>
              <w:left w:val="single" w:sz="4" w:space="0" w:color="auto"/>
              <w:bottom w:val="single" w:sz="4" w:space="0" w:color="auto"/>
              <w:right w:val="single" w:sz="4" w:space="0" w:color="auto"/>
            </w:tcBorders>
            <w:noWrap/>
            <w:hideMark/>
          </w:tcPr>
          <w:p w14:paraId="55E89EB7" w14:textId="77777777" w:rsidR="008A28B4" w:rsidRPr="008A28B4" w:rsidRDefault="008A28B4"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82.979</w:t>
            </w:r>
          </w:p>
        </w:tc>
        <w:tc>
          <w:tcPr>
            <w:tcW w:w="809" w:type="dxa"/>
            <w:tcBorders>
              <w:top w:val="single" w:sz="4" w:space="0" w:color="auto"/>
              <w:left w:val="single" w:sz="4" w:space="0" w:color="auto"/>
              <w:bottom w:val="single" w:sz="4" w:space="0" w:color="auto"/>
              <w:right w:val="single" w:sz="4" w:space="0" w:color="auto"/>
            </w:tcBorders>
            <w:noWrap/>
            <w:hideMark/>
          </w:tcPr>
          <w:p w14:paraId="581DB769" w14:textId="77777777" w:rsidR="008A28B4" w:rsidRPr="008A28B4" w:rsidRDefault="008A28B4"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0.328</w:t>
            </w:r>
          </w:p>
        </w:tc>
        <w:tc>
          <w:tcPr>
            <w:tcW w:w="1882" w:type="dxa"/>
            <w:tcBorders>
              <w:top w:val="single" w:sz="4" w:space="0" w:color="auto"/>
              <w:left w:val="single" w:sz="4" w:space="0" w:color="auto"/>
              <w:bottom w:val="single" w:sz="4" w:space="0" w:color="auto"/>
              <w:right w:val="single" w:sz="4" w:space="0" w:color="auto"/>
            </w:tcBorders>
            <w:noWrap/>
            <w:hideMark/>
          </w:tcPr>
          <w:p w14:paraId="07121B54" w14:textId="77777777" w:rsidR="008A28B4" w:rsidRPr="008A28B4" w:rsidRDefault="008A28B4"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0.568</w:t>
            </w:r>
          </w:p>
        </w:tc>
        <w:tc>
          <w:tcPr>
            <w:tcW w:w="1069" w:type="dxa"/>
            <w:tcBorders>
              <w:top w:val="single" w:sz="4" w:space="0" w:color="auto"/>
              <w:left w:val="single" w:sz="4" w:space="0" w:color="auto"/>
              <w:bottom w:val="single" w:sz="4" w:space="0" w:color="auto"/>
              <w:right w:val="single" w:sz="4" w:space="0" w:color="auto"/>
            </w:tcBorders>
            <w:noWrap/>
            <w:hideMark/>
          </w:tcPr>
          <w:p w14:paraId="5CAF135F" w14:textId="77777777" w:rsidR="008A28B4" w:rsidRPr="008A28B4" w:rsidRDefault="008A28B4" w:rsidP="008A28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NH4SO4</w:t>
            </w:r>
          </w:p>
        </w:tc>
        <w:tc>
          <w:tcPr>
            <w:tcW w:w="1631" w:type="dxa"/>
            <w:tcBorders>
              <w:top w:val="single" w:sz="4" w:space="0" w:color="auto"/>
              <w:left w:val="single" w:sz="4" w:space="0" w:color="auto"/>
              <w:bottom w:val="single" w:sz="4" w:space="0" w:color="auto"/>
              <w:right w:val="single" w:sz="4" w:space="0" w:color="auto"/>
            </w:tcBorders>
            <w:noWrap/>
            <w:hideMark/>
          </w:tcPr>
          <w:p w14:paraId="438703A5" w14:textId="77777777" w:rsidR="008A28B4" w:rsidRPr="008A28B4" w:rsidRDefault="008A28B4"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57.74647887</w:t>
            </w:r>
          </w:p>
        </w:tc>
      </w:tr>
      <w:tr w:rsidR="00D15924" w:rsidRPr="008A28B4" w14:paraId="01F2918F" w14:textId="77777777" w:rsidTr="00D679DA">
        <w:trPr>
          <w:trHeight w:val="264"/>
        </w:trPr>
        <w:tc>
          <w:tcPr>
            <w:cnfStyle w:val="001000000000" w:firstRow="0" w:lastRow="0" w:firstColumn="1" w:lastColumn="0" w:oddVBand="0" w:evenVBand="0" w:oddHBand="0" w:evenHBand="0" w:firstRowFirstColumn="0" w:firstRowLastColumn="0" w:lastRowFirstColumn="0" w:lastRowLastColumn="0"/>
            <w:tcW w:w="881" w:type="dxa"/>
            <w:tcBorders>
              <w:top w:val="single" w:sz="4" w:space="0" w:color="auto"/>
              <w:left w:val="single" w:sz="4" w:space="0" w:color="auto"/>
              <w:bottom w:val="single" w:sz="4" w:space="0" w:color="auto"/>
              <w:right w:val="single" w:sz="4" w:space="0" w:color="auto"/>
            </w:tcBorders>
            <w:noWrap/>
            <w:hideMark/>
          </w:tcPr>
          <w:p w14:paraId="7B1DA95A" w14:textId="77777777" w:rsidR="008A28B4" w:rsidRPr="008A28B4" w:rsidRDefault="008A28B4" w:rsidP="008A28B4">
            <w:pPr>
              <w:jc w:val="right"/>
              <w:rPr>
                <w:rFonts w:ascii="Calibri" w:eastAsia="Times New Roman" w:hAnsi="Calibri" w:cs="Times New Roman"/>
                <w:color w:val="000000"/>
              </w:rPr>
            </w:pPr>
            <w:r w:rsidRPr="008A28B4">
              <w:rPr>
                <w:rFonts w:ascii="Calibri" w:eastAsia="Times New Roman" w:hAnsi="Calibri" w:cs="Times New Roman"/>
                <w:color w:val="000000"/>
              </w:rPr>
              <w:t>2</w:t>
            </w:r>
          </w:p>
        </w:tc>
        <w:tc>
          <w:tcPr>
            <w:tcW w:w="1464" w:type="dxa"/>
            <w:tcBorders>
              <w:top w:val="single" w:sz="4" w:space="0" w:color="auto"/>
              <w:left w:val="single" w:sz="4" w:space="0" w:color="auto"/>
              <w:bottom w:val="single" w:sz="4" w:space="0" w:color="auto"/>
              <w:right w:val="single" w:sz="4" w:space="0" w:color="auto"/>
            </w:tcBorders>
            <w:noWrap/>
            <w:hideMark/>
          </w:tcPr>
          <w:p w14:paraId="3BF6CF64" w14:textId="77777777" w:rsidR="008A28B4" w:rsidRPr="008A28B4" w:rsidRDefault="008A28B4"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83.99</w:t>
            </w:r>
          </w:p>
        </w:tc>
        <w:tc>
          <w:tcPr>
            <w:tcW w:w="1372" w:type="dxa"/>
            <w:tcBorders>
              <w:top w:val="single" w:sz="4" w:space="0" w:color="auto"/>
              <w:left w:val="single" w:sz="4" w:space="0" w:color="auto"/>
              <w:bottom w:val="single" w:sz="4" w:space="0" w:color="auto"/>
              <w:right w:val="single" w:sz="4" w:space="0" w:color="auto"/>
            </w:tcBorders>
            <w:noWrap/>
            <w:hideMark/>
          </w:tcPr>
          <w:p w14:paraId="067F062D" w14:textId="77777777" w:rsidR="008A28B4" w:rsidRPr="008A28B4" w:rsidRDefault="008A28B4"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83.742</w:t>
            </w:r>
          </w:p>
        </w:tc>
        <w:tc>
          <w:tcPr>
            <w:tcW w:w="809" w:type="dxa"/>
            <w:tcBorders>
              <w:top w:val="single" w:sz="4" w:space="0" w:color="auto"/>
              <w:left w:val="single" w:sz="4" w:space="0" w:color="auto"/>
              <w:bottom w:val="single" w:sz="4" w:space="0" w:color="auto"/>
              <w:right w:val="single" w:sz="4" w:space="0" w:color="auto"/>
            </w:tcBorders>
            <w:noWrap/>
            <w:hideMark/>
          </w:tcPr>
          <w:p w14:paraId="521C8D77" w14:textId="77777777" w:rsidR="008A28B4" w:rsidRPr="008A28B4" w:rsidRDefault="008A28B4"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0.248</w:t>
            </w:r>
          </w:p>
        </w:tc>
        <w:tc>
          <w:tcPr>
            <w:tcW w:w="1882" w:type="dxa"/>
            <w:tcBorders>
              <w:top w:val="single" w:sz="4" w:space="0" w:color="auto"/>
              <w:left w:val="single" w:sz="4" w:space="0" w:color="auto"/>
              <w:bottom w:val="single" w:sz="4" w:space="0" w:color="auto"/>
              <w:right w:val="single" w:sz="4" w:space="0" w:color="auto"/>
            </w:tcBorders>
            <w:noWrap/>
            <w:hideMark/>
          </w:tcPr>
          <w:p w14:paraId="2C6BF303" w14:textId="77777777" w:rsidR="008A28B4" w:rsidRPr="008A28B4" w:rsidRDefault="008A28B4"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0.301308</w:t>
            </w:r>
          </w:p>
        </w:tc>
        <w:tc>
          <w:tcPr>
            <w:tcW w:w="1069" w:type="dxa"/>
            <w:tcBorders>
              <w:top w:val="single" w:sz="4" w:space="0" w:color="auto"/>
              <w:left w:val="single" w:sz="4" w:space="0" w:color="auto"/>
              <w:bottom w:val="single" w:sz="4" w:space="0" w:color="auto"/>
              <w:right w:val="single" w:sz="4" w:space="0" w:color="auto"/>
            </w:tcBorders>
            <w:noWrap/>
            <w:hideMark/>
          </w:tcPr>
          <w:p w14:paraId="44567954" w14:textId="77777777" w:rsidR="008A28B4" w:rsidRPr="008A28B4" w:rsidRDefault="008A28B4" w:rsidP="008A28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NH4SO4</w:t>
            </w:r>
          </w:p>
        </w:tc>
        <w:tc>
          <w:tcPr>
            <w:tcW w:w="1631" w:type="dxa"/>
            <w:tcBorders>
              <w:top w:val="single" w:sz="4" w:space="0" w:color="auto"/>
              <w:left w:val="single" w:sz="4" w:space="0" w:color="auto"/>
              <w:bottom w:val="single" w:sz="4" w:space="0" w:color="auto"/>
              <w:right w:val="single" w:sz="4" w:space="0" w:color="auto"/>
            </w:tcBorders>
            <w:noWrap/>
            <w:hideMark/>
          </w:tcPr>
          <w:p w14:paraId="4479710B" w14:textId="77777777" w:rsidR="008A28B4" w:rsidRPr="008A28B4" w:rsidRDefault="008A28B4"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82.30780464</w:t>
            </w:r>
          </w:p>
        </w:tc>
      </w:tr>
      <w:tr w:rsidR="00D15924" w:rsidRPr="008A28B4" w14:paraId="004EB08E" w14:textId="77777777" w:rsidTr="00D679D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81" w:type="dxa"/>
            <w:tcBorders>
              <w:top w:val="single" w:sz="4" w:space="0" w:color="auto"/>
              <w:left w:val="single" w:sz="4" w:space="0" w:color="auto"/>
              <w:bottom w:val="single" w:sz="4" w:space="0" w:color="auto"/>
              <w:right w:val="single" w:sz="4" w:space="0" w:color="auto"/>
            </w:tcBorders>
            <w:noWrap/>
            <w:hideMark/>
          </w:tcPr>
          <w:p w14:paraId="51C6D744" w14:textId="77777777" w:rsidR="008A28B4" w:rsidRPr="008A28B4" w:rsidRDefault="008A28B4" w:rsidP="008A28B4">
            <w:pPr>
              <w:jc w:val="right"/>
              <w:rPr>
                <w:rFonts w:ascii="Calibri" w:eastAsia="Times New Roman" w:hAnsi="Calibri" w:cs="Times New Roman"/>
                <w:color w:val="000000"/>
              </w:rPr>
            </w:pPr>
            <w:r>
              <w:rPr>
                <w:rFonts w:ascii="Calibri" w:eastAsia="Times New Roman" w:hAnsi="Calibri" w:cs="Times New Roman"/>
                <w:color w:val="000000"/>
              </w:rPr>
              <w:t>3</w:t>
            </w:r>
          </w:p>
        </w:tc>
        <w:tc>
          <w:tcPr>
            <w:tcW w:w="1464" w:type="dxa"/>
            <w:tcBorders>
              <w:top w:val="single" w:sz="4" w:space="0" w:color="auto"/>
              <w:left w:val="single" w:sz="4" w:space="0" w:color="auto"/>
              <w:bottom w:val="single" w:sz="4" w:space="0" w:color="auto"/>
              <w:right w:val="single" w:sz="4" w:space="0" w:color="auto"/>
            </w:tcBorders>
            <w:noWrap/>
            <w:hideMark/>
          </w:tcPr>
          <w:p w14:paraId="543D2E03" w14:textId="77777777" w:rsidR="008A28B4" w:rsidRPr="008A28B4" w:rsidRDefault="008A28B4"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83.567</w:t>
            </w:r>
          </w:p>
        </w:tc>
        <w:tc>
          <w:tcPr>
            <w:tcW w:w="1372" w:type="dxa"/>
            <w:tcBorders>
              <w:top w:val="single" w:sz="4" w:space="0" w:color="auto"/>
              <w:left w:val="single" w:sz="4" w:space="0" w:color="auto"/>
              <w:bottom w:val="single" w:sz="4" w:space="0" w:color="auto"/>
              <w:right w:val="single" w:sz="4" w:space="0" w:color="auto"/>
            </w:tcBorders>
            <w:noWrap/>
            <w:hideMark/>
          </w:tcPr>
          <w:p w14:paraId="4A1AFF8F" w14:textId="77777777" w:rsidR="008A28B4" w:rsidRPr="008A28B4" w:rsidRDefault="008A28B4"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83.199</w:t>
            </w:r>
          </w:p>
        </w:tc>
        <w:tc>
          <w:tcPr>
            <w:tcW w:w="809" w:type="dxa"/>
            <w:tcBorders>
              <w:top w:val="single" w:sz="4" w:space="0" w:color="auto"/>
              <w:left w:val="single" w:sz="4" w:space="0" w:color="auto"/>
              <w:bottom w:val="single" w:sz="4" w:space="0" w:color="auto"/>
              <w:right w:val="single" w:sz="4" w:space="0" w:color="auto"/>
            </w:tcBorders>
            <w:noWrap/>
            <w:hideMark/>
          </w:tcPr>
          <w:p w14:paraId="08CADBF5" w14:textId="77777777" w:rsidR="008A28B4" w:rsidRPr="008A28B4" w:rsidRDefault="008A28B4"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0.368</w:t>
            </w:r>
          </w:p>
        </w:tc>
        <w:tc>
          <w:tcPr>
            <w:tcW w:w="1882" w:type="dxa"/>
            <w:tcBorders>
              <w:top w:val="single" w:sz="4" w:space="0" w:color="auto"/>
              <w:left w:val="single" w:sz="4" w:space="0" w:color="auto"/>
              <w:bottom w:val="single" w:sz="4" w:space="0" w:color="auto"/>
              <w:right w:val="single" w:sz="4" w:space="0" w:color="auto"/>
            </w:tcBorders>
            <w:noWrap/>
            <w:hideMark/>
          </w:tcPr>
          <w:p w14:paraId="6964F2A9" w14:textId="77777777" w:rsidR="008A28B4" w:rsidRPr="008A28B4" w:rsidRDefault="008A28B4"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0.703</w:t>
            </w:r>
          </w:p>
        </w:tc>
        <w:tc>
          <w:tcPr>
            <w:tcW w:w="1069" w:type="dxa"/>
            <w:tcBorders>
              <w:top w:val="single" w:sz="4" w:space="0" w:color="auto"/>
              <w:left w:val="single" w:sz="4" w:space="0" w:color="auto"/>
              <w:bottom w:val="single" w:sz="4" w:space="0" w:color="auto"/>
              <w:right w:val="single" w:sz="4" w:space="0" w:color="auto"/>
            </w:tcBorders>
            <w:noWrap/>
            <w:hideMark/>
          </w:tcPr>
          <w:p w14:paraId="60BE211F" w14:textId="77777777" w:rsidR="008A28B4" w:rsidRPr="008A28B4" w:rsidRDefault="008A28B4" w:rsidP="008A28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NH4Cl</w:t>
            </w:r>
          </w:p>
        </w:tc>
        <w:tc>
          <w:tcPr>
            <w:tcW w:w="1631" w:type="dxa"/>
            <w:tcBorders>
              <w:top w:val="single" w:sz="4" w:space="0" w:color="auto"/>
              <w:left w:val="single" w:sz="4" w:space="0" w:color="auto"/>
              <w:bottom w:val="single" w:sz="4" w:space="0" w:color="auto"/>
              <w:right w:val="single" w:sz="4" w:space="0" w:color="auto"/>
            </w:tcBorders>
            <w:noWrap/>
            <w:hideMark/>
          </w:tcPr>
          <w:p w14:paraId="79099965" w14:textId="77777777" w:rsidR="008A28B4" w:rsidRPr="008A28B4" w:rsidRDefault="008A28B4"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52.34708393</w:t>
            </w:r>
          </w:p>
        </w:tc>
      </w:tr>
      <w:tr w:rsidR="00D15924" w:rsidRPr="008A28B4" w14:paraId="66CAF01B" w14:textId="77777777" w:rsidTr="00D679DA">
        <w:trPr>
          <w:trHeight w:val="264"/>
        </w:trPr>
        <w:tc>
          <w:tcPr>
            <w:cnfStyle w:val="001000000000" w:firstRow="0" w:lastRow="0" w:firstColumn="1" w:lastColumn="0" w:oddVBand="0" w:evenVBand="0" w:oddHBand="0" w:evenHBand="0" w:firstRowFirstColumn="0" w:firstRowLastColumn="0" w:lastRowFirstColumn="0" w:lastRowLastColumn="0"/>
            <w:tcW w:w="881" w:type="dxa"/>
            <w:tcBorders>
              <w:top w:val="single" w:sz="4" w:space="0" w:color="auto"/>
              <w:left w:val="single" w:sz="4" w:space="0" w:color="auto"/>
              <w:bottom w:val="single" w:sz="4" w:space="0" w:color="auto"/>
              <w:right w:val="single" w:sz="4" w:space="0" w:color="auto"/>
            </w:tcBorders>
            <w:noWrap/>
            <w:hideMark/>
          </w:tcPr>
          <w:p w14:paraId="65D7EA9C" w14:textId="77777777" w:rsidR="008A28B4" w:rsidRPr="008A28B4" w:rsidRDefault="008A28B4" w:rsidP="008A28B4">
            <w:pPr>
              <w:jc w:val="right"/>
              <w:rPr>
                <w:rFonts w:ascii="Calibri" w:eastAsia="Times New Roman" w:hAnsi="Calibri" w:cs="Times New Roman"/>
                <w:color w:val="000000"/>
              </w:rPr>
            </w:pPr>
            <w:r>
              <w:rPr>
                <w:rFonts w:ascii="Calibri" w:eastAsia="Times New Roman" w:hAnsi="Calibri" w:cs="Times New Roman"/>
                <w:color w:val="000000"/>
              </w:rPr>
              <w:t>4</w:t>
            </w:r>
          </w:p>
        </w:tc>
        <w:tc>
          <w:tcPr>
            <w:tcW w:w="1464" w:type="dxa"/>
            <w:tcBorders>
              <w:top w:val="single" w:sz="4" w:space="0" w:color="auto"/>
              <w:left w:val="single" w:sz="4" w:space="0" w:color="auto"/>
              <w:bottom w:val="single" w:sz="4" w:space="0" w:color="auto"/>
              <w:right w:val="single" w:sz="4" w:space="0" w:color="auto"/>
            </w:tcBorders>
            <w:noWrap/>
            <w:hideMark/>
          </w:tcPr>
          <w:p w14:paraId="27505743" w14:textId="77777777" w:rsidR="008A28B4" w:rsidRPr="008A28B4" w:rsidRDefault="008A28B4"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83.025</w:t>
            </w:r>
          </w:p>
        </w:tc>
        <w:tc>
          <w:tcPr>
            <w:tcW w:w="1372" w:type="dxa"/>
            <w:tcBorders>
              <w:top w:val="single" w:sz="4" w:space="0" w:color="auto"/>
              <w:left w:val="single" w:sz="4" w:space="0" w:color="auto"/>
              <w:bottom w:val="single" w:sz="4" w:space="0" w:color="auto"/>
              <w:right w:val="single" w:sz="4" w:space="0" w:color="auto"/>
            </w:tcBorders>
            <w:noWrap/>
            <w:hideMark/>
          </w:tcPr>
          <w:p w14:paraId="50307F7A" w14:textId="77777777" w:rsidR="008A28B4" w:rsidRPr="008A28B4" w:rsidRDefault="008A28B4"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82.776</w:t>
            </w:r>
          </w:p>
        </w:tc>
        <w:tc>
          <w:tcPr>
            <w:tcW w:w="809" w:type="dxa"/>
            <w:tcBorders>
              <w:top w:val="single" w:sz="4" w:space="0" w:color="auto"/>
              <w:left w:val="single" w:sz="4" w:space="0" w:color="auto"/>
              <w:bottom w:val="single" w:sz="4" w:space="0" w:color="auto"/>
              <w:right w:val="single" w:sz="4" w:space="0" w:color="auto"/>
            </w:tcBorders>
            <w:noWrap/>
            <w:hideMark/>
          </w:tcPr>
          <w:p w14:paraId="6F9758DD" w14:textId="77777777" w:rsidR="008A28B4" w:rsidRPr="008A28B4" w:rsidRDefault="008A28B4"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0.249</w:t>
            </w:r>
          </w:p>
        </w:tc>
        <w:tc>
          <w:tcPr>
            <w:tcW w:w="1882" w:type="dxa"/>
            <w:tcBorders>
              <w:top w:val="single" w:sz="4" w:space="0" w:color="auto"/>
              <w:left w:val="single" w:sz="4" w:space="0" w:color="auto"/>
              <w:bottom w:val="single" w:sz="4" w:space="0" w:color="auto"/>
              <w:right w:val="single" w:sz="4" w:space="0" w:color="auto"/>
            </w:tcBorders>
            <w:noWrap/>
            <w:hideMark/>
          </w:tcPr>
          <w:p w14:paraId="1C39058E" w14:textId="77777777" w:rsidR="008A28B4" w:rsidRPr="008A28B4" w:rsidRDefault="008A28B4"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0.41593</w:t>
            </w:r>
          </w:p>
        </w:tc>
        <w:tc>
          <w:tcPr>
            <w:tcW w:w="1069" w:type="dxa"/>
            <w:tcBorders>
              <w:top w:val="single" w:sz="4" w:space="0" w:color="auto"/>
              <w:left w:val="single" w:sz="4" w:space="0" w:color="auto"/>
              <w:bottom w:val="single" w:sz="4" w:space="0" w:color="auto"/>
              <w:right w:val="single" w:sz="4" w:space="0" w:color="auto"/>
            </w:tcBorders>
            <w:noWrap/>
            <w:hideMark/>
          </w:tcPr>
          <w:p w14:paraId="5296E862" w14:textId="77777777" w:rsidR="008A28B4" w:rsidRPr="008A28B4" w:rsidRDefault="008A28B4" w:rsidP="008A28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NH4Cl</w:t>
            </w:r>
          </w:p>
        </w:tc>
        <w:tc>
          <w:tcPr>
            <w:tcW w:w="1631" w:type="dxa"/>
            <w:tcBorders>
              <w:top w:val="single" w:sz="4" w:space="0" w:color="auto"/>
              <w:left w:val="single" w:sz="4" w:space="0" w:color="auto"/>
              <w:bottom w:val="single" w:sz="4" w:space="0" w:color="auto"/>
              <w:right w:val="single" w:sz="4" w:space="0" w:color="auto"/>
            </w:tcBorders>
            <w:noWrap/>
            <w:hideMark/>
          </w:tcPr>
          <w:p w14:paraId="025DE29A" w14:textId="77777777" w:rsidR="008A28B4" w:rsidRPr="008A28B4" w:rsidRDefault="008A28B4"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59.86584281</w:t>
            </w:r>
          </w:p>
        </w:tc>
        <w:bookmarkStart w:id="0" w:name="_GoBack"/>
        <w:bookmarkEnd w:id="0"/>
      </w:tr>
    </w:tbl>
    <w:p w14:paraId="126A2490" w14:textId="77777777" w:rsidR="008A28B4" w:rsidRPr="00A3408A" w:rsidRDefault="008A28B4" w:rsidP="009F3C8C"/>
    <w:sectPr w:rsidR="008A28B4" w:rsidRPr="00A3408A" w:rsidSect="00A233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9AC"/>
    <w:rsid w:val="000E143A"/>
    <w:rsid w:val="0041768C"/>
    <w:rsid w:val="00655B6A"/>
    <w:rsid w:val="008A28B4"/>
    <w:rsid w:val="008E25AD"/>
    <w:rsid w:val="00913D67"/>
    <w:rsid w:val="009F3C8C"/>
    <w:rsid w:val="00A2338C"/>
    <w:rsid w:val="00A3408A"/>
    <w:rsid w:val="00AB30C7"/>
    <w:rsid w:val="00D15924"/>
    <w:rsid w:val="00D679DA"/>
    <w:rsid w:val="00D769AC"/>
    <w:rsid w:val="00EC1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3E2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0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68C"/>
    <w:rPr>
      <w:color w:val="808080"/>
    </w:rPr>
  </w:style>
  <w:style w:type="paragraph" w:styleId="BalloonText">
    <w:name w:val="Balloon Text"/>
    <w:basedOn w:val="Normal"/>
    <w:link w:val="BalloonTextChar"/>
    <w:uiPriority w:val="99"/>
    <w:semiHidden/>
    <w:unhideWhenUsed/>
    <w:rsid w:val="0041768C"/>
    <w:rPr>
      <w:rFonts w:ascii="Lucida Grande" w:hAnsi="Lucida Grande"/>
      <w:sz w:val="18"/>
      <w:szCs w:val="18"/>
    </w:rPr>
  </w:style>
  <w:style w:type="character" w:customStyle="1" w:styleId="BalloonTextChar">
    <w:name w:val="Balloon Text Char"/>
    <w:basedOn w:val="DefaultParagraphFont"/>
    <w:link w:val="BalloonText"/>
    <w:uiPriority w:val="99"/>
    <w:semiHidden/>
    <w:rsid w:val="0041768C"/>
    <w:rPr>
      <w:rFonts w:ascii="Lucida Grande" w:hAnsi="Lucida Grande"/>
      <w:sz w:val="18"/>
      <w:szCs w:val="18"/>
    </w:rPr>
  </w:style>
  <w:style w:type="table" w:styleId="LightList-Accent1">
    <w:name w:val="Light List Accent 1"/>
    <w:basedOn w:val="TableNormal"/>
    <w:uiPriority w:val="61"/>
    <w:rsid w:val="008A28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AB30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0C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30C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30C7"/>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B30C7"/>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9F3C8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0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68C"/>
    <w:rPr>
      <w:color w:val="808080"/>
    </w:rPr>
  </w:style>
  <w:style w:type="paragraph" w:styleId="BalloonText">
    <w:name w:val="Balloon Text"/>
    <w:basedOn w:val="Normal"/>
    <w:link w:val="BalloonTextChar"/>
    <w:uiPriority w:val="99"/>
    <w:semiHidden/>
    <w:unhideWhenUsed/>
    <w:rsid w:val="0041768C"/>
    <w:rPr>
      <w:rFonts w:ascii="Lucida Grande" w:hAnsi="Lucida Grande"/>
      <w:sz w:val="18"/>
      <w:szCs w:val="18"/>
    </w:rPr>
  </w:style>
  <w:style w:type="character" w:customStyle="1" w:styleId="BalloonTextChar">
    <w:name w:val="Balloon Text Char"/>
    <w:basedOn w:val="DefaultParagraphFont"/>
    <w:link w:val="BalloonText"/>
    <w:uiPriority w:val="99"/>
    <w:semiHidden/>
    <w:rsid w:val="0041768C"/>
    <w:rPr>
      <w:rFonts w:ascii="Lucida Grande" w:hAnsi="Lucida Grande"/>
      <w:sz w:val="18"/>
      <w:szCs w:val="18"/>
    </w:rPr>
  </w:style>
  <w:style w:type="table" w:styleId="LightList-Accent1">
    <w:name w:val="Light List Accent 1"/>
    <w:basedOn w:val="TableNormal"/>
    <w:uiPriority w:val="61"/>
    <w:rsid w:val="008A28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AB30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0C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30C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30C7"/>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B30C7"/>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9F3C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66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370</Words>
  <Characters>2110</Characters>
  <Application>Microsoft Macintosh Word</Application>
  <DocSecurity>0</DocSecurity>
  <Lines>17</Lines>
  <Paragraphs>4</Paragraphs>
  <ScaleCrop>false</ScaleCrop>
  <Company>Cornell University</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Marchetto</dc:creator>
  <cp:keywords/>
  <dc:description/>
  <cp:lastModifiedBy>Pete Marchetto</cp:lastModifiedBy>
  <cp:revision>5</cp:revision>
  <dcterms:created xsi:type="dcterms:W3CDTF">2014-10-31T17:18:00Z</dcterms:created>
  <dcterms:modified xsi:type="dcterms:W3CDTF">2014-10-31T20:34:00Z</dcterms:modified>
</cp:coreProperties>
</file>