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FACT-FINDING / INFORMATION REQUEST SCHEDULE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Asset / transaction description: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Information requested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700"/>
        <w:gridCol w:w="1600"/>
        <w:gridCol w:w="2700"/>
      </w:tblGrid>
      <w:tr>
        <w:tc>
          <w:tcPr>
            <w:tcW w:type="dxa" w:w="5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7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 requested</w:t>
            </w:r>
          </w:p>
        </w:tc>
        <w:tc>
          <w:tcPr>
            <w:tcW w:type="dxa" w:w="16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Received (Y/N)</w:t>
            </w:r>
          </w:p>
        </w:tc>
        <w:tc>
          <w:tcPr>
            <w:tcW w:type="dxa" w:w="27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Title deed / proof of ownership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Original purchase agreement / proof of cost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Date of acquisition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Details and proof of improvements/capital expenditure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Sale agreement / proof of disposal proceeds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Date of disposal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Valuation report (if available)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700"/>
          </w:tcPr>
          <w:p>
            <w:r>
              <w:rPr>
                <w:sz w:val="18"/>
                <w:szCs w:val="18"/>
              </w:rPr>
              <w:t xml:space="preserve">Prior tax clearance / ZIMRA correspondence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Prepared by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Reviewed by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TX-02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2026-09-14T12:07:38.955Z</dcterms:created>
  <dcterms:modified xsi:type="dcterms:W3CDTF">2026-09-14T12:07:38.955Z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