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drawing>
          <wp:inline distT="0" distB="0" distL="0" distR="0">
            <wp:extent cx="857250" cy="85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"/>
        <w:jc w:val="center"/>
      </w:pPr>
      <w:r>
        <w:rPr>
          <w:b/>
          <w:bCs/>
          <w:color w:val="B8934A"/>
          <w:sz w:val="20"/>
          <w:szCs w:val="20"/>
        </w:rPr>
        <w:t xml:space="preserve">Audit  ·  Assurance  ·  Consulting</w:t>
      </w:r>
    </w:p>
    <w:p>
      <w:pPr>
        <w:spacing w:after="200"/>
        <w:jc w:val="center"/>
      </w:pPr>
      <w:r>
        <w:rPr>
          <w:color w:val="666666"/>
          <w:sz w:val="16"/>
          <w:szCs w:val="16"/>
        </w:rPr>
        <w:t xml:space="preserve">2nd Floor, Michael House, 62 Nelson Mandela Avenue, Harare, Zimbabwe   ·   www.neverlank.co.zw</w:t>
      </w:r>
    </w:p>
    <w:p>
      <w:pPr>
        <w:pBdr>
          <w:bottom w:val="single" w:color="B8934A" w:sz="12" w:space="4"/>
        </w:pBd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F2942"/>
          <w:sz w:val="26"/>
          <w:szCs w:val="26"/>
        </w:rPr>
        <w:t xml:space="preserve">MATERIALITY AND RISK ASSESSMENT WORKPAPER</w:t>
      </w:r>
    </w:p>
    <w:p>
      <w:pPr>
        <w:spacing w:after="100"/>
      </w:pPr>
      <w:r>
        <w:t xml:space="preserve"/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File reference: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Client name: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Financial year end: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1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Materiality calculation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2100"/>
        <w:gridCol w:w="1500"/>
        <w:gridCol w:w="1600"/>
      </w:tblGrid>
      <w:tr>
        <w:tc>
          <w:tcPr>
            <w:tcW w:type="dxa" w:w="25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Benchmark</w:t>
            </w:r>
          </w:p>
        </w:tc>
        <w:tc>
          <w:tcPr>
            <w:tcW w:type="dxa" w:w="18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Amount ($)</w:t>
            </w:r>
          </w:p>
        </w:tc>
        <w:tc>
          <w:tcPr>
            <w:tcW w:type="dxa" w:w="21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% range guidance</w:t>
            </w:r>
          </w:p>
        </w:tc>
        <w:tc>
          <w:tcPr>
            <w:tcW w:type="dxa" w:w="15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% applied</w:t>
            </w:r>
          </w:p>
        </w:tc>
        <w:tc>
          <w:tcPr>
            <w:tcW w:type="dxa" w:w="16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Materiality ($)</w:t>
            </w:r>
          </w:p>
        </w:tc>
      </w:tr>
      <w:tr>
        <w:tc>
          <w:tcPr>
            <w:tcW w:type="dxa" w:w="2500"/>
          </w:tcPr>
          <w:p>
            <w:r>
              <w:rPr>
                <w:sz w:val="18"/>
                <w:szCs w:val="18"/>
              </w:rPr>
              <w:t xml:space="preserve">Revenue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</w:tcPr>
          <w:p>
            <w:r>
              <w:rPr>
                <w:sz w:val="18"/>
                <w:szCs w:val="18"/>
              </w:rPr>
              <w:t xml:space="preserve">0.5% – 1%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00"/>
          </w:tcPr>
          <w:p>
            <w:r>
              <w:rPr>
                <w:sz w:val="18"/>
                <w:szCs w:val="18"/>
              </w:rPr>
              <w:t xml:space="preserve">Total assets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</w:tcPr>
          <w:p>
            <w:r>
              <w:rPr>
                <w:sz w:val="18"/>
                <w:szCs w:val="18"/>
              </w:rPr>
              <w:t xml:space="preserve">1% – 2%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00"/>
          </w:tcPr>
          <w:p>
            <w:r>
              <w:rPr>
                <w:sz w:val="18"/>
                <w:szCs w:val="18"/>
              </w:rPr>
              <w:t xml:space="preserve">Profit before tax</w:t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</w:tcPr>
          <w:p>
            <w:r>
              <w:rPr>
                <w:sz w:val="18"/>
                <w:szCs w:val="18"/>
              </w:rPr>
              <w:t xml:space="preserve">5% – 10%</w:t>
            </w:r>
          </w:p>
        </w:tc>
        <w:tc>
          <w:tcPr>
            <w:tcW w:type="dxa" w:w="15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6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120"/>
      </w:pPr>
      <w:r>
        <w:rPr>
          <w:b w:val="false"/>
          <w:bCs w:val="false"/>
          <w:i w:val="false"/>
          <w:iCs w:val="false"/>
        </w:rPr>
        <w:t xml:space="preserve">Benchmark selected and rationale:</w:t>
      </w:r>
    </w:p>
    <w:tbl>
      <w:tblPr>
        <w:tblW w:type="dxa" w:w="95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7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b/>
                <w:bCs/>
              </w:rPr>
              <w:t xml:space="preserve">Rationale:</w:t>
            </w:r>
          </w:p>
        </w:tc>
        <w:tc>
          <w:tcPr>
            <w:tcW w:type="dxa" w:w="6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pBdr>
                <w:bottom w:val="single" w:color="999999" w:sz="4" w:space="1"/>
              </w:pBdr>
            </w:pPr>
            <w:r>
              <w:t xml:space="preserve"> </w:t>
            </w:r>
          </w:p>
        </w:tc>
      </w:tr>
    </w:tbl>
    <w:p>
      <w:pPr>
        <w:spacing w:after="200"/>
      </w:pPr>
    </w:p>
    <w:p>
      <w:pPr>
        <w:pStyle w:val="Heading2"/>
        <w:spacing w:after="120" w:before="240"/>
      </w:pPr>
      <w:r>
        <w:rPr>
          <w:b/>
          <w:bCs/>
          <w:color w:val="0F2942"/>
        </w:rPr>
        <w:t xml:space="preserve">Risk register</w:t>
      </w: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1800"/>
        <w:gridCol w:w="2700"/>
      </w:tblGrid>
      <w:tr>
        <w:tc>
          <w:tcPr>
            <w:tcW w:type="dxa" w:w="32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Risk identified</w:t>
            </w:r>
          </w:p>
        </w:tc>
        <w:tc>
          <w:tcPr>
            <w:tcW w:type="dxa" w:w="18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Inherent risk (L/M/H)</w:t>
            </w:r>
          </w:p>
        </w:tc>
        <w:tc>
          <w:tcPr>
            <w:tcW w:type="dxa" w:w="18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Control risk (L/M/H)</w:t>
            </w:r>
          </w:p>
        </w:tc>
        <w:tc>
          <w:tcPr>
            <w:tcW w:type="dxa" w:w="2700"/>
            <w:shd w:fill="0F2942" w:val="clea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Response / procedure</w:t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27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spacing w:after="300"/>
      </w:pPr>
    </w:p>
    <w:tbl>
      <w:tblPr>
        <w:tblW w:type="dxa" w:w="9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100"/>
      </w:tblGrid>
      <w:tr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Role / Name</w:t>
            </w:r>
          </w:p>
        </w:tc>
        <w:tc>
          <w:tcPr>
            <w:tcW w:type="dxa" w:w="32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Signature</w:t>
            </w:r>
          </w:p>
        </w:tc>
        <w:tc>
          <w:tcPr>
            <w:tcW w:type="dxa" w:w="3100"/>
            <w:shd w:fill="EEF1F4" w:val="clear"/>
          </w:tcPr>
          <w:p>
            <w:r>
              <w:rPr>
                <w:b/>
                <w:bCs/>
                <w:sz w:val="18"/>
                <w:szCs w:val="18"/>
              </w:rPr>
              <w:t xml:space="preserve">Date</w:t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Prepared by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>Reviewed by (Partner)</w:t>
            </w:r>
          </w:p>
        </w:tc>
        <w:tc>
          <w:tcPr>
            <w:tcW w:type="dxa" w:w="3200"/>
          </w:tcPr>
          <w:p>
            <w:r>
              <w:rPr>
                <w:sz w:val="18"/>
                <w:szCs w:val="18"/>
              </w:rPr>
              <w:t xml:space="preserve"/>
            </w:r>
          </w:p>
        </w:tc>
        <w:tc>
          <w:tcPr>
            <w:tcW w:type="dxa" w:w="3100"/>
          </w:tcPr>
          <w:p>
            <w:r>
              <w:rPr>
                <w:sz w:val="18"/>
                <w:szCs w:val="18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color w:val="999999"/>
        <w:sz w:val="14"/>
        <w:szCs w:val="14"/>
      </w:rPr>
      <w:t xml:space="preserve">Neverlank Chartered Accountants   ·   Template Ref: FA-03   ·   Page </w:t>
    </w:r>
    <w:r>
      <w:rPr>
        <w:color w:val="999999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4"/>
        <w:szCs w:val="14"/>
      </w:rPr>
      <w:t xml:space="preserve"> of </w:t>
    </w:r>
    <w:r>
      <w:rPr>
        <w:color w:val="999999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21aab0a96010b74f9e3e348294f491f2d3e81003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2026-09-14T12:07:38.729Z</dcterms:created>
  <dcterms:modified xsi:type="dcterms:W3CDTF">2026-09-14T12:07:38.729Z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