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ns0:body>
    <ns0:p>
      <ns0:pPr>
        <ns0:pStyle ns0:val="Title"/>
      </ns0:pPr>
      <ns0:r>
        <ns0:t xml:space="preserve">Anatomical</ns0:t>
      </ns0:r>
      <ns0:r>
        <ns0:t xml:space="preserve"> </ns0:t>
      </ns0:r>
      <ns0:r>
        <ns0:t xml:space="preserve">scale</ns0:t>
      </ns0:r>
      <ns0:r>
        <ns0:t xml:space="preserve"> </ns0:t>
      </ns0:r>
      <ns0:r>
        <ns0:t xml:space="preserve">and</ns0:t>
      </ns0:r>
      <ns0:r>
        <ns0:t xml:space="preserve"> </ns0:t>
      </ns0:r>
      <ns0:r>
        <ns0:t xml:space="preserve">architecture</ns0:t>
      </ns0:r>
      <ns0:r>
        <ns0:t xml:space="preserve"> </ns0:t>
      </ns0:r>
      <ns0:r>
        <ns0:t xml:space="preserve">organize</ns0:t>
      </ns0:r>
      <ns0:r>
        <ns0:t xml:space="preserve"> </ns0:t>
      </ns0:r>
      <ns0:r>
        <ns0:t xml:space="preserve">load-dependent</ns0:t>
      </ns0:r>
      <ns0:r>
        <ns0:t xml:space="preserve"> </ns0:t>
      </ns0:r>
      <ns0:r>
        <ns0:t xml:space="preserve">sacroiliac</ns0:t>
      </ns0:r>
      <ns0:r>
        <ns0:t xml:space="preserve"> </ns0:t>
      </ns0:r>
      <ns0:r>
        <ns0:t xml:space="preserve">motion</ns0:t>
      </ns0:r>
    </ns0:p>
    <ns0:p>
      <ns0:pPr>
        <ns0:pStyle ns0:val="Author"/>
      </ns0:pPr>
      <ns0:r>
        <ns0:t xml:space="preserve">Petr</ns0:t>
      </ns0:r>
      <ns0:r>
        <ns0:t xml:space="preserve"> </ns0:t>
      </ns0:r>
      <ns0:r>
        <ns0:t xml:space="preserve">Henyš</ns0:t>
      </ns0:r>
      <ns1:oMath>
        <ns1:sSup>
          <ns1:e>
            <ns1:r>
              <ns1:t>​</ns1:t>
            </ns1:r>
          </ns1:e>
          <ns1:sup>
            <ns1:r>
              <ns1:t>1</ns1:t>
            </ns1:r>
            <ns1:r>
              <ns1:rPr>
                <ns1:sty ns1:val="p"/>
              </ns1:rPr>
              <ns1:t>,</ns1:t>
            </ns1:r>
            <ns1:r>
              <ns1:rPr>
                <ns1:sty ns1:val="p"/>
              </ns1:rPr>
              <ns1:t>*</ns1:t>
            </ns1:r>
          </ns1:sup>
        </ns1:sSup>
      </ns1:oMath>
      <ns0:r>
        <ns0:t xml:space="preserve">,</ns0:t>
      </ns0:r>
      <ns0:r>
        <ns0:t xml:space="preserve"> </ns0:t>
      </ns0:r>
      <ns0:r>
        <ns0:t xml:space="preserve">Niels</ns0:t>
      </ns0:r>
      <ns0:r>
        <ns0:t xml:space="preserve"> </ns0:t>
      </ns0:r>
      <ns0:r>
        <ns0:t xml:space="preserve">Hammer</ns0:t>
      </ns0:r>
      <ns1:oMath>
        <ns1:sSup>
          <ns1:e>
            <ns1:r>
              <ns1:t>​</ns1:t>
            </ns1:r>
          </ns1:e>
          <ns1:sup>
            <ns1:r>
              <ns1:t>2</ns1:t>
            </ns1:r>
          </ns1:sup>
        </ns1:sSup>
      </ns1:oMath>
      <ns0:r>
        <ns0:br/>
      </ns0:r>
      <ns1:oMath>
        <ns1:sSup>
          <ns1:e>
            <ns1:r>
              <ns1:t>​</ns1:t>
            </ns1:r>
          </ns1:e>
          <ns1:sup>
            <ns1:r>
              <ns1:t>1</ns1:t>
            </ns1:r>
          </ns1:sup>
        </ns1:sSup>
      </ns1:oMath>
      <ns0:r>
        <ns0:t xml:space="preserve">Institute</ns0:t>
      </ns0:r>
      <ns0:r>
        <ns0:t xml:space="preserve"> </ns0:t>
      </ns0:r>
      <ns0:r>
        <ns0:t xml:space="preserve">of</ns0:t>
      </ns0:r>
      <ns0:r>
        <ns0:t xml:space="preserve"> </ns0:t>
      </ns0:r>
      <ns0:r>
        <ns0:t xml:space="preserve">New</ns0:t>
      </ns0:r>
      <ns0:r>
        <ns0:t xml:space="preserve"> </ns0:t>
      </ns0:r>
      <ns0:r>
        <ns0:t xml:space="preserve">Technologies</ns0:t>
      </ns0:r>
      <ns0:r>
        <ns0:t xml:space="preserve"> </ns0:t>
      </ns0:r>
      <ns0:r>
        <ns0:t xml:space="preserve">and</ns0:t>
      </ns0:r>
      <ns0:r>
        <ns0:t xml:space="preserve"> </ns0:t>
      </ns0:r>
      <ns0:r>
        <ns0:t xml:space="preserve">Applied</ns0:t>
      </ns0:r>
      <ns0:r>
        <ns0:t xml:space="preserve"> </ns0:t>
      </ns0:r>
      <ns0:r>
        <ns0:t xml:space="preserve">Informatics,</ns0:t>
      </ns0:r>
      <ns0:r>
        <ns0:br/>
      </ns0:r>
      <ns0:r>
        <ns0:t xml:space="preserve">Faculty</ns0:t>
      </ns0:r>
      <ns0:r>
        <ns0:t xml:space="preserve"> </ns0:t>
      </ns0:r>
      <ns0:r>
        <ns0:t xml:space="preserve">of</ns0:t>
      </ns0:r>
      <ns0:r>
        <ns0:t xml:space="preserve"> </ns0:t>
      </ns0:r>
      <ns0:r>
        <ns0:t xml:space="preserve">Mechatronics,</ns0:t>
      </ns0:r>
      <ns0:r>
        <ns0:t xml:space="preserve"> </ns0:t>
      </ns0:r>
      <ns0:r>
        <ns0:t xml:space="preserve">Informatics</ns0:t>
      </ns0:r>
      <ns0:r>
        <ns0:t xml:space="preserve"> </ns0:t>
      </ns0:r>
      <ns0:r>
        <ns0:t xml:space="preserve">and</ns0:t>
      </ns0:r>
      <ns0:r>
        <ns0:t xml:space="preserve"> </ns0:t>
      </ns0:r>
      <ns0:r>
        <ns0:t xml:space="preserve">Interdisciplinary</ns0:t>
      </ns0:r>
      <ns0:r>
        <ns0:t xml:space="preserve"> </ns0:t>
      </ns0:r>
      <ns0:r>
        <ns0:t xml:space="preserve">Studies,</ns0:t>
      </ns0:r>
      <ns0:r>
        <ns0:br/>
      </ns0:r>
      <ns0:r>
        <ns0:t xml:space="preserve">Technical</ns0:t>
      </ns0:r>
      <ns0:r>
        <ns0:t xml:space="preserve"> </ns0:t>
      </ns0:r>
      <ns0:r>
        <ns0:t xml:space="preserve">University</ns0:t>
      </ns0:r>
      <ns0:r>
        <ns0:t xml:space="preserve"> </ns0:t>
      </ns0:r>
      <ns0:r>
        <ns0:t xml:space="preserve">of</ns0:t>
      </ns0:r>
      <ns0:r>
        <ns0:t xml:space="preserve"> </ns0:t>
      </ns0:r>
      <ns0:r>
        <ns0:t xml:space="preserve">Liberec,</ns0:t>
      </ns0:r>
      <ns0:r>
        <ns0:t xml:space="preserve"> </ns0:t>
      </ns0:r>
      <ns0:r>
        <ns0:t xml:space="preserve">Studentská</ns0:t>
      </ns0:r>
      <ns0:r>
        <ns0:t xml:space="preserve"> </ns0:t>
      </ns0:r>
      <ns0:r>
        <ns0:t xml:space="preserve">1402/2,</ns0:t>
      </ns0:r>
      <ns0:r>
        <ns0:t xml:space="preserve"> </ns0:t>
      </ns0:r>
      <ns0:r>
        <ns0:t xml:space="preserve">461 17</ns0:t>
      </ns0:r>
      <ns0:r>
        <ns0:t xml:space="preserve"> </ns0:t>
      </ns0:r>
      <ns0:r>
        <ns0:t xml:space="preserve">Liberec,</ns0:t>
      </ns0:r>
      <ns0:r>
        <ns0:t xml:space="preserve"> </ns0:t>
      </ns0:r>
      <ns0:r>
        <ns0:t xml:space="preserve">Czech</ns0:t>
      </ns0:r>
      <ns0:r>
        <ns0:t xml:space="preserve"> </ns0:t>
      </ns0:r>
      <ns0:r>
        <ns0:t xml:space="preserve">Republic</ns0:t>
      </ns0:r>
      <ns0:r>
        <ns0:br/>
      </ns0:r>
      <ns1:oMath>
        <ns1:sSup>
          <ns1:e>
            <ns1:r>
              <ns1:t>​</ns1:t>
            </ns1:r>
          </ns1:e>
          <ns1:sup>
            <ns1:r>
              <ns1:t>2</ns1:t>
            </ns1:r>
          </ns1:sup>
        </ns1:sSup>
      </ns1:oMath>
      <ns0:r>
        <ns0:t xml:space="preserve">Division</ns0:t>
      </ns0:r>
      <ns0:r>
        <ns0:t xml:space="preserve"> </ns0:t>
      </ns0:r>
      <ns0:r>
        <ns0:t xml:space="preserve">of</ns0:t>
      </ns0:r>
      <ns0:r>
        <ns0:t xml:space="preserve"> </ns0:t>
      </ns0:r>
      <ns0:r>
        <ns0:t xml:space="preserve">Macroscopic</ns0:t>
      </ns0:r>
      <ns0:r>
        <ns0:t xml:space="preserve"> </ns0:t>
      </ns0:r>
      <ns0:r>
        <ns0:t xml:space="preserve">and</ns0:t>
      </ns0:r>
      <ns0:r>
        <ns0:t xml:space="preserve"> </ns0:t>
      </ns0:r>
      <ns0:r>
        <ns0:t xml:space="preserve">Clinical</ns0:t>
      </ns0:r>
      <ns0:r>
        <ns0:t xml:space="preserve"> </ns0:t>
      </ns0:r>
      <ns0:r>
        <ns0:t xml:space="preserve">Anatomy,</ns0:t>
      </ns0:r>
      <ns0:r>
        <ns0:br/>
      </ns0:r>
      <ns0:r>
        <ns0:t xml:space="preserve">Gottfried</ns0:t>
      </ns0:r>
      <ns0:r>
        <ns0:t xml:space="preserve"> </ns0:t>
      </ns0:r>
      <ns0:r>
        <ns0:t xml:space="preserve">Schatz</ns0:t>
      </ns0:r>
      <ns0:r>
        <ns0:t xml:space="preserve"> </ns0:t>
      </ns0:r>
      <ns0:r>
        <ns0:t xml:space="preserve">Research</ns0:t>
      </ns0:r>
      <ns0:r>
        <ns0:t xml:space="preserve"> </ns0:t>
      </ns0:r>
      <ns0:r>
        <ns0:t xml:space="preserve">Center,</ns0:t>
      </ns0:r>
      <ns0:r>
        <ns0:t xml:space="preserve"> </ns0:t>
      </ns0:r>
      <ns0:r>
        <ns0:t xml:space="preserve">Medical</ns0:t>
      </ns0:r>
      <ns0:r>
        <ns0:t xml:space="preserve"> </ns0:t>
      </ns0:r>
      <ns0:r>
        <ns0:t xml:space="preserve">University</ns0:t>
      </ns0:r>
      <ns0:r>
        <ns0:t xml:space="preserve"> </ns0:t>
      </ns0:r>
      <ns0:r>
        <ns0:t xml:space="preserve">of</ns0:t>
      </ns0:r>
      <ns0:r>
        <ns0:t xml:space="preserve"> </ns0:t>
      </ns0:r>
      <ns0:r>
        <ns0:t xml:space="preserve">Graz,</ns0:t>
      </ns0:r>
      <ns0:r>
        <ns0:br/>
      </ns0:r>
      <ns0:r>
        <ns0:t xml:space="preserve">Auenbruggerplatz 25,</ns0:t>
      </ns0:r>
      <ns0:r>
        <ns0:t xml:space="preserve"> </ns0:t>
      </ns0:r>
      <ns0:r>
        <ns0:t xml:space="preserve">8036 Graz,</ns0:t>
      </ns0:r>
      <ns0:r>
        <ns0:t xml:space="preserve"> </ns0:t>
      </ns0:r>
      <ns0:r>
        <ns0:t xml:space="preserve">Austria</ns0:t>
      </ns0:r>
      <ns0:r>
        <ns0:br/>
      </ns0:r>
      <ns1:oMath>
        <ns1:sSup>
          <ns1:e>
            <ns1:r>
              <ns1:t>​</ns1:t>
            </ns1:r>
          </ns1:e>
          <ns1:sup>
            <ns1:r>
              <ns1:rPr>
                <ns1:sty ns1:val="p"/>
              </ns1:rPr>
              <ns1:t>*</ns1:t>
            </ns1:r>
          </ns1:sup>
        </ns1:sSup>
      </ns1:oMath>
      <ns0:r>
        <ns0:t xml:space="preserve">Corresponding</ns0:t>
      </ns0:r>
      <ns0:r>
        <ns0:t xml:space="preserve"> </ns0:t>
      </ns0:r>
      <ns0:r>
        <ns0:t xml:space="preserve">author:</ns0:t>
      </ns0:r>
      <ns0:r>
        <ns0:t xml:space="preserve"> </ns0:t>
      </ns0:r>
      <ns0:r>
        <ns0:t xml:space="preserve">Petr</ns0:t>
      </ns0:r>
      <ns0:r>
        <ns0:t xml:space="preserve"> </ns0:t>
      </ns0:r>
      <ns0:r>
        <ns0:t xml:space="preserve">Henyš</ns0:t>
      </ns0:r>
      <ns0:r>
        <ns0:t xml:space="preserve"> </ns0:t>
      </ns0:r>
      <ns0:r>
        <ns0:t xml:space="preserve">(</ns0:t>
      </ns0:r>
      <ns0:r>
        <ns0:rPr>
          <ns0:rStyle ns0:val="VerbatimChar"/>
        </ns0:rPr>
        <ns0:t xml:space="preserve">petr.henys@tul.cz</ns0:t>
      </ns0:r>
      <ns0:r>
        <ns0:t xml:space="preserve">)</ns0:t>
      </ns0:r>
    </ns0:p>
    <ns0:bookmarkStart ns0:id="20" ns0:name="abstract"/>
    <ns0:p>
      <ns0:pPr>
        <ns0:pStyle ns0:val="Heading1"/>
      </ns0:pPr>
      <ns0:r>
        <ns0:t xml:space="preserve">Abstract</ns0:t>
      </ns0:r>
    </ns0:p>
    <ns0:p>
      <ns0:pPr>
        <ns0:pStyle ns0:val="FirstParagraph"/>
      </ns0:pPr>
      <ns0:r>
        <ns0:t xml:space="preserve">Pelvic mechanical response reflects anatomical variation expressed through a specified load path. We examined sacroiliac joint responses in 278 imaging-derived pelves under five standardized loading configurations and in matched geometry–bone-density variants. Redistributing the same 800 N total acetabular force from bilateral to unilateral support amplified motion and asymmetry; transverse force pairs applied at different sites produced distinct component patterns. Adjustment for pelvic volume and a selected morphometric triad substantially attenuated age-adjusted sex-associated translation differences under localized loading, with all fully adjusted confidence intervals spanning zero. Preserving individual geometry while standardizing the bone-density field retained subject-specific translation closely (RMSE</ns0:t>
      </ns0:r>
      <ns0:r>
        <ns0:t xml:space="preserve"> </ns0:t>
      </ns0:r>
      <ns1:oMath>
        <ns1:r>
          <ns1:rPr>
            <ns1:sty ns1:val="p"/>
          </ns1:rPr>
          <ns1:t>≤</ns1:t>
        </ns1:r>
        <ns1:r>
          <ns1:t>0.028</ns1:t>
        </ns1:r>
      </ns1:oMath>
      <ns0:r>
        <ns0:t xml:space="preserve"> mm; minimum identity-line</ns0:t>
      </ns0:r>
      <ns0:r>
        <ns0:t xml:space="preserve"> </ns0:t>
      </ns0:r>
      <ns1:oMath>
        <ns1:sSup>
          <ns1:e>
            <ns1:r>
              <ns1:t>R</ns1:t>
            </ns1:r>
          </ns1:e>
          <ns1:sup>
            <ns1:r>
              <ns1:t>2</ns1:t>
            </ns1:r>
          </ns1:sup>
        </ns1:sSup>
        <ns1:r>
          <ns1:rPr>
            <ns1:sty ns1:val="p"/>
          </ns1:rPr>
          <ns1:t>=</ns1:t>
        </ns1:r>
        <ns1:r>
          <ns1:t>0.946</ns1:t>
        </ns1:r>
      </ns1:oMath>
      <ns0:r>
        <ns0:t xml:space="preserve">). In retrospective adjusted log–log analyses, all 20 sex-specific volume–motion slopes were negative after multiplicity correction. Bilateral standing-like slopes were numerically near simple fixed-force dimensional reference values, whereas several localized-load estimates were numerically steeper. These conditional relations describe size-dependent response under identical prescribed forces across subjects within each load case. Together, the comparisons support a description of pelvic mechanics organized by anatomical scale and individual architecture, with load path determining their mechanical expression. Sex-associated contrasts varied with anatomical adjustment and loading configuration. Interpretation remains conditional on passive static mechanics, the implemented density–modulus law and fixed cartilage, ligament and pretension parameters.</ns0:t>
      </ns0:r>
    </ns0:p>
    <ns0:p>
      <ns0:pPr>
        <ns0:pStyle ns0:val="BodyText"/>
      </ns0:pPr>
      <ns0:r>
        <ns0:rPr>
          <ns0:bCs/>
          <ns0:b/>
        </ns0:rPr>
        <ns0:t xml:space="preserve">Keywords:</ns0:t>
      </ns0:r>
      <ns0:r>
        <ns0:t xml:space="preserve"> </ns0:t>
      </ns0:r>
      <ns0:r>
        <ns0:t xml:space="preserve">sacroiliac joint; pelvic functional anatomy; pelvic biomechanics; sexual dimorphism; pelvic architecture; load transfer; finite-element analysis</ns0:t>
      </ns0:r>
    </ns0:p>
    <ns0:bookmarkEnd ns0:id="20"/>
    <ns0:bookmarkStart ns0:id="21" ns0:name="introduction"/>
    <ns0:p>
      <ns0:pPr>
        <ns0:pStyle ns0:val="Heading1"/>
      </ns0:pPr>
      <ns0:r>
        <ns0:t xml:space="preserve">1. Introduction</ns0:t>
      </ns0:r>
    </ns0:p>
    <ns0:p>
      <ns0:pPr>
        <ns0:pStyle ns0:val="FirstParagraph"/>
      </ns0:pPr>
      <ns0:r>
        <ns0:t xml:space="preserve">The sacroiliac joints (SIJs) transmit load between the spine and lower limbs through a pelvic ring stabilized by articular geometry, ligaments and muscular compression</ns0:t>
      </ns0:r>
      <ns0:r>
        <ns0:t xml:space="preserve"> </ns0:t>
      </ns0:r>
      <ns0:r>
        <ns0:t xml:space="preserve">(Snijders, Vleeming, and Stoeckart 1993; Vleeming et al. 2012; Hammer et al. 2013)</ns0:t>
      </ns0:r>
      <ns0:r>
        <ns0:t xml:space="preserve">. Cadaveric experiments with bodyweight-adapted loading measured small, three-dimensional SIJ movements and substantial interindividual variation</ns0:t>
      </ns0:r>
      <ns0:r>
        <ns0:t xml:space="preserve"> </ns0:t>
      </ns0:r>
      <ns0:r>
        <ns0:t xml:space="preserve">(Hammer et al. 2019)</ns0:t>
      </ns0:r>
      <ns0:r>
        <ns0:t xml:space="preserve">. Joint motion therefore provides a functional endpoint for examining how pelvic anatomy responds to a specified load.</ns0:t>
      </ns0:r>
    </ns0:p>
    <ns0:p>
      <ns0:pPr>
        <ns0:pStyle ns0:val="BodyText"/>
      </ns0:pPr>
      <ns0:r>
        <ns0:t xml:space="preserve">Pelvic variation spans overall size, inlet and midpelvic proportions, pubic arch geometry and local SIJ morphology. Sex differences in obstetrically relevant dimensions develop along distinct age-related trajectories</ns0:t>
      </ns0:r>
      <ns0:r>
        <ns0:t xml:space="preserve"> </ns0:t>
      </ns0:r>
      <ns0:r>
        <ns0:t xml:space="preserve">(Huseynov et al. 2016)</ns0:t>
      </ns0:r>
      <ns0:r>
        <ns0:t xml:space="preserve">. Pelvic shape also covaries with stature</ns0:t>
      </ns0:r>
      <ns0:r>
        <ns0:t xml:space="preserve"> </ns0:t>
      </ns0:r>
      <ns0:r>
        <ns0:t xml:space="preserve">(Fischer and Mitteroecker 2015)</ns0:t>
      </ns0:r>
      <ns0:r>
        <ns0:t xml:space="preserve">.</ns0:t>
      </ns0:r>
      <ns0:r>
        <ns0:t xml:space="preserve"> </ns0:t>
      </ns0:r>
      <ns0:r>
        <ns0:t xml:space="preserve">Fischer and Mitteroecker (2017)</ns0:t>
      </ns0:r>
      <ns0:r>
        <ns0:t xml:space="preserve"> </ns0:t>
      </ns0:r>
      <ns0:r>
        <ns0:t xml:space="preserve">distinguished a largely stature-related component of sexual dimorphism in pelvic height-to-width proportions and iliac orientation from predominantly non-allometric differences in the subpubic angle. At the joint itself, analysis of Japanese skeletal specimens identified sex differences in iliac auricular surface size and proportions</ns0:t>
      </ns0:r>
      <ns0:r>
        <ns0:t xml:space="preserve"> </ns0:t>
      </ns0:r>
      <ns0:r>
        <ns0:t xml:space="preserve">(Nishi et al. 2020)</ns0:t>
      </ns0:r>
      <ns0:r>
        <ns0:t xml:space="preserve">. These findings motivate separate consideration of size, specific dimensions and sex in mechanical comparisons. Here, architecture denotes subject-specific pelvic geometry and proportions beyond scalar size; the selected morphometric measures describe part of that architecture.</ns0:t>
      </ns0:r>
    </ns0:p>
    <ns0:p>
      <ns0:pPr>
        <ns0:pStyle ns0:val="BodyText"/>
      </ns0:pPr>
      <ns0:r>
        <ns0:t xml:space="preserve">The mechanical consequences of pelvic form are relevant to both load transmission and obstetric anatomy</ns0:t>
      </ns0:r>
      <ns0:r>
        <ns0:t xml:space="preserve"> </ns0:t>
      </ns0:r>
      <ns0:r>
        <ns0:t xml:space="preserve">(Pavličev, Romero, and Mitteroecker 2020)</ns0:t>
      </ns0:r>
      <ns0:r>
        <ns0:t xml:space="preserve">. Finite-element models of the pelvic floor showed increasing deflection and tissue stress with increasing floor size under prescribed pressure</ns0:t>
      </ns0:r>
      <ns0:r>
        <ns0:t xml:space="preserve"> </ns0:t>
      </ns0:r>
      <ns0:r>
        <ns0:t xml:space="preserve">(Stansfield et al. 2021)</ns0:t>
      </ns0:r>
      <ns0:r>
        <ns0:t xml:space="preserve">. For the bony pelvic ring, the corresponding question concerns the relationship between its dimensions and joint motion under prescribed forces. Anatomical covariation with stature and mechanical response to standardized loading address distinct aspects of size dependence.</ns0:t>
      </ns0:r>
    </ns0:p>
    <ns0:p>
      <ns0:pPr>
        <ns0:pStyle ns0:val="BodyText"/>
      </ns0:pPr>
      <ns0:r>
        <ns0:t xml:space="preserve">Evidence for sex-associated SIJ motion comes from computational, imaging and cadaveric studies.</ns0:t>
      </ns0:r>
      <ns0:r>
        <ns0:t xml:space="preserve"> </ns0:t>
      </ns0:r>
      <ns0:r>
        <ns0:t xml:space="preserve">Joukar et al. (2018)</ns0:t>
      </ns0:r>
      <ns0:r>
        <ns0:t xml:space="preserve"> </ns0:t>
      </ns0:r>
      <ns0:r>
        <ns0:t xml:space="preserve">found greater mobility in a female than in a male lumbopelvic finite-element model under identical loading. Upright MRI in 19 healthy young adults showed greater sagittal SIJ rotation in women during the change from supine to standing</ns0:t>
      </ns0:r>
      <ns0:r>
        <ns0:t xml:space="preserve"> </ns0:t>
      </ns0:r>
      <ns0:r>
        <ns0:t xml:space="preserve">(Tani et al. 2023)</ns0:t>
      </ns0:r>
      <ns0:r>
        <ns0:t xml:space="preserve">. A study of 24 cadavers likewise found greater range of motion in females, while measured auricular surface dimensions did not distinguish groups with high and low mobility</ns0:t>
      </ns0:r>
      <ns0:r>
        <ns0:t xml:space="preserve"> </ns0:t>
      </ns0:r>
      <ns0:r>
        <ns0:t xml:space="preserve">(Shin, Kwak, and Lee 2024)</ns0:t>
      </ns0:r>
      <ns0:r>
        <ns0:t xml:space="preserve">. Population models permit assessment of how sex-associated contrasts change after adjustment for pelvic volume and dimensions, and how these anatomical associations vary with loading configuration.</ns0:t>
      </ns0:r>
    </ns0:p>
    <ns0:p>
      <ns0:pPr>
        <ns0:pStyle ns0:val="BodyText"/>
      </ns0:pPr>
      <ns0:r>
        <ns0:t xml:space="preserve">Computational studies also connect anatomy and material representation to SIJ mechanics. Models identified sensitivity of SIJ response to ligament pretension</ns0:t>
      </ns0:r>
      <ns0:r>
        <ns0:t xml:space="preserve"> </ns0:t>
      </ns0:r>
      <ns0:r>
        <ns0:t xml:space="preserve">(Heyland et al. 2025)</ns0:t>
      </ns0:r>
      <ns0:r>
        <ns0:t xml:space="preserve"> </ns0:t>
      </ns0:r>
      <ns0:r>
        <ns0:t xml:space="preserve">and increased motion following reductions in bone stiffness used to represent osteoporosis</ns0:t>
      </ns0:r>
      <ns0:r>
        <ns0:t xml:space="preserve"> </ns0:t>
      </ns0:r>
      <ns0:r>
        <ns0:t xml:space="preserve">(Fan et al. 2026)</ns0:t>
      </ns0:r>
      <ns0:r>
        <ns0:t xml:space="preserve">. Matched geometry–density comparisons address the contribution of the represented bone-density field to individual motion predictions. Retaining subject-specific geometry with a standardized density field, and individual density on a common geometry, permits direct comparison with the full subject-specific model while holding soft-tissue properties fixed.</ns0:t>
      </ns0:r>
    </ns0:p>
    <ns0:p>
      <ns0:pPr>
        <ns0:pStyle ns0:val="BodyText"/>
      </ns0:pPr>
      <ns0:r>
        <ns0:t xml:space="preserve">Here, we examined SIJ response in 278 imaging-derived pelves from the BoneDat workflow</ns0:t>
      </ns0:r>
      <ns0:r>
        <ns0:t xml:space="preserve"> </ns0:t>
      </ns0:r>
      <ns0:r>
        <ns0:t xml:space="preserve">(Henyš and Kuchař 2025)</ns0:t>
      </ns0:r>
      <ns0:r>
        <ns0:t xml:space="preserve"> </ns0:t>
      </ns0:r>
      <ns0:r>
        <ns0:t xml:space="preserve">under five standardized loading configurations. Bilateral and unilateral acetabular loads redistribute a fixed total force; localized force pairs probe different application sites on the ring. These are controlled mechanical probes. Childbirth models additionally represent fetal passage and maternal soft-tissue deformation</ns0:t>
      </ns0:r>
      <ns0:r>
        <ns0:t xml:space="preserve"> </ns0:t>
      </ns0:r>
      <ns0:r>
        <ns0:t xml:space="preserve">(Chen and Grimm 2021)</ns0:t>
      </ns0:r>
      <ns0:r>
        <ns0:t xml:space="preserve">. We evaluated conditional volume–motion associations with the selected morphometric dimensions held fixed, changes in sex-associated coefficients after anatomical adjustment, and preservation of individual responses under standardized bone density. All subjects received identical prescribed forces within each load case. The analyses were retrospective; the conditional scaling analysis was exploratory.</ns0:t>
      </ns0:r>
    </ns0:p>
    <ns0:bookmarkEnd ns0:id="21"/>
    <ns0:bookmarkStart ns0:id="33" ns0:name="materials-and-methods"/>
    <ns0:p>
      <ns0:pPr>
        <ns0:pStyle ns0:val="Heading1"/>
      </ns0:pPr>
      <ns0:r>
        <ns0:t xml:space="preserve">2. Materials and methods</ns0:t>
      </ns0:r>
    </ns0:p>
    <ns0:bookmarkStart ns0:id="23" ns0:name="cohort-and-provenance"/>
    <ns0:p>
      <ns0:pPr>
        <ns0:pStyle ns0:val="Heading2"/>
      </ns0:pPr>
      <ns0:r>
        <ns0:t xml:space="preserve">2.1. Cohort and provenance</ns0:t>
      </ns0:r>
    </ns0:p>
    <ns0:p>
      <ns0:pPr>
        <ns0:pStyle ns0:val="FirstParagraph"/>
      </ns0:pPr>
      <ns0:r>
        <ns0:t xml:space="preserve">The cohort comprised 278 pelvic models (150 female, 128 male), aged 16–91 years (mean</ns0:t>
      </ns0:r>
      <ns0:r>
        <ns0:t xml:space="preserve"> </ns0:t>
      </ns0:r>
      <ns1:oMath>
        <ns1:r>
          <ns1:rPr>
            <ns1:sty ns1:val="p"/>
          </ns1:rPr>
          <ns1:t>±</ns1:t>
        </ns1:r>
      </ns1:oMath>
      <ns0:r>
        <ns0:t xml:space="preserve"> </ns0:t>
      </ns0:r>
      <ns0:r>
        <ns0:t xml:space="preserve">SD:</ns0:t>
      </ns0:r>
      <ns0:r>
        <ns0:t xml:space="preserve"> </ns0:t>
      </ns0:r>
      <ns1:oMath>
        <ns1:r>
          <ns1:t>53.9</ns1:t>
        </ns1:r>
        <ns1:r>
          <ns1:rPr>
            <ns1:sty ns1:val="p"/>
          </ns1:rPr>
          <ns1:t>±</ns1:t>
        </ns1:r>
        <ns1:r>
          <ns1:t>19.3</ns1:t>
        </ns1:r>
      </ns1:oMath>
      <ns0:r>
        <ns0:t xml:space="preserve"> </ns0:t>
      </ns0:r>
      <ns0:r>
        <ns0:t xml:space="preserve">years), using the BoneDat morphology workflow</ns0:t>
      </ns0:r>
      <ns0:r>
        <ns0:t xml:space="preserve"> </ns0:t>
      </ns0:r>
      <ns0:r>
        <ns0:t xml:space="preserve">(Henyš and Kuchař 2025)</ns0:t>
      </ns0:r>
      <ns0:r>
        <ns0:t xml:space="preserve">. Demographic, morphometric and size tables were joined by subject identifier. Eight morphometric variables and the kinematic outcomes were complete for the included cohort (Table 1). Ethical approval was granted by University Hospital Hradec Králové, reference 202411IO3P, with waiver of informed consent.</ns0:t>
      </ns0:r>
    </ns0:p>
    <ns0:bookmarkStart ns0:id="22" ns0:name="tab:cohort"/>
    <ns0:p>
      <ns0:pPr>
        <ns0:pStyle ns0:val="TableCaption"/>
      </ns0:pPr>
      <ns0:r>
        <ns0:t xml:space="preserve">Table 1. Demographic and morphometric characteristics. Values are mean</ns0:t>
      </ns0:r>
      <ns0:r>
        <ns0:t xml:space="preserve"> </ns0:t>
      </ns0:r>
      <ns1:oMath>
        <ns1:r>
          <ns1:rPr>
            <ns1:sty ns1:val="p"/>
          </ns1:rPr>
          <ns1:t>±</ns1:t>
        </ns1:r>
      </ns1:oMath>
      <ns0:r>
        <ns0:t xml:space="preserve"> </ns0:t>
      </ns0:r>
      <ns0:r>
        <ns0:t xml:space="preserve">SD; linear dimensions and the subpubic angle are measured from mapped landmarks. Bony pelvic volume sums the selected left and right hip-bone bodies and sacrum.</ns0:t>
      </ns0:r>
    </ns0:p>
    <ns0:tbl>
      <ns0:tblPr>
        <ns0:tblStyle ns0:val="Table"/>
        <ns0:tblW ns0:type="pct" ns0:w="5000"/>
        <ns0:tblLook ns0:firstRow="1" ns0:lastRow="0" ns0:firstColumn="0" ns0:lastColumn="0" ns0:noHBand="0" ns0:noVBand="0" ns0:val="0020"/>
        <ns0:tblCaption ns0:val="Table 1. Demographic and morphometric characteristics. Values are mean \pm SD; linear dimensions and the subpubic angle are measured from mapped landmarks. Bony pelvic volume sums the selected left and right hip-bone bodies and sacrum."/>
      </ns0:tblPr>
      <ns0:tblGrid/>
      <ns0:tr>
        <ns0:tc>
          <ns0:p>
            <ns0:pPr>
              <ns0:pStyle ns0:val="Compact"/>
              <ns0:jc ns0:val="left"/>
            </ns0:pPr>
            <ns0:r>
              <ns0:t xml:space="preserve">Variable</ns0:t>
              <ns0:rPr>
                <ns0:sz ns0:val="18"/>
              </ns0:rPr>
            </ns0:r>
          </ns0:p>
        </ns0:tc>
        <ns0:tc>
          <ns0:p>
            <ns0:pPr>
              <ns0:pStyle ns0:val="Compact"/>
              <ns0:jc ns0:val="left"/>
            </ns0:pPr>
            <ns0:r>
              <ns0:t xml:space="preserve">Overall</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Missing</ns0:t>
              <ns0:rPr>
                <ns0:sz ns0:val="18"/>
              </ns0:rPr>
            </ns0:r>
          </ns0:p>
        </ns0:tc>
      </ns0:tr>
      <ns0:tr>
        <ns0:tc>
          <ns0:p>
            <ns0:pPr>
              <ns0:pStyle ns0:val="Compact"/>
              <ns0:jc ns0:val="left"/>
            </ns0:pPr>
            <ns0:r>
              <ns0:t xml:space="preserve">N</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150</ns0:t>
              <ns0:rPr>
                <ns0:sz ns0:val="18"/>
              </ns0:rPr>
            </ns0:r>
          </ns0:p>
        </ns0:tc>
        <ns0:tc>
          <ns0:p>
            <ns0:pPr>
              <ns0:pStyle ns0:val="Compact"/>
              <ns0:jc ns0:val="left"/>
            </ns0:pPr>
            <ns0:r>
              <ns0:t xml:space="preserve">128</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Age (years)</ns0:t>
              <ns0:rPr>
                <ns0:sz ns0:val="18"/>
              </ns0:rPr>
            </ns0:r>
          </ns0:p>
        </ns0:tc>
        <ns0:tc>
          <ns0:p>
            <ns0:pPr>
              <ns0:pStyle ns0:val="Compact"/>
              <ns0:jc ns0:val="left"/>
            </ns0:pPr>
            <ns0:r>
              <ns0:t xml:space="preserve">53.90 ± 19.33</ns0:t>
              <ns0:rPr>
                <ns0:sz ns0:val="18"/>
              </ns0:rPr>
            </ns0:r>
          </ns0:p>
        </ns0:tc>
        <ns0:tc>
          <ns0:p>
            <ns0:pPr>
              <ns0:pStyle ns0:val="Compact"/>
              <ns0:jc ns0:val="left"/>
            </ns0:pPr>
            <ns0:r>
              <ns0:t xml:space="preserve">53.36 ± 19.74</ns0:t>
              <ns0:rPr>
                <ns0:sz ns0:val="18"/>
              </ns0:rPr>
            </ns0:r>
          </ns0:p>
        </ns0:tc>
        <ns0:tc>
          <ns0:p>
            <ns0:pPr>
              <ns0:pStyle ns0:val="Compact"/>
              <ns0:jc ns0:val="left"/>
            </ns0:pPr>
            <ns0:r>
              <ns0:t xml:space="preserve">54.52 ± 18.91</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Inlet AP diameter (mm)</ns0:t>
              <ns0:rPr>
                <ns0:sz ns0:val="18"/>
              </ns0:rPr>
            </ns0:r>
          </ns0:p>
        </ns0:tc>
        <ns0:tc>
          <ns0:p>
            <ns0:pPr>
              <ns0:pStyle ns0:val="Compact"/>
              <ns0:jc ns0:val="left"/>
            </ns0:pPr>
            <ns0:r>
              <ns0:t xml:space="preserve">117.04 ± 10.52</ns0:t>
              <ns0:rPr>
                <ns0:sz ns0:val="18"/>
              </ns0:rPr>
            </ns0:r>
          </ns0:p>
        </ns0:tc>
        <ns0:tc>
          <ns0:p>
            <ns0:pPr>
              <ns0:pStyle ns0:val="Compact"/>
              <ns0:jc ns0:val="left"/>
            </ns0:pPr>
            <ns0:r>
              <ns0:t xml:space="preserve">121.04 ± 10.02</ns0:t>
              <ns0:rPr>
                <ns0:sz ns0:val="18"/>
              </ns0:rPr>
            </ns0:r>
          </ns0:p>
        </ns0:tc>
        <ns0:tc>
          <ns0:p>
            <ns0:pPr>
              <ns0:pStyle ns0:val="Compact"/>
              <ns0:jc ns0:val="left"/>
            </ns0:pPr>
            <ns0:r>
              <ns0:t xml:space="preserve">112.34 ± 9.07</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Biacetabular width (mm)</ns0:t>
              <ns0:rPr>
                <ns0:sz ns0:val="18"/>
              </ns0:rPr>
            </ns0:r>
          </ns0:p>
        </ns0:tc>
        <ns0:tc>
          <ns0:p>
            <ns0:pPr>
              <ns0:pStyle ns0:val="Compact"/>
              <ns0:jc ns0:val="left"/>
            </ns0:pPr>
            <ns0:r>
              <ns0:t xml:space="preserve">125.81 ± 8.53</ns0:t>
              <ns0:rPr>
                <ns0:sz ns0:val="18"/>
              </ns0:rPr>
            </ns0:r>
          </ns0:p>
        </ns0:tc>
        <ns0:tc>
          <ns0:p>
            <ns0:pPr>
              <ns0:pStyle ns0:val="Compact"/>
              <ns0:jc ns0:val="left"/>
            </ns0:pPr>
            <ns0:r>
              <ns0:t xml:space="preserve">129.08 ± 8.21</ns0:t>
              <ns0:rPr>
                <ns0:sz ns0:val="18"/>
              </ns0:rPr>
            </ns0:r>
          </ns0:p>
        </ns0:tc>
        <ns0:tc>
          <ns0:p>
            <ns0:pPr>
              <ns0:pStyle ns0:val="Compact"/>
              <ns0:jc ns0:val="left"/>
            </ns0:pPr>
            <ns0:r>
              <ns0:t xml:space="preserve">121.98 ± 7.22</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Biischiadic width (mm)</ns0:t>
              <ns0:rPr>
                <ns0:sz ns0:val="18"/>
              </ns0:rPr>
            </ns0:r>
          </ns0:p>
        </ns0:tc>
        <ns0:tc>
          <ns0:p>
            <ns0:pPr>
              <ns0:pStyle ns0:val="Compact"/>
              <ns0:jc ns0:val="left"/>
            </ns0:pPr>
            <ns0:r>
              <ns0:t xml:space="preserve">104.27 ± 9.33</ns0:t>
              <ns0:rPr>
                <ns0:sz ns0:val="18"/>
              </ns0:rPr>
            </ns0:r>
          </ns0:p>
        </ns0:tc>
        <ns0:tc>
          <ns0:p>
            <ns0:pPr>
              <ns0:pStyle ns0:val="Compact"/>
              <ns0:jc ns0:val="left"/>
            </ns0:pPr>
            <ns0:r>
              <ns0:t xml:space="preserve">109.87 ± 7.13</ns0:t>
              <ns0:rPr>
                <ns0:sz ns0:val="18"/>
              </ns0:rPr>
            </ns0:r>
          </ns0:p>
        </ns0:tc>
        <ns0:tc>
          <ns0:p>
            <ns0:pPr>
              <ns0:pStyle ns0:val="Compact"/>
              <ns0:jc ns0:val="left"/>
            </ns0:pPr>
            <ns0:r>
              <ns0:t xml:space="preserve">97.71 ± 7.06</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Bituberous width (mm)</ns0:t>
              <ns0:rPr>
                <ns0:sz ns0:val="18"/>
              </ns0:rPr>
            </ns0:r>
          </ns0:p>
        </ns0:tc>
        <ns0:tc>
          <ns0:p>
            <ns0:pPr>
              <ns0:pStyle ns0:val="Compact"/>
              <ns0:jc ns0:val="left"/>
            </ns0:pPr>
            <ns0:r>
              <ns0:t xml:space="preserve">132.24 ± 9.15</ns0:t>
              <ns0:rPr>
                <ns0:sz ns0:val="18"/>
              </ns0:rPr>
            </ns0:r>
          </ns0:p>
        </ns0:tc>
        <ns0:tc>
          <ns0:p>
            <ns0:pPr>
              <ns0:pStyle ns0:val="Compact"/>
              <ns0:jc ns0:val="left"/>
            </ns0:pPr>
            <ns0:r>
              <ns0:t xml:space="preserve">136.46 ± 8.29</ns0:t>
              <ns0:rPr>
                <ns0:sz ns0:val="18"/>
              </ns0:rPr>
            </ns0:r>
          </ns0:p>
        </ns0:tc>
        <ns0:tc>
          <ns0:p>
            <ns0:pPr>
              <ns0:pStyle ns0:val="Compact"/>
              <ns0:jc ns0:val="left"/>
            </ns0:pPr>
            <ns0:r>
              <ns0:t xml:space="preserve">127.30 ± 7.49</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Iliopectineal eminence width (mm)</ns0:t>
              <ns0:rPr>
                <ns0:sz ns0:val="18"/>
              </ns0:rPr>
            </ns0:r>
          </ns0:p>
        </ns0:tc>
        <ns0:tc>
          <ns0:p>
            <ns0:pPr>
              <ns0:pStyle ns0:val="Compact"/>
              <ns0:jc ns0:val="left"/>
            </ns0:pPr>
            <ns0:r>
              <ns0:t xml:space="preserve">102.38 ± 7.75</ns0:t>
              <ns0:rPr>
                <ns0:sz ns0:val="18"/>
              </ns0:rPr>
            </ns0:r>
          </ns0:p>
        </ns0:tc>
        <ns0:tc>
          <ns0:p>
            <ns0:pPr>
              <ns0:pStyle ns0:val="Compact"/>
              <ns0:jc ns0:val="left"/>
            </ns0:pPr>
            <ns0:r>
              <ns0:t xml:space="preserve">106.20 ± 7.02</ns0:t>
              <ns0:rPr>
                <ns0:sz ns0:val="18"/>
              </ns0:rPr>
            </ns0:r>
          </ns0:p>
        </ns0:tc>
        <ns0:tc>
          <ns0:p>
            <ns0:pPr>
              <ns0:pStyle ns0:val="Compact"/>
              <ns0:jc ns0:val="left"/>
            </ns0:pPr>
            <ns0:r>
              <ns0:t xml:space="preserve">97.90 ± 5.96</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Pelvic inlet transverse (mm)</ns0:t>
              <ns0:rPr>
                <ns0:sz ns0:val="18"/>
              </ns0:rPr>
            </ns0:r>
          </ns0:p>
        </ns0:tc>
        <ns0:tc>
          <ns0:p>
            <ns0:pPr>
              <ns0:pStyle ns0:val="Compact"/>
              <ns0:jc ns0:val="left"/>
            </ns0:pPr>
            <ns0:r>
              <ns0:t xml:space="preserve">131.58 ± 8.88</ns0:t>
              <ns0:rPr>
                <ns0:sz ns0:val="18"/>
              </ns0:rPr>
            </ns0:r>
          </ns0:p>
        </ns0:tc>
        <ns0:tc>
          <ns0:p>
            <ns0:pPr>
              <ns0:pStyle ns0:val="Compact"/>
              <ns0:jc ns0:val="left"/>
            </ns0:pPr>
            <ns0:r>
              <ns0:t xml:space="preserve">134.85 ± 8.59</ns0:t>
              <ns0:rPr>
                <ns0:sz ns0:val="18"/>
              </ns0:rPr>
            </ns0:r>
          </ns0:p>
        </ns0:tc>
        <ns0:tc>
          <ns0:p>
            <ns0:pPr>
              <ns0:pStyle ns0:val="Compact"/>
              <ns0:jc ns0:val="left"/>
            </ns0:pPr>
            <ns0:r>
              <ns0:t xml:space="preserve">127.75 ± 7.61</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Sacral width (mm)</ns0:t>
              <ns0:rPr>
                <ns0:sz ns0:val="18"/>
              </ns0:rPr>
            </ns0:r>
          </ns0:p>
        </ns0:tc>
        <ns0:tc>
          <ns0:p>
            <ns0:pPr>
              <ns0:pStyle ns0:val="Compact"/>
              <ns0:jc ns0:val="left"/>
            </ns0:pPr>
            <ns0:r>
              <ns0:t xml:space="preserve">117.08 ± 6.08</ns0:t>
              <ns0:rPr>
                <ns0:sz ns0:val="18"/>
              </ns0:rPr>
            </ns0:r>
          </ns0:p>
        </ns0:tc>
        <ns0:tc>
          <ns0:p>
            <ns0:pPr>
              <ns0:pStyle ns0:val="Compact"/>
              <ns0:jc ns0:val="left"/>
            </ns0:pPr>
            <ns0:r>
              <ns0:t xml:space="preserve">116.75 ± 5.67</ns0:t>
              <ns0:rPr>
                <ns0:sz ns0:val="18"/>
              </ns0:rPr>
            </ns0:r>
          </ns0:p>
        </ns0:tc>
        <ns0:tc>
          <ns0:p>
            <ns0:pPr>
              <ns0:pStyle ns0:val="Compact"/>
              <ns0:jc ns0:val="left"/>
            </ns0:pPr>
            <ns0:r>
              <ns0:t xml:space="preserve">117.47 ± 6.54</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Subpubic angle (deg)</ns0:t>
              <ns0:rPr>
                <ns0:sz ns0:val="18"/>
              </ns0:rPr>
            </ns0:r>
          </ns0:p>
        </ns0:tc>
        <ns0:tc>
          <ns0:p>
            <ns0:pPr>
              <ns0:pStyle ns0:val="Compact"/>
              <ns0:jc ns0:val="left"/>
            </ns0:pPr>
            <ns0:r>
              <ns0:t xml:space="preserve">78.12 ± 10.12</ns0:t>
              <ns0:rPr>
                <ns0:sz ns0:val="18"/>
              </ns0:rPr>
            </ns0:r>
          </ns0:p>
        </ns0:tc>
        <ns0:tc>
          <ns0:p>
            <ns0:pPr>
              <ns0:pStyle ns0:val="Compact"/>
              <ns0:jc ns0:val="left"/>
            </ns0:pPr>
            <ns0:r>
              <ns0:t xml:space="preserve">85.80 ± 6.14</ns0:t>
              <ns0:rPr>
                <ns0:sz ns0:val="18"/>
              </ns0:rPr>
            </ns0:r>
          </ns0:p>
        </ns0:tc>
        <ns0:tc>
          <ns0:p>
            <ns0:pPr>
              <ns0:pStyle ns0:val="Compact"/>
              <ns0:jc ns0:val="left"/>
            </ns0:pPr>
            <ns0:r>
              <ns0:t xml:space="preserve">69.11 ± 5.26</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Global scale factor (-)</ns0:t>
              <ns0:rPr>
                <ns0:sz ns0:val="18"/>
              </ns0:rPr>
            </ns0:r>
          </ns0:p>
        </ns0:tc>
        <ns0:tc>
          <ns0:p>
            <ns0:pPr>
              <ns0:pStyle ns0:val="Compact"/>
              <ns0:jc ns0:val="left"/>
            </ns0:pPr>
            <ns0:r>
              <ns0:t xml:space="preserve">0.96 ± 0.06</ns0:t>
              <ns0:rPr>
                <ns0:sz ns0:val="18"/>
              </ns0:rPr>
            </ns0:r>
          </ns0:p>
        </ns0:tc>
        <ns0:tc>
          <ns0:p>
            <ns0:pPr>
              <ns0:pStyle ns0:val="Compact"/>
              <ns0:jc ns0:val="left"/>
            </ns0:pPr>
            <ns0:r>
              <ns0:t xml:space="preserve">0.92 ± 0.05</ns0:t>
              <ns0:rPr>
                <ns0:sz ns0:val="18"/>
              </ns0:rPr>
            </ns0:r>
          </ns0:p>
        </ns0:tc>
        <ns0:tc>
          <ns0:p>
            <ns0:pPr>
              <ns0:pStyle ns0:val="Compact"/>
              <ns0:jc ns0:val="left"/>
            </ns0:pPr>
            <ns0:r>
              <ns0:t xml:space="preserve">1.00 ± 0.05</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Total mapped bony pelvic volume (cm</ns0:t>
              <ns0:rPr>
                <ns0:sz ns0:val="18"/>
              </ns0:rPr>
            </ns0:r>
            <ns1:oMath>
              <ns1:sSup>
                <ns1:e>
                  <ns1:r>
                    <ns1:t>​</ns1:t>
                  </ns1:r>
                </ns1:e>
                <ns1:sup>
                  <ns1:r>
                    <ns1:t>3</ns1:t>
                  </ns1:r>
                </ns1:sup>
              </ns1:sSup>
            </ns1:oMath>
            <ns0:r>
              <ns0:t xml:space="preserve">)</ns0:t>
              <ns0:rPr>
                <ns0:sz ns0:val="18"/>
              </ns0:rPr>
            </ns0:r>
          </ns0:p>
        </ns0:tc>
        <ns0:tc>
          <ns0:p>
            <ns0:pPr>
              <ns0:pStyle ns0:val="Compact"/>
              <ns0:jc ns0:val="left"/>
            </ns0:pPr>
            <ns0:r>
              <ns0:t xml:space="preserve">823.58 ± 149.32</ns0:t>
              <ns0:rPr>
                <ns0:sz ns0:val="18"/>
              </ns0:rPr>
            </ns0:r>
          </ns0:p>
        </ns0:tc>
        <ns0:tc>
          <ns0:p>
            <ns0:pPr>
              <ns0:pStyle ns0:val="Compact"/>
              <ns0:jc ns0:val="left"/>
            </ns0:pPr>
            <ns0:r>
              <ns0:t xml:space="preserve">736.79 ± 105.99</ns0:t>
              <ns0:rPr>
                <ns0:sz ns0:val="18"/>
              </ns0:rPr>
            </ns0:r>
          </ns0:p>
        </ns0:tc>
        <ns0:tc>
          <ns0:p>
            <ns0:pPr>
              <ns0:pStyle ns0:val="Compact"/>
              <ns0:jc ns0:val="left"/>
            </ns0:pPr>
            <ns0:r>
              <ns0:t xml:space="preserve">925.28 ± 126.99</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Total mapped bony pelvic surface (cm</ns0:t>
              <ns0:rPr>
                <ns0:sz ns0:val="18"/>
              </ns0:rPr>
            </ns0:r>
            <ns1:oMath>
              <ns1:sSup>
                <ns1:e>
                  <ns1:r>
                    <ns1:t>​</ns1:t>
                  </ns1:r>
                </ns1:e>
                <ns1:sup>
                  <ns1:r>
                    <ns1:t>2</ns1:t>
                  </ns1:r>
                </ns1:sup>
              </ns1:sSup>
            </ns1:oMath>
            <ns0:r>
              <ns0:t xml:space="preserve">)</ns0:t>
              <ns0:rPr>
                <ns0:sz ns0:val="18"/>
              </ns0:rPr>
            </ns0:r>
          </ns0:p>
        </ns0:tc>
        <ns0:tc>
          <ns0:p>
            <ns0:pPr>
              <ns0:pStyle ns0:val="Compact"/>
              <ns0:jc ns0:val="left"/>
            </ns0:pPr>
            <ns0:r>
              <ns0:t xml:space="preserve">1568.63 ± 169.26</ns0:t>
              <ns0:rPr>
                <ns0:sz ns0:val="18"/>
              </ns0:rPr>
            </ns0:r>
          </ns0:p>
        </ns0:tc>
        <ns0:tc>
          <ns0:p>
            <ns0:pPr>
              <ns0:pStyle ns0:val="Compact"/>
              <ns0:jc ns0:val="left"/>
            </ns0:pPr>
            <ns0:r>
              <ns0:t xml:space="preserve">1479.09 ± 133.64</ns0:t>
              <ns0:rPr>
                <ns0:sz ns0:val="18"/>
              </ns0:rPr>
            </ns0:r>
          </ns0:p>
        </ns0:tc>
        <ns0:tc>
          <ns0:p>
            <ns0:pPr>
              <ns0:pStyle ns0:val="Compact"/>
              <ns0:jc ns0:val="left"/>
            </ns0:pPr>
            <ns0:r>
              <ns0:t xml:space="preserve">1673.57 ± 144.80</ns0:t>
              <ns0:rPr>
                <ns0:sz ns0:val="18"/>
              </ns0:rPr>
            </ns0:r>
          </ns0:p>
        </ns0:tc>
        <ns0:tc>
          <ns0:p>
            <ns0:pPr>
              <ns0:pStyle ns0:val="Compact"/>
              <ns0:jc ns0:val="left"/>
            </ns0:pPr>
            <ns0:r>
              <ns0:t xml:space="preserve">0</ns0:t>
              <ns0:rPr>
                <ns0:sz ns0:val="18"/>
              </ns0:rPr>
            </ns0:r>
          </ns0:p>
        </ns0:tc>
      </ns0:tr>
    </ns0:tbl>
    <ns0:bookmarkEnd ns0:id="22"/>
    <ns0:bookmarkEnd ns0:id="23"/>
    <ns0:bookmarkStart ns0:id="26" ns0:name="Xebe77f35e9d27e5945e889cd3751a63baab3fc9"/>
    <ns0:p>
      <ns0:pPr>
        <ns0:pStyle ns0:val="Heading2"/>
      </ns0:pPr>
      <ns0:r>
        <ns0:t xml:space="preserve">2.2. Anatomical dimensions and their landmarks</ns0:t>
      </ns0:r>
    </ns0:p>
    <ns0:p>
      <ns0:pPr>
        <ns0:pStyle ns0:val="FirstParagraph"/>
      </ns0:pPr>
      <ns0:r>
        <ns0:t xml:space="preserve">Figure 1 shows all eight morphometric measures in Table 1, using the template landmarks from the measurement workflow. Each of the seven linear dimensions is the three-dimensional Euclidean distance</ns0:t>
      </ns0:r>
      <ns0:r>
        <ns0:t xml:space="preserve"> </ns0:t>
      </ns0:r>
      <ns1:oMath>
        <ns1:r>
          <ns1:t>d</ns1:t>
        </ns1:r>
        <ns1:r>
          <ns1:rPr>
            <ns1:sty ns1:val="p"/>
          </ns1:rPr>
          <ns1:t>=</ns1:t>
        </ns1:r>
        <ns1:r>
          <ns1:rPr>
            <ns1:sty ns1:val="p"/>
          </ns1:rPr>
          <ns1:t>∥</ns1:t>
        </ns1:r>
        <ns1:sSub>
          <ns1:e>
            <ns1:r>
              <ns1:rPr>
                <ns1:sty ns1:val="b"/>
              </ns1:rPr>
              <ns1:t>p</ns1:t>
            </ns1:r>
          </ns1:e>
          <ns1:sub>
            <ns1:r>
              <ns1:t>2</ns1:t>
            </ns1:r>
          </ns1:sub>
        </ns1:sSub>
        <ns1:r>
          <ns1:rPr>
            <ns1:sty ns1:val="p"/>
          </ns1:rPr>
          <ns1:t>−</ns1:t>
        </ns1:r>
        <ns1:sSub>
          <ns1:e>
            <ns1:r>
              <ns1:rPr>
                <ns1:sty ns1:val="b"/>
              </ns1:rPr>
              <ns1:t>p</ns1:t>
            </ns1:r>
          </ns1:e>
          <ns1:sub>
            <ns1:r>
              <ns1:t>1</ns1:t>
            </ns1:r>
          </ns1:sub>
        </ns1:sSub>
        <ns1:r>
          <ns1:rPr>
            <ns1:sty ns1:val="p"/>
          </ns1:rPr>
          <ns1:t>∥</ns1:t>
        </ns1:r>
      </ns1:oMath>
      <ns0:r>
        <ns0:t xml:space="preserve">, rather than its projection into a display plane. The subpubic angle uses the second of three landmarks as its vertex:</ns0:t>
      </ns0:r>
    </ns0:p>
    <ns0:p>
      <ns0:pPr>
        <ns0:pStyle ns0:val="BodyText"/>
      </ns0:pPr>
      <ns1:oMathPara>
        <ns1:oMathParaPr>
          <ns1:jc ns1:val="center"/>
        </ns1:oMathParaPr>
        <ns1:oMath>
          <ns1:sSub>
            <ns1:e>
              <ns1:r>
                <ns1:t>α</ns1:t>
              </ns1:r>
            </ns1:e>
            <ns1:sub>
              <ns1:r>
                <ns1:t>s</ns1:t>
              </ns1:r>
              <ns1:r>
                <ns1:t>u</ns1:t>
              </ns1:r>
              <ns1:r>
                <ns1:t>b</ns1:t>
              </ns1:r>
            </ns1:sub>
          </ns1:sSub>
          <ns1:r>
            <ns1:rPr>
              <ns1:sty ns1:val="p"/>
            </ns1:rPr>
            <ns1:t>=</ns1:t>
          </ns1:r>
          <ns1:r>
            <ns1:rPr>
              <ns1:nor/>
              <ns1:sty ns1:val="p"/>
            </ns1:rPr>
            <ns1:t>arccos</ns1:t>
          </ns1:r>
          <ns1:r>
            <ns1:t>​</ns1:t>
          </ns1:r>
          <ns1:d>
            <ns1:dPr>
              <ns1:begChr ns1:val="["/>
              <ns1:endChr ns1:val="]"/>
              <ns1:grow/>
            </ns1:dPr>
            <ns1:e>
              <ns1:f>
                <ns1:fPr>
                  <ns1:type ns1:val="bar"/>
                </ns1:fPr>
                <ns1:num>
                  <ns1:r>
                    <ns1:rPr>
                      <ns1:sty ns1:val="p"/>
                    </ns1:rPr>
                    <ns1:t>(</ns1:t>
                  </ns1:r>
                  <ns1:sSub>
                    <ns1:e>
                      <ns1:r>
                        <ns1:rPr>
                          <ns1:sty ns1:val="b"/>
                        </ns1:rPr>
                        <ns1:t>p</ns1:t>
                      </ns1:r>
                    </ns1:e>
                    <ns1:sub>
                      <ns1:r>
                        <ns1:t>1</ns1:t>
                      </ns1:r>
                    </ns1:sub>
                  </ns1:sSub>
                  <ns1:r>
                    <ns1:rPr>
                      <ns1:sty ns1:val="p"/>
                    </ns1:rPr>
                    <ns1:t>−</ns1:t>
                  </ns1:r>
                  <ns1:sSub>
                    <ns1:e>
                      <ns1:r>
                        <ns1:rPr>
                          <ns1:sty ns1:val="b"/>
                        </ns1:rPr>
                        <ns1:t>p</ns1:t>
                      </ns1:r>
                    </ns1:e>
                    <ns1:sub>
                      <ns1:r>
                        <ns1:t>2</ns1:t>
                      </ns1:r>
                    </ns1:sub>
                  </ns1:sSub>
                  <ns1:r>
                    <ns1:rPr>
                      <ns1:sty ns1:val="p"/>
                    </ns1:rPr>
                    <ns1:t>)</ns1:t>
                  </ns1:r>
                  <ns1:r>
                    <ns1:rPr>
                      <ns1:sty ns1:val="p"/>
                    </ns1:rPr>
                    <ns1:t>⋅</ns1:t>
                  </ns1:r>
                  <ns1:r>
                    <ns1:rPr>
                      <ns1:sty ns1:val="p"/>
                    </ns1:rPr>
                    <ns1:t>(</ns1:t>
                  </ns1:r>
                  <ns1:sSub>
                    <ns1:e>
                      <ns1:r>
                        <ns1:rPr>
                          <ns1:sty ns1:val="b"/>
                        </ns1:rPr>
                        <ns1:t>p</ns1:t>
                      </ns1:r>
                    </ns1:e>
                    <ns1:sub>
                      <ns1:r>
                        <ns1:t>3</ns1:t>
                      </ns1:r>
                    </ns1:sub>
                  </ns1:sSub>
                  <ns1:r>
                    <ns1:rPr>
                      <ns1:sty ns1:val="p"/>
                    </ns1:rPr>
                    <ns1:t>−</ns1:t>
                  </ns1:r>
                  <ns1:sSub>
                    <ns1:e>
                      <ns1:r>
                        <ns1:rPr>
                          <ns1:sty ns1:val="b"/>
                        </ns1:rPr>
                        <ns1:t>p</ns1:t>
                      </ns1:r>
                    </ns1:e>
                    <ns1:sub>
                      <ns1:r>
                        <ns1:t>2</ns1:t>
                      </ns1:r>
                    </ns1:sub>
                  </ns1:sSub>
                  <ns1:r>
                    <ns1:rPr>
                      <ns1:sty ns1:val="p"/>
                    </ns1:rPr>
                    <ns1:t>)</ns1:t>
                  </ns1:r>
                </ns1:num>
                <ns1:den>
                  <ns1:r>
                    <ns1:rPr>
                      <ns1:sty ns1:val="p"/>
                    </ns1:rPr>
                    <ns1:t>∥</ns1:t>
                  </ns1:r>
                  <ns1:sSub>
                    <ns1:e>
                      <ns1:r>
                        <ns1:rPr>
                          <ns1:sty ns1:val="b"/>
                        </ns1:rPr>
                        <ns1:t>p</ns1:t>
                      </ns1:r>
                    </ns1:e>
                    <ns1:sub>
                      <ns1:r>
                        <ns1:t>1</ns1:t>
                      </ns1:r>
                    </ns1:sub>
                  </ns1:sSub>
                  <ns1:r>
                    <ns1:rPr>
                      <ns1:sty ns1:val="p"/>
                    </ns1:rPr>
                    <ns1:t>−</ns1:t>
                  </ns1:r>
                  <ns1:sSub>
                    <ns1:e>
                      <ns1:r>
                        <ns1:rPr>
                          <ns1:sty ns1:val="b"/>
                        </ns1:rPr>
                        <ns1:t>p</ns1:t>
                      </ns1:r>
                    </ns1:e>
                    <ns1:sub>
                      <ns1:r>
                        <ns1:t>2</ns1:t>
                      </ns1:r>
                    </ns1:sub>
                  </ns1:sSub>
                  <ns1:r>
                    <ns1:rPr>
                      <ns1:sty ns1:val="p"/>
                    </ns1:rPr>
                    <ns1:t>∥</ns1:t>
                  </ns1:r>
                  <ns1:r>
                    <ns1:t> </ns1:t>
                  </ns1:r>
                  <ns1:r>
                    <ns1:rPr>
                      <ns1:sty ns1:val="p"/>
                    </ns1:rPr>
                    <ns1:t>∥</ns1:t>
                  </ns1:r>
                  <ns1:sSub>
                    <ns1:e>
                      <ns1:r>
                        <ns1:rPr>
                          <ns1:sty ns1:val="b"/>
                        </ns1:rPr>
                        <ns1:t>p</ns1:t>
                      </ns1:r>
                    </ns1:e>
                    <ns1:sub>
                      <ns1:r>
                        <ns1:t>3</ns1:t>
                      </ns1:r>
                    </ns1:sub>
                  </ns1:sSub>
                  <ns1:r>
                    <ns1:rPr>
                      <ns1:sty ns1:val="p"/>
                    </ns1:rPr>
                    <ns1:t>−</ns1:t>
                  </ns1:r>
                  <ns1:sSub>
                    <ns1:e>
                      <ns1:r>
                        <ns1:rPr>
                          <ns1:sty ns1:val="b"/>
                        </ns1:rPr>
                        <ns1:t>p</ns1:t>
                      </ns1:r>
                    </ns1:e>
                    <ns1:sub>
                      <ns1:r>
                        <ns1:t>2</ns1:t>
                      </ns1:r>
                    </ns1:sub>
                  </ns1:sSub>
                  <ns1:r>
                    <ns1:rPr>
                      <ns1:sty ns1:val="p"/>
                    </ns1:rPr>
                    <ns1:t>∥</ns1:t>
                  </ns1:r>
                </ns1:den>
              </ns1:f>
            </ns1:e>
          </ns1:d>
          <ns1:r>
            <ns1:rPr>
              <ns1:sty ns1:val="p"/>
            </ns1:rPr>
            <ns1:t>,</ns1:t>
          </ns1:r>
        </ns1:oMath>
      </ns1:oMathPara>
    </ns0:p>
    <ns0:p>
      <ns0:pPr>
        <ns0:pStyle ns0:val="FirstParagraph"/>
      </ns0:pPr>
      <ns0:r>
        <ns0:t xml:space="preserve">with numerical clipping to</ns0:t>
      </ns0:r>
      <ns0:r>
        <ns0:t xml:space="preserve"> </ns0:t>
      </ns0:r>
      <ns1:oMath>
        <ns1:r>
          <ns1:rPr>
            <ns1:sty ns1:val="p"/>
          </ns1:rPr>
          <ns1:t>[</ns1:t>
        </ns1:r>
        <ns1:r>
          <ns1:rPr>
            <ns1:sty ns1:val="p"/>
          </ns1:rPr>
          <ns1:t>−</ns1:t>
        </ns1:r>
        <ns1:r>
          <ns1:t>1</ns1:t>
        </ns1:r>
        <ns1:r>
          <ns1:rPr>
            <ns1:sty ns1:val="p"/>
          </ns1:rPr>
          <ns1:t>,</ns1:t>
        </ns1:r>
        <ns1:r>
          <ns1:t>1</ns1:t>
        </ns1:r>
        <ns1:r>
          <ns1:rPr>
            <ns1:sty ns1:val="p"/>
          </ns1:rPr>
          <ns1:t>]</ns1:t>
        </ns1:r>
      </ns1:oMath>
      <ns0:r>
        <ns0:t xml:space="preserve"> </ns0:t>
      </ns0:r>
      <ns0:r>
        <ns0:t xml:space="preserve">and conversion to degrees. The landmark labels are local to each measurement. Landmarks were mapped from the template to each subject; interpolation settings and numerical checks are given in Appendix A.1. Total mapped bony pelvic volume is the summed geometric volume of the selected left and right hip-bone bodies (LI and RI in the implementation) and sacrum, expressed in cm</ns0:t>
      </ns0:r>
      <ns1:oMath>
        <ns1:sSup>
          <ns1:e>
            <ns1:r>
              <ns1:t>​</ns1:t>
            </ns1:r>
          </ns1:e>
          <ns1:sup>
            <ns1:r>
              <ns1:t>3</ns1:t>
            </ns1:r>
          </ns1:sup>
        </ns1:sSup>
      </ns1:oMath>
      <ns0:r>
        <ns0:t xml:space="preserve">. It excludes the lumbar vertebrae and pelvic canal space and is not a direct measure of cortical-tissue volume. Supplementary Figure S2 illustrates these three bone bodies, the rotational coordinates and point-translation definition.</ns0:t>
      </ns0:r>
    </ns0:p>
    <ns0:p>
      <ns0:pPr>
        <ns0:pStyle ns0:val="BodyText"/>
      </ns0:pPr>
      <ns0:r>
        <ns0:drawing>
          <ns2:inline>
            <ns2:extent cx="5334000" cy="4438332"/>
            <ns2:effectExtent b="0" l="0" r="0" t="0"/>
            <ns2:docPr descr="image" title="" id="1" name="Picture"/>
            <ns3:graphic>
              <ns3:graphicData uri="http://schemas.openxmlformats.org/drawingml/2006/picture">
                <ns4:pic>
                  <ns4:nvPicPr>
                    <ns4:cNvPr descr="/tmp/janat_docx_9v1cyq4_/Fig_morphometric_landmarks.png" id="0" name="Picture"/>
                    <ns4:cNvPicPr>
                      <ns3:picLocks noChangeArrowheads="1" noChangeAspect="1"/>
                    </ns4:cNvPicPr>
                  </ns4:nvPicPr>
                  <ns4:blipFill>
                    <ns3:blip ns5:embed="rId24"/>
                    <ns3:stretch>
                      <ns3:fillRect/>
                    </ns3:stretch>
                  </ns4:blipFill>
                  <ns4:spPr bwMode="auto">
                    <ns3:xfrm>
                      <ns3:off x="0" y="0"/>
                      <ns3:ext cx="5334000" cy="4438332"/>
                    </ns3:xfrm>
                    <ns3:prstGeom prst="rect">
                      <ns3:avLst/>
                    </ns3:prstGeom>
                    <ns3:noFill/>
                    <ns3:ln w="9525">
                      <ns3:noFill/>
                      <ns3:headEnd/>
                      <ns3:tailEnd/>
                    </ns3:ln>
                  </ns4:spPr>
                </ns4:pic>
              </ns3:graphicData>
            </ns3:graphic>
          </ns2:inline>
        </ns0:drawing>
      </ns0:r>
    </ns0:p>
    <ns0:p>
      <ns0:pPr>
        <ns0:pStyle ns0:val="BodyText"/>
      </ns0:pPr>
      <ns0:r>
        <ns0:t xml:space="preserve">Figure 1.</ns0:t>
      </ns0:r>
      <ns0:r>
        <ns0:t xml:space="preserve"> </ns0:t>
      </ns0:r>
      <ns0:r>
        <ns0:rPr>
          <ns0:bCs/>
          <ns0:b/>
        </ns0:rPr>
        <ns0:t xml:space="preserve">Anatomical landmarks for all morphometric measures.</ns0:t>
      </ns0:r>
      <ns0:r>
        <ns0:t xml:space="preserve"> </ns0:t>
      </ns0:r>
      <ns0:r>
        <ns0:t xml:space="preserve">(A–G) Landmark pairs define the seven linear dimensions in Table 1. (H) The subpubic angle has vertex</ns0:t>
      </ns0:r>
      <ns0:r>
        <ns0:t xml:space="preserve"> </ns0:t>
      </ns0:r>
      <ns1:oMath>
        <ns1:sSub>
          <ns1:e>
            <ns1:r>
              <ns1:t>p</ns1:t>
            </ns1:r>
          </ns1:e>
          <ns1:sub>
            <ns1:r>
              <ns1:t>2</ns1:t>
            </ns1:r>
          </ns1:sub>
        </ns1:sSub>
      </ns1:oMath>
      <ns0:r>
        <ns0:t xml:space="preserve"> </ns0:t>
      </ns0:r>
      <ns0:r>
        <ns0:t xml:space="preserve">and arms toward</ns0:t>
      </ns0:r>
      <ns0:r>
        <ns0:t xml:space="preserve"> </ns0:t>
      </ns0:r>
      <ns1:oMath>
        <ns1:sSub>
          <ns1:e>
            <ns1:r>
              <ns1:t>p</ns1:t>
            </ns1:r>
          </ns1:e>
          <ns1:sub>
            <ns1:r>
              <ns1:t>1</ns1:t>
            </ns1:r>
          </ns1:sub>
        </ns1:sSub>
      </ns1:oMath>
      <ns0:r>
        <ns0:t xml:space="preserve"> </ns0:t>
      </ns0:r>
      <ns0:r>
        <ns0:t xml:space="preserve">and</ns0:t>
      </ns0:r>
      <ns0:r>
        <ns0:t xml:space="preserve"> </ns0:t>
      </ns0:r>
      <ns1:oMath>
        <ns1:sSub>
          <ns1:e>
            <ns1:r>
              <ns1:t>p</ns1:t>
            </ns1:r>
          </ns1:e>
          <ns1:sub>
            <ns1:r>
              <ns1:t>3</ns1:t>
            </ns1:r>
          </ns1:sub>
        </ns1:sSub>
      </ns1:oMath>
      <ns0:r>
        <ns0:t xml:space="preserve">; the view is normal to their plane. (I) Measurement definitions and landmark key. Markers and segments are overlaid on the reference pelvic geometry to keep internal landmarks visible. Values describe the template, not cohort averages. Lengths are measured in three dimensions; each camera direction is perpendicular to its measurement segment. Panels use different views and magnifications.</ns0:t>
      </ns0:r>
      <ns0:r>
        <ns0:t xml:space="preserve"> </ns0:t>
      </ns0:r>
      <ns0:bookmarkStart ns0:id="25" ns0:name="fig:morphometry"/>
      <ns0:r>
        <ns0:t xml:space="preserve">[fig:morphometry]</ns0:t>
      </ns0:r>
      <ns0:bookmarkEnd ns0:id="25"/>
    </ns0:p>
    <ns0:bookmarkEnd ns0:id="26"/>
    <ns0:bookmarkStart ns0:id="27" ns0:name="finite-element-model"/>
    <ns0:p>
      <ns0:pPr>
        <ns0:pStyle ns0:val="Heading2"/>
      </ns0:pPr>
      <ns0:r>
        <ns0:t xml:space="preserve">2.3. Finite-element model</ns0:t>
      </ns0:r>
    </ns0:p>
    <ns0:p>
      <ns0:pPr>
        <ns0:pStyle ns0:val="FirstParagraph"/>
      </ns0:pPr>
      <ns0:r>
        <ns0:t xml:space="preserve">The simulations used DOLFINx 0.10 on a mesh with 166,808 cells and 48,291 nodes. Small-strain linear elasticity was discretized with four-node tetrahedra and continuous, first-order Lagrange displacement and geometry fields; material properties were cellwise constant (DG0). PETSc used a direct MUMPS LU factorization on the shared reference domain (Appendix A.1). Subject anatomy was established by bijective anatomical registration and represented on the FE discretization by</ns0:t>
      </ns0:r>
      <ns0:r>
        <ns0:t xml:space="preserve"> </ns0:t>
      </ns0:r>
      <ns1:oMath>
        <ns1:r>
          <ns1:rPr>
            <ns1:sty ns1:val="b"/>
          </ns1:rPr>
          <ns1:t>x</ns1:t>
        </ns1:r>
        <ns1:r>
          <ns1:rPr>
            <ns1:sty ns1:val="p"/>
          </ns1:rPr>
          <ns1:t>=</ns1:t>
        </ns1:r>
        <ns1:r>
          <ns1:rPr>
            <ns1:sty ns1:val="b"/>
          </ns1:rPr>
          <ns1:t>X</ns1:t>
        </ns1:r>
        <ns1:r>
          <ns1:rPr>
            <ns1:sty ns1:val="p"/>
          </ns1:rPr>
          <ns1:t>+</ns1:t>
        </ns1:r>
        <ns1:sSub>
          <ns1:e>
            <ns1:r>
              <ns1:rPr>
                <ns1:sty ns1:val="b"/>
              </ns1:rPr>
              <ns1:t>ϕ</ns1:t>
            </ns1:r>
          </ns1:e>
          <ns1:sub>
            <ns1:r>
              <ns1:t>i</ns1:t>
            </ns1:r>
          </ns1:sub>
        </ns1:sSub>
        <ns1:r>
          <ns1:rPr>
            <ns1:sty ns1:val="p"/>
          </ns1:rPr>
          <ns1:t>(</ns1:t>
        </ns1:r>
        <ns1:r>
          <ns1:rPr>
            <ns1:sty ns1:val="b"/>
          </ns1:rPr>
          <ns1:t>X</ns1:t>
        </ns1:r>
        <ns1:r>
          <ns1:rPr>
            <ns1:sty ns1:val="p"/>
          </ns1:rPr>
          <ns1:t>)</ns1:t>
        </ns1:r>
      </ns1:oMath>
      <ns0:r>
        <ns0:t xml:space="preserve">, using radial basis function (RBF) interpolation of the established registration displacement map. Spatial gradients and integration measures were pulled back to the reference domain</ns0:t>
      </ns0:r>
      <ns0:r>
        <ns0:t xml:space="preserve"> </ns0:t>
      </ns0:r>
      <ns0:r>
        <ns0:t xml:space="preserve">(Bonet and Wood 2008)</ns0:t>
      </ns0:r>
      <ns0:r>
        <ns0:t xml:space="preserve">. This interpolation approximates individual anatomy on a shared discretization and does not reproduce cortical boundaries exactly.</ns0:t>
      </ns0:r>
    </ns0:p>
    <ns0:p>
      <ns0:pPr>
        <ns0:pStyle ns0:val="BodyText"/>
      </ns0:pPr>
      <ns0:r>
        <ns0:t xml:space="preserve">Experimental relationships between bone density and stiffness motivate density-dependent material assignment</ns0:t>
      </ns0:r>
      <ns0:r>
        <ns0:t xml:space="preserve"> </ns0:t>
      </ns0:r>
      <ns0:r>
        <ns0:t xml:space="preserve">(Keller 1994)</ns0:t>
      </ns0:r>
      <ns0:r>
        <ns0:t xml:space="preserve">. Bone stiffness was assigned using the following bone-modulus approximation:</ns0:t>
      </ns0:r>
    </ns0:p>
    <ns0:p>
      <ns0:pPr>
        <ns0:pStyle ns0:val="BodyText"/>
      </ns0:pPr>
      <ns1:oMathPara>
        <ns1:oMathParaPr>
          <ns1:jc ns1:val="center"/>
        </ns1:oMathParaPr>
        <ns1:oMath>
          <ns1:r>
            <ns1:t>E</ns1:t>
          </ns1:r>
          <ns1:r>
            <ns1:rPr>
              <ns1:sty ns1:val="p"/>
            </ns1:rPr>
            <ns1:t>/</ns1:t>
          </ns1:r>
          <ns1:r>
            <ns1:rPr>
              <ns1:sty ns1:val="p"/>
            </ns1:rPr>
            <ns1:t>M</ns1:t>
          </ns1:r>
          <ns1:r>
            <ns1:rPr>
              <ns1:sty ns1:val="p"/>
            </ns1:rPr>
            <ns1:t>P</ns1:t>
          </ns1:r>
          <ns1:r>
            <ns1:rPr>
              <ns1:sty ns1:val="p"/>
            </ns1:rPr>
            <ns1:t>a</ns1:t>
          </ns1:r>
          <ns1:r>
            <ns1:rPr>
              <ns1:sty ns1:val="p"/>
            </ns1:rPr>
            <ns1:t>=</ns1:t>
          </ns1:r>
          <ns1:d>
            <ns1:dPr>
              <ns1:begChr ns1:val="{"/>
              <ns1:endChr ns1:val=""/>
              <ns1:grow/>
            </ns1:dPr>
            <ns1:e>
              <ns1:m>
                <ns1:mPr>
                  <ns1:baseJc ns1:val="center"/>
                  <ns1:plcHide ns1:val="1"/>
                  <ns1:mcs>
                    <ns1:mc>
                      <ns1:mcPr>
                        <ns1:mcJc ns1:val="left"/>
                        <ns1:count ns1:val="1"/>
                      </ns1:mcPr>
                    </ns1:mc>
                    <ns1:mc>
                      <ns1:mcPr>
                        <ns1:mcJc ns1:val="left"/>
                        <ns1:count ns1:val="1"/>
                      </ns1:mcPr>
                    </ns1:mc>
                  </ns1:mcs>
                </ns1:mPr>
                <ns1:mr>
                  <ns1:e>
                    <ns1:r>
                      <ns1:t>2398</ns1:t>
                    </ns1:r>
                    <ns1:r>
                      <ns1:rPr>
                        <ns1:sty ns1:val="p"/>
                      </ns1:rPr>
                      <ns1:t>,</ns1:t>
                    </ns1:r>
                  </ns1:e>
                  <ns1:e>
                    <ns1:sSub>
                      <ns1:e>
                        <ns1:r>
                          <ns1:t>ρ</ns1:t>
                        </ns1:r>
                      </ns1:e>
                      <ns1:sub>
                        <ns1:r>
                          <ns1:rPr>
                            <ns1:sty ns1:val="p"/>
                          </ns1:rPr>
                          <ns1:t>a</ns1:t>
                        </ns1:r>
                        <ns1:r>
                          <ns1:rPr>
                            <ns1:sty ns1:val="p"/>
                          </ns1:rPr>
                          <ns1:t>s</ns1:t>
                        </ns1:r>
                        <ns1:r>
                          <ns1:rPr>
                            <ns1:sty ns1:val="p"/>
                          </ns1:rPr>
                          <ns1:t>h</ns1:t>
                        </ns1:r>
                      </ns1:sub>
                    </ns1:sSub>
                    <ns1:r>
                      <ns1:rPr>
                        <ns1:sty ns1:val="p"/>
                      </ns1:rPr>
                      <ns1:t>≤</ns1:t>
                    </ns1:r>
                    <ns1:r>
                      <ns1:t>0.486</ns1:t>
                    </ns1:r>
                    <ns1:r>
                      <ns1:rPr>
                        <ns1:sty ns1:val="p"/>
                      </ns1:rPr>
                      <ns1:t>,</ns1:t>
                    </ns1:r>
                  </ns1:e>
                </ns1:mr>
                <ns1:mr>
                  <ns1:e>
                    <ns1:r>
                      <ns1:t>10200</ns1:t>
                    </ns1:r>
                    <ns1:sSubSup>
                      <ns1:e>
                        <ns1:r>
                          <ns1:t>ρ</ns1:t>
                        </ns1:r>
                      </ns1:e>
                      <ns1:sub>
                        <ns1:r>
                          <ns1:rPr>
                            <ns1:sty ns1:val="p"/>
                          </ns1:rPr>
                          <ns1:t>a</ns1:t>
                        </ns1:r>
                        <ns1:r>
                          <ns1:rPr>
                            <ns1:sty ns1:val="p"/>
                          </ns1:rPr>
                          <ns1:t>s</ns1:t>
                        </ns1:r>
                        <ns1:r>
                          <ns1:rPr>
                            <ns1:sty ns1:val="p"/>
                          </ns1:rPr>
                          <ns1:t>h</ns1:t>
                        </ns1:r>
                      </ns1:sub>
                      <ns1:sup>
                        <ns1:r>
                          <ns1:t>2</ns1:t>
                        </ns1:r>
                      </ns1:sup>
                    </ns1:sSubSup>
                    <ns1:r>
                      <ns1:rPr>
                        <ns1:sty ns1:val="p"/>
                      </ns1:rPr>
                      <ns1:t>,</ns1:t>
                    </ns1:r>
                  </ns1:e>
                  <ns1:e>
                    <ns1:sSub>
                      <ns1:e>
                        <ns1:r>
                          <ns1:t>ρ</ns1:t>
                        </ns1:r>
                      </ns1:e>
                      <ns1:sub>
                        <ns1:r>
                          <ns1:rPr>
                            <ns1:sty ns1:val="p"/>
                          </ns1:rPr>
                          <ns1:t>a</ns1:t>
                        </ns1:r>
                        <ns1:r>
                          <ns1:rPr>
                            <ns1:sty ns1:val="p"/>
                          </ns1:rPr>
                          <ns1:t>s</ns1:t>
                        </ns1:r>
                        <ns1:r>
                          <ns1:rPr>
                            <ns1:sty ns1:val="p"/>
                          </ns1:rPr>
                          <ns1:t>h</ns1:t>
                        </ns1:r>
                      </ns1:sub>
                    </ns1:sSub>
                    <ns1:r>
                      <ns1:rPr>
                        <ns1:sty ns1:val="p"/>
                      </ns1:rPr>
                      <ns1:t>&gt;</ns1:t>
                    </ns1:r>
                    <ns1:r>
                      <ns1:t>0.486</ns1:t>
                    </ns1:r>
                    <ns1:r>
                      <ns1:rPr>
                        <ns1:sty ns1:val="p"/>
                      </ns1:rPr>
                      <ns1:t>,</ns1:t>
                    </ns1:r>
                  </ns1:e>
                </ns1:mr>
              </ns1:m>
            </ns1:e>
          </ns1:d>
          <ns1:r>
            <ns1:t>  </ns1:t>
          </ns1:r>
          <ns1:sSub>
            <ns1:e>
              <ns1:r>
                <ns1:t>ρ</ns1:t>
              </ns1:r>
            </ns1:e>
            <ns1:sub>
              <ns1:r>
                <ns1:rPr>
                  <ns1:sty ns1:val="p"/>
                </ns1:rPr>
                <ns1:t>a</ns1:t>
              </ns1:r>
              <ns1:r>
                <ns1:rPr>
                  <ns1:sty ns1:val="p"/>
                </ns1:rPr>
                <ns1:t>s</ns1:t>
              </ns1:r>
              <ns1:r>
                <ns1:rPr>
                  <ns1:sty ns1:val="p"/>
                </ns1:rPr>
                <ns1:t>h</ns1:t>
              </ns1:r>
            </ns1:sub>
          </ns1:sSub>
          <ns1:r>
            <ns1:rPr>
              <ns1:sty ns1:val="p"/>
            </ns1:rPr>
            <ns1:t>=</ns1:t>
          </ns1:r>
          <ns1:r>
            <ns1:rPr>
              <ns1:sty ns1:val="p"/>
            </ns1:rPr>
            <ns1:t>(</ns1:t>
          </ns1:r>
          <ns1:r>
            <ns1:t>ρ</ns1:t>
          </ns1:r>
          <ns1:r>
            <ns1:rPr>
              <ns1:sty ns1:val="p"/>
            </ns1:rPr>
            <ns1:t>+</ns1:t>
          </ns1:r>
          <ns1:r>
            <ns1:t>0.09</ns1:t>
          </ns1:r>
          <ns1:r>
            <ns1:rPr>
              <ns1:sty ns1:val="p"/>
            </ns1:rPr>
            <ns1:t>)</ns1:t>
          </ns1:r>
          <ns1:r>
            <ns1:rPr>
              <ns1:sty ns1:val="p"/>
            </ns1:rPr>
            <ns1:t>/</ns1:t>
          </ns1:r>
          <ns1:r>
            <ns1:t>1.14</ns1:t>
          </ns1:r>
          <ns1:r>
            <ns1:rPr>
              <ns1:sty ns1:val="p"/>
            </ns1:rPr>
            <ns1:t>,</ns1:t>
          </ns1:r>
        </ns1:oMath>
      </ns1:oMathPara>
    </ns0:p>
    <ns0:p>
      <ns0:pPr>
        <ns0:pStyle ns0:val="FirstParagraph"/>
      </ns0:pPr>
      <ns0:r>
        <ns0:t xml:space="preserve">where numerical density values are in g cm</ns0:t>
      </ns0:r>
      <ns1:oMath>
        <ns1:sSup>
          <ns1:e>
            <ns1:r>
              <ns1:t>​</ns1:t>
            </ns1:r>
          </ns1:e>
          <ns1:sup>
            <ns1:r>
              <ns1:rPr>
                <ns1:sty ns1:val="p"/>
              </ns1:rPr>
              <ns1:t>−</ns1:t>
            </ns1:r>
            <ns1:r>
              <ns1:t>3</ns1:t>
            </ns1:r>
          </ns1:sup>
        </ns1:sSup>
      </ns1:oMath>
      <ns0:r>
        <ns0:t xml:space="preserve"> </ns0:t>
      </ns0:r>
      <ns0:r>
        <ns0:t xml:space="preserve">and</ns0:t>
      </ns0:r>
      <ns0:r>
        <ns0:t xml:space="preserve"> </ns0:t>
      </ns0:r>
      <ns1:oMath>
        <ns1:r>
          <ns1:t>ρ</ns1:t>
        </ns1:r>
      </ns1:oMath>
      <ns0:r>
        <ns0:t xml:space="preserve"> </ns0:t>
      </ns0:r>
      <ns0:r>
        <ns0:t xml:space="preserve">denotes the mapped hydroxyapatite-density input. The implemented approximation comprises this equation, density conversion and low-density floor. The constant low-density branch suppresses modulus variation below its threshold. Bone Poisson ratio was 0.30. Both SIJ cartilage and pubic symphysis used</ns0:t>
      </ns0:r>
      <ns0:r>
        <ns0:t xml:space="preserve"> </ns0:t>
      </ns0:r>
      <ns1:oMath>
        <ns1:r>
          <ns1:t>E</ns1:t>
        </ns1:r>
        <ns1:r>
          <ns1:rPr>
            <ns1:sty ns1:val="p"/>
          </ns1:rPr>
          <ns1:t>=</ns1:t>
        </ns1:r>
        <ns1:r>
          <ns1:t>1.0</ns1:t>
        </ns1:r>
      </ns1:oMath>
      <ns0:r>
        <ns0:t xml:space="preserve"> MPa and</ns0:t>
      </ns0:r>
      <ns0:r>
        <ns0:t xml:space="preserve"> </ns0:t>
      </ns0:r>
      <ns1:oMath>
        <ns1:r>
          <ns1:t>ν</ns1:t>
        </ns1:r>
        <ns1:r>
          <ns1:rPr>
            <ns1:sty ns1:val="p"/>
          </ns1:rPr>
          <ns1:t>=</ns1:t>
        </ns1:r>
        <ns1:r>
          <ns1:t>0.45</ns1:t>
        </ns1:r>
      </ns1:oMath>
      <ns0:r>
        <ns0:t xml:space="preserve"> </ns0:t>
      </ns0:r>
      <ns0:r>
        <ns0:t xml:space="preserve">in all three model variants. These nominal choices were not calibrated to individual subjects.</ns0:t>
      </ns0:r>
    </ns0:p>
    <ns0:p>
      <ns0:pPr>
        <ns0:pStyle ns0:val="BodyText"/>
      </ns0:pPr>
      <ns0:r>
        <ns0:t xml:space="preserve">Ligaments were assembled as linear spring stiffness matrices with a geometric stiffness contribution from prescribed pretension and a pretension force vector. The implementation does not update a tension-only active set during the static solve. Bilateral anterior SIJ, posterior SIJ, interosseous, sacrospinous and sacrotuberous bundles and the pubic bundle were included. Per-bundle stiffnesses were respectively 1400, 5600, 200, 3000, 3000 and 1000 N/mm; total pretension was 20 N per bundle. Each bundle’s parameters were divided among its segments. Bone–cartilage interfaces were conforming; frictional contact and muscle activation were not modeled.</ns0:t>
      </ns0:r>
    </ns0:p>
    <ns0:bookmarkEnd ns0:id="27"/>
    <ns0:bookmarkStart ns0:id="29" ns0:name="loads-and-constraints"/>
    <ns0:p>
      <ns0:pPr>
        <ns0:pStyle ns0:val="Heading2"/>
      </ns0:pPr>
      <ns0:r>
        <ns0:t xml:space="preserve">2.4. Loads and constraints</ns0:t>
      </ns0:r>
    </ns0:p>
    <ns0:p>
      <ns0:pPr>
        <ns0:pStyle ns0:val="FirstParagraph"/>
      </ns0:pPr>
      <ns0:r>
        <ns0:t xml:space="preserve">The superior S1 endplate was constrained using a surface penalty</ns0:t>
      </ns0:r>
      <ns0:r>
        <ns0:t xml:space="preserve"> </ns0:t>
      </ns0:r>
      <ns1:oMath>
        <ns1:r>
          <ns1:t>γ</ns1:t>
        </ns1:r>
        <ns1:r>
          <ns1:rPr>
            <ns1:sty ns1:val="p"/>
          </ns1:rPr>
          <ns1:t>=</ns1:t>
        </ns1:r>
        <ns1:sSup>
          <ns1:e>
            <ns1:r>
              <ns1:t>10</ns1:t>
            </ns1:r>
          </ns1:e>
          <ns1:sup>
            <ns1:r>
              <ns1:t>6</ns1:t>
            </ns1:r>
          </ns1:sup>
        </ns1:sSup>
      </ns1:oMath>
      <ns0:r>
        <ns0:t xml:space="preserve"> N/mm</ns0:t>
      </ns0:r>
      <ns1:oMath>
        <ns1:sSup>
          <ns1:e>
            <ns1:r>
              <ns1:t>​</ns1:t>
            </ns1:r>
          </ns1:e>
          <ns1:sup>
            <ns1:r>
              <ns1:t>3</ns1:t>
            </ns1:r>
          </ns1:sup>
        </ns1:sSup>
      </ns1:oMath>
      <ns0:r>
        <ns0:t xml:space="preserve"> </ns0:t>
      </ns0:r>
      <ns0:r>
        <ns0:t xml:space="preserve">(Appendix A). Figure 2 shows the load application sites; Table 2 gives force vectors in the simulation’s global coordinates; these must be distinguished from the subsequently constructed pelvis-aligned reporting frame. SP2leg applies</ns0:t>
      </ns0:r>
      <ns0:r>
        <ns0:t xml:space="preserve"> </ns0:t>
      </ns0:r>
      <ns1:oMath>
        <ns1:r>
          <ns1:rPr>
            <ns1:sty ns1:val="p"/>
          </ns1:rPr>
          <ns1:t>+</ns1:t>
        </ns1:r>
        <ns1:r>
          <ns1:t>400</ns1:t>
        </ns1:r>
      </ns1:oMath>
      <ns0:r>
        <ns0:t xml:space="preserve"> N vertically to each acetabulum, and SP1leg applies</ns0:t>
      </ns0:r>
      <ns0:r>
        <ns0:t xml:space="preserve"> </ns0:t>
      </ns0:r>
      <ns1:oMath>
        <ns1:r>
          <ns1:rPr>
            <ns1:sty ns1:val="p"/>
          </ns1:rPr>
          <ns1:t>+</ns1:t>
        </ns1:r>
        <ns1:r>
          <ns1:t>800</ns1:t>
        </ns1:r>
      </ns1:oMath>
      <ns0:r>
        <ns0:t xml:space="preserve"> N to the right acetabulum. LAB1 applies opposing ML forces of</ns0:t>
      </ns0:r>
      <ns0:r>
        <ns0:t xml:space="preserve"> </ns0:t>
      </ns0:r>
      <ns1:oMath>
        <ns1:r>
          <ns1:rPr>
            <ns1:sty ns1:val="p"/>
          </ns1:rPr>
          <ns1:t>±</ns1:t>
        </ns1:r>
        <ns1:r>
          <ns1:t>400</ns1:t>
        </ns1:r>
      </ns1:oMath>
      <ns0:r>
        <ns0:t xml:space="preserve"> N to the internal ring surfaces; LAB2 applies the same signed pair to the ischial tuberosities; LAB3 applies opposing AP forces of</ns0:t>
      </ns0:r>
      <ns0:r>
        <ns0:t xml:space="preserve"> </ns0:t>
      </ns0:r>
      <ns1:oMath>
        <ns1:r>
          <ns1:rPr>
            <ns1:sty ns1:val="p"/>
          </ns1:rPr>
          <ns1:t>±</ns1:t>
        </ns1:r>
        <ns1:r>
          <ns1:t>400</ns1:t>
        </ns1:r>
      </ns1:oMath>
      <ns0:r>
        <ns0:t xml:space="preserve"> N at the pubis and sacrococcygeal junction. The reference template places both left application patches at greater global</ns0:t>
      </ns0:r>
      <ns0:r>
        <ns0:t xml:space="preserve"> </ns0:t>
      </ns0:r>
      <ns1:oMath>
        <ns1:r>
          <ns1:t>x</ns1:t>
        </ns1:r>
      </ns1:oMath>
      <ns0:r>
        <ns0:t xml:space="preserve"> </ns0:t>
      </ns0:r>
      <ns0:r>
        <ns0:t xml:space="preserve">than their right counterparts; thus both ML pairs point outward in that template, consistent with outward loading at both sites. We name the cases by application site because a force direction does not establish the direction of joint motion.</ns0:t>
      </ns0:r>
    </ns0:p>
    <ns0:p>
      <ns0:pPr>
        <ns0:pStyle ns0:val="BodyText"/>
      </ns0:pPr>
      <ns0:r>
        <ns0:t xml:space="preserve">Surface tractions were normalized by mapped surface area, giving identical prescribed force resultants across subjects. LAB force pairs have zero net force, whereas standing cases have an 800 N net vertical force balanced by the sacral constraint. Equal sums of force magnitudes do not imply equal moments, work, or physiological demand. The analyses compare responses to these standardized mechanical probes. All load cases include the prescribed ligament pretension.</ns0:t>
      </ns0:r>
    </ns0:p>
    <ns0:bookmarkStart ns0:id="28" ns0:name="tab:loads"/>
    <ns0:p>
      <ns0:pPr>
        <ns0:pStyle ns0:val="TableCaption"/>
      </ns0:pPr>
      <ns0:r>
        <ns0:t xml:space="preserve">Table 2. Standardized loads in global simulation coordinates. LAB1–LAB3 are independent mechanical proxies.</ns0:t>
      </ns0:r>
    </ns0:p>
    <ns0:tbl>
      <ns0:tblPr>
        <ns0:tblStyle ns0:val="Table"/>
        <ns0:tblW ns0:type="pct" ns0:w="5000"/>
        <ns0:tblLook ns0:firstRow="1" ns0:lastRow="0" ns0:firstColumn="0" ns0:lastColumn="0" ns0:noHBand="0" ns0:noVBand="0" ns0:val="0020"/>
        <ns0:tblCaption ns0:val="Table 2. Standardized loads in global simulation coordinates. LAB1–LAB3 are independent mechanical proxies."/>
      </ns0:tblPr>
      <ns0:tblGrid/>
      <ns0:tr>
        <ns0:tc>
          <ns0:p>
            <ns0:pPr>
              <ns0:pStyle ns0:val="Compact"/>
              <ns0:jc ns0:val="left"/>
            </ns0:pPr>
            <ns0:r>
              <ns0:t xml:space="preserve">Load case</ns0:t>
              <ns0:rPr>
                <ns0:sz ns0:val="18"/>
              </ns0:rPr>
            </ns0:r>
          </ns0:p>
        </ns0:tc>
        <ns0:tc>
          <ns0:p>
            <ns0:pPr>
              <ns0:pStyle ns0:val="Compact"/>
              <ns0:jc ns0:val="left"/>
            </ns0:pPr>
            <ns0:r>
              <ns0:t xml:space="preserve">Mechanical proxy</ns0:t>
              <ns0:rPr>
                <ns0:sz ns0:val="18"/>
              </ns0:rPr>
            </ns0:r>
          </ns0:p>
        </ns0:tc>
        <ns0:tc>
          <ns0:p>
            <ns0:pPr>
              <ns0:pStyle ns0:val="Compact"/>
              <ns0:jc ns0:val="left"/>
            </ns0:pPr>
            <ns0:r>
              <ns0:t xml:space="preserve">Applied total forces</ns0:t>
              <ns0:rPr>
                <ns0:sz ns0:val="18"/>
              </ns0:rPr>
            </ns0:r>
          </ns0:p>
        </ns0:tc>
        <ns0:tc>
          <ns0:p>
            <ns0:pPr>
              <ns0:pStyle ns0:val="Compact"/>
              <ns0:jc ns0:val="left"/>
            </ns0:pPr>
            <ns0:r>
              <ns0:t xml:space="preserve">Resultant</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Bilateral standing</ns0:t>
              <ns0:rPr>
                <ns0:sz ns0:val="18"/>
              </ns0:rPr>
            </ns0:r>
          </ns0:p>
        </ns0:tc>
        <ns0:tc>
          <ns0:p>
            <ns0:pPr>
              <ns0:pStyle ns0:val="Compact"/>
              <ns0:jc ns0:val="left"/>
            </ns0:pPr>
            <ns0:r>
              <ns0:t xml:space="preserve">[0,0,+400] N on right AC notch and [0,0,+400] N on left AC notch</ns0:t>
              <ns0:rPr>
                <ns0:sz ns0:val="18"/>
              </ns0:rPr>
            </ns0:r>
          </ns0:p>
        </ns0:tc>
        <ns0:tc>
          <ns0:p>
            <ns0:pPr>
              <ns0:pStyle ns0:val="Compact"/>
              <ns0:jc ns0:val="left"/>
            </ns0:pPr>
            <ns0:r>
              <ns0:t xml:space="preserve">800 N cranio-caudal</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Unilateral standing</ns0:t>
              <ns0:rPr>
                <ns0:sz ns0:val="18"/>
              </ns0:rPr>
            </ns0:r>
          </ns0:p>
        </ns0:tc>
        <ns0:tc>
          <ns0:p>
            <ns0:pPr>
              <ns0:pStyle ns0:val="Compact"/>
              <ns0:jc ns0:val="left"/>
            </ns0:pPr>
            <ns0:r>
              <ns0:t xml:space="preserve">[0,0,+800] N on right AC notch</ns0:t>
              <ns0:rPr>
                <ns0:sz ns0:val="18"/>
              </ns0:rPr>
            </ns0:r>
          </ns0:p>
        </ns0:tc>
        <ns0:tc>
          <ns0:p>
            <ns0:pPr>
              <ns0:pStyle ns0:val="Compact"/>
              <ns0:jc ns0:val="left"/>
            </ns0:pPr>
            <ns0:r>
              <ns0:t xml:space="preserve">800 N cranio-caudal</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Internal ring force pair</ns0:t>
              <ns0:rPr>
                <ns0:sz ns0:val="18"/>
              </ns0:rPr>
            </ns0:r>
          </ns0:p>
        </ns0:tc>
        <ns0:tc>
          <ns0:p>
            <ns0:pPr>
              <ns0:pStyle ns0:val="Compact"/>
              <ns0:jc ns0:val="left"/>
            </ns0:pPr>
            <ns0:r>
              <ns0:t xml:space="preserve">[+400,0,0] N on ring_contact_left and [-400,0,0] N on ring_contact_right</ns0:t>
              <ns0:rPr>
                <ns0:sz ns0:val="18"/>
              </ns0:rPr>
            </ns0:r>
          </ns0:p>
        </ns0:tc>
        <ns0:tc>
          <ns0:p>
            <ns0:pPr>
              <ns0:pStyle ns0:val="Compact"/>
              <ns0:jc ns0:val="left"/>
            </ns0:pPr>
            <ns0:r>
              <ns0:t xml:space="preserve">0 N net; bilateral ML pair</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Ischial force pair</ns0:t>
              <ns0:rPr>
                <ns0:sz ns0:val="18"/>
              </ns0:rPr>
            </ns0:r>
          </ns0:p>
        </ns0:tc>
        <ns0:tc>
          <ns0:p>
            <ns0:pPr>
              <ns0:pStyle ns0:val="Compact"/>
              <ns0:jc ns0:val="left"/>
            </ns0:pPr>
            <ns0:r>
              <ns0:t xml:space="preserve">[+400,0,0] N on left_ischium_tuber and [-400,0,0] N on right_ischium_tuber</ns0:t>
              <ns0:rPr>
                <ns0:sz ns0:val="18"/>
              </ns0:rPr>
            </ns0:r>
          </ns0:p>
        </ns0:tc>
        <ns0:tc>
          <ns0:p>
            <ns0:pPr>
              <ns0:pStyle ns0:val="Compact"/>
              <ns0:jc ns0:val="left"/>
            </ns0:pPr>
            <ns0:r>
              <ns0:t xml:space="preserve">0 N net; bilateral ML pair</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Outlet AP force pair</ns0:t>
              <ns0:rPr>
                <ns0:sz ns0:val="18"/>
              </ns0:rPr>
            </ns0:r>
          </ns0:p>
        </ns0:tc>
        <ns0:tc>
          <ns0:p>
            <ns0:pPr>
              <ns0:pStyle ns0:val="Compact"/>
              <ns0:jc ns0:val="left"/>
            </ns0:pPr>
            <ns0:r>
              <ns0:t xml:space="preserve">[0,-400,0] N on pubis_ins and [0,+400,0] N on SCJ</ns0:t>
              <ns0:rPr>
                <ns0:sz ns0:val="18"/>
              </ns0:rPr>
            </ns0:r>
          </ns0:p>
        </ns0:tc>
        <ns0:tc>
          <ns0:p>
            <ns0:pPr>
              <ns0:pStyle ns0:val="Compact"/>
              <ns0:jc ns0:val="left"/>
            </ns0:pPr>
            <ns0:r>
              <ns0:t xml:space="preserve">0 N net; AP pair</ns0:t>
              <ns0:rPr>
                <ns0:sz ns0:val="18"/>
              </ns0:rPr>
            </ns0:r>
          </ns0:p>
        </ns0:tc>
      </ns0:tr>
    </ns0:tbl>
    <ns0:bookmarkEnd ns0:id="28"/>
    <ns0:bookmarkEnd ns0:id="29"/>
    <ns0:bookmarkStart ns0:id="30" ns0:name="X52a7f881c939d2fd17b13f1188fcc6a678c5538"/>
    <ns0:p>
      <ns0:pPr>
        <ns0:pStyle ns0:val="Heading2"/>
      </ns0:pPr>
      <ns0:r>
        <ns0:t xml:space="preserve">2.5. Reference configuration and SIJ kinematics</ns0:t>
      </ns0:r>
    </ns0:p>
    <ns0:p>
      <ns0:pPr>
        <ns0:pStyle ns0:val="FirstParagraph"/>
      </ns0:pPr>
      <ns0:r>
        <ns0:t xml:space="preserve">The kinematic analysis compares each unloaded mapped surface</ns0:t>
      </ns0:r>
      <ns0:r>
        <ns0:t xml:space="preserve"> </ns0:t>
      </ns0:r>
      <ns1:oMath>
        <ns1:sSubSup>
          <ns1:e>
            <ns1:r>
              <ns1:rPr>
                <ns1:sty ns1:val="b"/>
              </ns1:rPr>
              <ns1:t>x</ns1:t>
            </ns1:r>
          </ns1:e>
          <ns1:sub>
            <ns1:r>
              <ns1:t>i</ns1:t>
            </ns1:r>
          </ns1:sub>
          <ns1:sup>
            <ns1:r>
              <ns1:t>0</ns1:t>
            </ns1:r>
          </ns1:sup>
        </ns1:sSubSup>
        <ns1:r>
          <ns1:rPr>
            <ns1:sty ns1:val="p"/>
          </ns1:rPr>
          <ns1:t>=</ns1:t>
        </ns1:r>
        <ns1:r>
          <ns1:rPr>
            <ns1:sty ns1:val="b"/>
          </ns1:rPr>
          <ns1:t>X</ns1:t>
        </ns1:r>
        <ns1:r>
          <ns1:rPr>
            <ns1:sty ns1:val="p"/>
          </ns1:rPr>
          <ns1:t>+</ns1:t>
        </ns1:r>
        <ns1:sSub>
          <ns1:e>
            <ns1:r>
              <ns1:rPr>
                <ns1:sty ns1:val="b"/>
              </ns1:rPr>
              <ns1:t>ϕ</ns1:t>
            </ns1:r>
          </ns1:e>
          <ns1:sub>
            <ns1:r>
              <ns1:t>i</ns1:t>
            </ns1:r>
          </ns1:sub>
        </ns1:sSub>
      </ns1:oMath>
      <ns0:r>
        <ns0:t xml:space="preserve"> </ns0:t>
      </ns0:r>
      <ns0:r>
        <ns0:t xml:space="preserve">with its loaded surface</ns0:t>
      </ns0:r>
      <ns0:r>
        <ns0:t xml:space="preserve"> </ns0:t>
      </ns0:r>
      <ns1:oMath>
        <ns1:sSubSup>
          <ns1:e>
            <ns1:r>
              <ns1:rPr>
                <ns1:sty ns1:val="b"/>
              </ns1:rPr>
              <ns1:t>x</ns1:t>
            </ns1:r>
          </ns1:e>
          <ns1:sub>
            <ns1:r>
              <ns1:t>i</ns1:t>
            </ns1:r>
            <ns1:r>
              <ns1:rPr>
                <ns1:sty ns1:val="p"/>
              </ns1:rPr>
              <ns1:t>ℓ</ns1:t>
            </ns1:r>
          </ns1:sub>
          <ns1:sup>
            <ns1:r>
              <ns1:t>1</ns1:t>
            </ns1:r>
          </ns1:sup>
        </ns1:sSubSup>
        <ns1:r>
          <ns1:rPr>
            <ns1:sty ns1:val="p"/>
          </ns1:rPr>
          <ns1:t>=</ns1:t>
        </ns1:r>
        <ns1:sSubSup>
          <ns1:e>
            <ns1:r>
              <ns1:rPr>
                <ns1:sty ns1:val="b"/>
              </ns1:rPr>
              <ns1:t>x</ns1:t>
            </ns1:r>
          </ns1:e>
          <ns1:sub>
            <ns1:r>
              <ns1:t>i</ns1:t>
            </ns1:r>
          </ns1:sub>
          <ns1:sup>
            <ns1:r>
              <ns1:t>0</ns1:t>
            </ns1:r>
          </ns1:sup>
        </ns1:sSubSup>
        <ns1:r>
          <ns1:rPr>
            <ns1:sty ns1:val="p"/>
          </ns1:rPr>
          <ns1:t>+</ns1:t>
        </ns1:r>
        <ns1:sSub>
          <ns1:e>
            <ns1:r>
              <ns1:rPr>
                <ns1:sty ns1:val="b"/>
              </ns1:rPr>
              <ns1:t>u</ns1:t>
            </ns1:r>
          </ns1:e>
          <ns1:sub>
            <ns1:r>
              <ns1:t>i</ns1:t>
            </ns1:r>
            <ns1:r>
              <ns1:rPr>
                <ns1:sty ns1:val="p"/>
              </ns1:rPr>
              <ns1:t>ℓ</ns1:t>
            </ns1:r>
          </ns1:sub>
        </ns1:sSub>
      </ns1:oMath>
      <ns0:r>
        <ns0:t xml:space="preserve">. The reference is the anatomical configuration with zero elastic displacement; a separately equilibrated pretension-only configuration is not used. Absolute motion therefore describes the combined external-load and prescribed-ligament-pretension solution relative to this anatomical reference. Pretension is a model assumption, not an experimentally measured subject-specific value. Correspondence and pairing checks are documented in Appendix A.1.</ns0:t>
      </ns0:r>
    </ns0:p>
    <ns0:p>
      <ns0:pPr>
        <ns0:pStyle ns0:val="BodyText"/>
      </ns0:pPr>
      <ns0:r>
        <ns0:t xml:space="preserve">Relative ilium-to-sacrum motion was estimated using trimmed Kabsch registration of opposing surface regions within 5 mm, with a minimum of 80 nodes per region. The underlying least-squares rigid fit follows</ns0:t>
      </ns0:r>
      <ns0:r>
        <ns0:t xml:space="preserve"> </ns0:t>
      </ns0:r>
      <ns0:r>
        <ns0:t xml:space="preserve">Kabsch (1976)</ns0:t>
      </ns0:r>
      <ns0:r>
        <ns0:t xml:space="preserve">; trimming and ROI selection are implementation choices. Before registration, the inverse least-squares affine sacral map was applied to all loaded points. This removes sacral affine strain as well as rigid drift; the resulting quantities are affine-corrected relative motion, rather than unmodified physical joint displacement. The available rigid-only sensitivity check is reported below.</ns0:t>
      </ns0:r>
    </ns0:p>
    <ns0:p>
      <ns0:pPr>
        <ns0:pStyle ns0:val="BodyText"/>
      </ns0:pPr>
      <ns0:r>
        <ns0:t xml:space="preserve">Motion was expressed in a pelvis-aligned ML/AP/CC frame, not a local articular normal/tangent frame. Fixed-axis Cardan</ns0:t>
      </ns0:r>
      <ns0:r>
        <ns0:t xml:space="preserve"> </ns0:t>
      </ns0:r>
      <ns1:oMath>
        <ns1:r>
          <ns1:t>x</ns1:t>
        </ns1:r>
        <ns1:r>
          <ns1:t>y</ns1:t>
        </ns1:r>
        <ns1:r>
          <ns1:t>z</ns1:t>
        </ns1:r>
      </ns1:oMath>
      <ns0:r>
        <ns0:t xml:space="preserve"> </ns0:t>
      </ns0:r>
      <ns0:r>
        <ns0:t xml:space="preserve">angles satisfy</ns0:t>
      </ns0:r>
      <ns0:r>
        <ns0:t xml:space="preserve"> </ns0:t>
      </ns0:r>
      <ns1:oMath>
        <ns1:r>
          <ns1:t>R</ns1:t>
        </ns1:r>
        <ns1:r>
          <ns1:rPr>
            <ns1:sty ns1:val="p"/>
          </ns1:rPr>
          <ns1:t>=</ns1:t>
        </ns1:r>
        <ns1:sSub>
          <ns1:e>
            <ns1:r>
              <ns1:t>R</ns1:t>
            </ns1:r>
          </ns1:e>
          <ns1:sub>
            <ns1:r>
              <ns1:t>z</ns1:t>
            </ns1:r>
          </ns1:sub>
        </ns1:sSub>
        <ns1:sSub>
          <ns1:e>
            <ns1:r>
              <ns1:t>R</ns1:t>
            </ns1:r>
          </ns1:e>
          <ns1:sub>
            <ns1:r>
              <ns1:t>y</ns1:t>
            </ns1:r>
          </ns1:sub>
        </ns1:sSub>
        <ns1:sSub>
          <ns1:e>
            <ns1:r>
              <ns1:t>R</ns1:t>
            </ns1:r>
          </ns1:e>
          <ns1:sub>
            <ns1:r>
              <ns1:t>x</ns1:t>
            </ns1:r>
          </ns1:sub>
        </ns1:sSub>
      </ns1:oMath>
      <ns0:r>
        <ns0:t xml:space="preserve">. The bilateral mean of the Euclidean norms of these angle triplets is denoted</ns0:t>
      </ns0:r>
      <ns0:r>
        <ns0:t xml:space="preserve"> </ns0:t>
      </ns0:r>
      <ns1:oMath>
        <ns1:r>
          <ns1:rPr>
            <ns1:sty ns1:val="p"/>
          </ns1:rPr>
          <ns1:t>|</ns1:t>
        </ns1:r>
        <ns1:r>
          <ns1:rPr>
            <ns1:sty ns1:val="b"/>
          </ns1:rPr>
          <ns1:t>θ</ns1:t>
        </ns1:r>
        <ns1:r>
          <ns1:rPr>
            <ns1:sty ns1:val="p"/>
          </ns1:rPr>
          <ns1:t>|</ns1:t>
        </ns1:r>
      </ns1:oMath>
      <ns0:r>
        <ns0:t xml:space="preserve">; this is a small-angle summary, not the exact invariant rotation angle. Translation</ns0:t>
      </ns0:r>
      <ns0:r>
        <ns0:t xml:space="preserve"> </ns0:t>
      </ns0:r>
      <ns1:oMath>
        <ns1:r>
          <ns1:rPr>
            <ns1:sty ns1:val="p"/>
          </ns1:rPr>
          <ns1:t>|</ns1:t>
        </ns1:r>
        <ns1:r>
          <ns1:rPr>
            <ns1:sty ns1:val="b"/>
          </ns1:rPr>
          <ns1:t>d</ns1:t>
        </ns1:r>
        <ns1:r>
          <ns1:rPr>
            <ns1:sty ns1:val="p"/>
          </ns1:rPr>
          <ns1:t>|</ns1:t>
        </ns1:r>
      </ns1:oMath>
      <ns0:r>
        <ns0:t xml:space="preserve"> </ns0:t>
      </ns0:r>
      <ns0:r>
        <ns0:t xml:space="preserve">is the bilateral mean of the norms of relative displacements evaluated at the sacral ROI centroid. Component summaries are bilateral means of absolute values. In particular,</ns0:t>
      </ns0:r>
      <ns0:r>
        <ns0:t xml:space="preserve"> </ns0:t>
      </ns0:r>
      <ns1:oMath>
        <ns1:r>
          <ns1:rPr>
            <ns1:sty ns1:val="p"/>
          </ns1:rPr>
          <ns1:t>|</ns1:t>
        </ns1:r>
        <ns1:sSub>
          <ns1:e>
            <ns1:r>
              <ns1:t>θ</ns1:t>
            </ns1:r>
          </ns1:e>
          <ns1:sub>
            <ns1:r>
              <ns1:t>x</ns1:t>
            </ns1:r>
          </ns1:sub>
        </ns1:sSub>
        <ns1:r>
          <ns1:rPr>
            <ns1:sty ns1:val="p"/>
          </ns1:rPr>
          <ns1:t>|</ns1:t>
        </ns1:r>
      </ns1:oMath>
      <ns0:r>
        <ns0:t xml:space="preserve"> </ns0:t>
      </ns0:r>
      <ns0:r>
        <ns0:t xml:space="preserve">does not distinguish nutation from counternutation, and</ns0:t>
      </ns0:r>
      <ns0:r>
        <ns0:t xml:space="preserve"> </ns0:t>
      </ns0:r>
      <ns1:oMath>
        <ns1:r>
          <ns1:rPr>
            <ns1:sty ns1:val="p"/>
          </ns1:rPr>
          <ns1:t>|</ns1:t>
        </ns1:r>
        <ns1:sSub>
          <ns1:e>
            <ns1:r>
              <ns1:t>d</ns1:t>
            </ns1:r>
          </ns1:e>
          <ns1:sub>
            <ns1:r>
              <ns1:t>M</ns1:t>
            </ns1:r>
            <ns1:r>
              <ns1:t>L</ns1:t>
            </ns1:r>
          </ns1:sub>
        </ns1:sSub>
        <ns1:r>
          <ns1:rPr>
            <ns1:sty ns1:val="p"/>
          </ns1:rPr>
          <ns1:t>|</ns1:t>
        </ns1:r>
      </ns1:oMath>
      <ns0:r>
        <ns0:t xml:space="preserve"> </ns0:t>
      </ns0:r>
      <ns0:r>
        <ns0:t xml:space="preserve">is not a measurement of joint gapping. Translation-magnitude asymmetry is</ns0:t>
      </ns0:r>
      <ns0:r>
        <ns0:t xml:space="preserve"> </ns0:t>
      </ns0:r>
      <ns1:oMath>
        <ns1:r>
          <ns1:rPr>
            <ns1:sty ns1:val="p"/>
          </ns1:rPr>
          <ns1:t>|</ns1:t>
        </ns1:r>
        <ns1:r>
          <ns1:rPr>
            <ns1:sty ns1:val="p"/>
          </ns1:rPr>
          <ns1:t>∥</ns1:t>
        </ns1:r>
        <ns1:sSub>
          <ns1:e>
            <ns1:r>
              <ns1:rPr>
                <ns1:sty ns1:val="b"/>
              </ns1:rPr>
              <ns1:t>d</ns1:t>
            </ns1:r>
          </ns1:e>
          <ns1:sub>
            <ns1:r>
              <ns1:t>L</ns1:t>
            </ns1:r>
          </ns1:sub>
        </ns1:sSub>
        <ns1:r>
          <ns1:rPr>
            <ns1:sty ns1:val="p"/>
          </ns1:rPr>
          <ns1:t>∥</ns1:t>
        </ns1:r>
        <ns1:r>
          <ns1:rPr>
            <ns1:sty ns1:val="p"/>
          </ns1:rPr>
          <ns1:t>−</ns1:t>
        </ns1:r>
        <ns1:r>
          <ns1:rPr>
            <ns1:sty ns1:val="p"/>
          </ns1:rPr>
          <ns1:t>∥</ns1:t>
        </ns1:r>
        <ns1:sSub>
          <ns1:e>
            <ns1:r>
              <ns1:rPr>
                <ns1:sty ns1:val="b"/>
              </ns1:rPr>
              <ns1:t>d</ns1:t>
            </ns1:r>
          </ns1:e>
          <ns1:sub>
            <ns1:r>
              <ns1:t>R</ns1:t>
            </ns1:r>
          </ns1:sub>
        </ns1:sSub>
        <ns1:r>
          <ns1:rPr>
            <ns1:sty ns1:val="p"/>
          </ns1:rPr>
          <ns1:t>∥</ns1:t>
        </ns1:r>
        <ns1:r>
          <ns1:rPr>
            <ns1:sty ns1:val="p"/>
          </ns1:rPr>
          <ns1:t>|</ns1:t>
        </ns1:r>
      </ns1:oMath>
      <ns0:r>
        <ns0:t xml:space="preserve">.</ns0:t>
      </ns0:r>
    </ns0:p>
    <ns0:bookmarkEnd ns0:id="30"/>
    <ns0:bookmarkStart ns0:id="31" ns0:name="matched-variants-and-variance-ratios"/>
    <ns0:p>
      <ns0:pPr>
        <ns0:pStyle ns0:val="Heading2"/>
      </ns0:pPr>
      <ns0:r>
        <ns0:t xml:space="preserve">2.6. Matched variants and variance ratios</ns0:t>
      </ns0:r>
    </ns0:p>
    <ns0:p>
      <ns0:pPr>
        <ns0:pStyle ns0:val="FirstParagraph"/>
      </ns0:pPr>
      <ns0:r>
        <ns0:t xml:space="preserve">The full variant uses subject-specific geometry and bone density. The geometry-preserved / standardized-density variant (G) retains subject geometry, including scale, and uses the spatially varying pointwise population-median density field; it is not homogeneous bone. The density-preserved / template-geometry variant (D) uses subject density on the template geometry. Cartilage and ligament parameters remain nominal in all variants.</ns0:t>
      </ns0:r>
    </ns0:p>
    <ns0:p>
      <ns0:pPr>
        <ns0:pStyle ns0:val="BodyText"/>
      </ns0:pPr>
      <ns0:r>
        <ns0:t xml:space="preserve">For each load and endpoint we calculated</ns0:t>
      </ns0:r>
      <ns0:r>
        <ns0:t xml:space="preserve"> </ns0:t>
      </ns0:r>
      <ns1:oMath>
        <ns1:r>
          <ns1:t>100</ns1:t>
        </ns1:r>
        <ns1:sSub>
          <ns1:e>
            <ns1:r>
              <ns1:t>V</ns1:t>
            </ns1:r>
          </ns1:e>
          <ns1:sub>
            <ns1:r>
              <ns1:t>G</ns1:t>
            </ns1:r>
          </ns1:sub>
        </ns1:sSub>
        <ns1:r>
          <ns1:rPr>
            <ns1:sty ns1:val="p"/>
          </ns1:rPr>
          <ns1:t>/</ns1:t>
        </ns1:r>
        <ns1:sSub>
          <ns1:e>
            <ns1:r>
              <ns1:t>V</ns1:t>
            </ns1:r>
          </ns1:e>
          <ns1:sub>
            <ns1:r>
              <ns1:t>f</ns1:t>
            </ns1:r>
            <ns1:r>
              <ns1:t>u</ns1:t>
            </ns1:r>
            <ns1:r>
              <ns1:t>l</ns1:t>
            </ns1:r>
            <ns1:r>
              <ns1:t>l</ns1:t>
            </ns1:r>
          </ns1:sub>
        </ns1:sSub>
      </ns1:oMath>
      <ns0:r>
        <ns0:t xml:space="preserve"> </ns0:t>
      </ns0:r>
      <ns0:r>
        <ns0:t xml:space="preserve">and</ns0:t>
      </ns0:r>
      <ns0:r>
        <ns0:t xml:space="preserve"> </ns0:t>
      </ns0:r>
      <ns1:oMath>
        <ns1:r>
          <ns1:t>100</ns1:t>
        </ns1:r>
        <ns1:sSub>
          <ns1:e>
            <ns1:r>
              <ns1:t>V</ns1:t>
            </ns1:r>
          </ns1:e>
          <ns1:sub>
            <ns1:r>
              <ns1:t>D</ns1:t>
            </ns1:r>
          </ns1:sub>
        </ns1:sSub>
        <ns1:r>
          <ns1:rPr>
            <ns1:sty ns1:val="p"/>
          </ns1:rPr>
          <ns1:t>/</ns1:t>
        </ns1:r>
        <ns1:sSub>
          <ns1:e>
            <ns1:r>
              <ns1:t>V</ns1:t>
            </ns1:r>
          </ns1:e>
          <ns1:sub>
            <ns1:r>
              <ns1:t>f</ns1:t>
            </ns1:r>
            <ns1:r>
              <ns1:t>u</ns1:t>
            </ns1:r>
            <ns1:r>
              <ns1:t>l</ns1:t>
            </ns1:r>
            <ns1:r>
              <ns1:t>l</ns1:t>
            </ns1:r>
          </ns1:sub>
        </ns1:sSub>
      </ns1:oMath>
      <ns0:r>
        <ns0:t xml:space="preserve">, with 2000 paired subject bootstrap samples</ns0:t>
      </ns0:r>
      <ns0:r>
        <ns0:t xml:space="preserve"> </ns0:t>
      </ns0:r>
      <ns0:r>
        <ns0:t xml:space="preserve">(Efron and Tibshirani 1994)</ns0:t>
      </ns0:r>
      <ns0:r>
        <ns0:t xml:space="preserve">. These non-additive ratios can exceed 100% and neither estimate causal variance fractions nor separate geometry–material interactions. Geometry-preserved/full agreement was also assessed by RMSE, MAE and identity-line</ns0:t>
      </ns0:r>
      <ns0:r>
        <ns0:t xml:space="preserve"> </ns0:t>
      </ns0:r>
      <ns1:oMath>
        <ns1:sSup>
          <ns1:e>
            <ns1:r>
              <ns1:t>R</ns1:t>
            </ns1:r>
          </ns1:e>
          <ns1:sup>
            <ns1:r>
              <ns1:t>2</ns1:t>
            </ns1:r>
          </ns1:sup>
        </ns1:sSup>
        <ns1:r>
          <ns1:rPr>
            <ns1:sty ns1:val="p"/>
          </ns1:rPr>
          <ns1:t>=</ns1:t>
        </ns1:r>
        <ns1:r>
          <ns1:t>1</ns1:t>
        </ns1:r>
        <ns1:r>
          <ns1:rPr>
            <ns1:sty ns1:val="p"/>
          </ns1:rPr>
          <ns1:t>−</ns1:t>
        </ns1:r>
        <ns1:nary>
          <ns1:naryPr>
            <ns1:chr ns1:val="∑"/>
            <ns1:limLoc ns1:val="undOvr"/>
            <ns1:subHide ns1:val="0"/>
            <ns1:supHide ns1:val="1"/>
          </ns1:naryPr>
          <ns1:sub>
            <ns1:r>
              <ns1:t>i</ns1:t>
            </ns1:r>
          </ns1:sub>
          <ns1:sup>
            <ns1:r>
              <ns1:t>​</ns1:t>
            </ns1:r>
          </ns1:sup>
          <ns1:e>
            <ns1:r>
              <ns1:rPr>
                <ns1:sty ns1:val="p"/>
              </ns1:rPr>
              <ns1:t>(</ns1:t>
            </ns1:r>
          </ns1:e>
        </ns1:nary>
        <ns1:sSub>
          <ns1:e>
            <ns1:r>
              <ns1:t>Y</ns1:t>
            </ns1:r>
          </ns1:e>
          <ns1:sub>
            <ns1:r>
              <ns1:t>G</ns1:t>
            </ns1:r>
            <ns1:r>
              <ns1:rPr>
                <ns1:sty ns1:val="p"/>
              </ns1:rPr>
              <ns1:t>,</ns1:t>
            </ns1:r>
            <ns1:r>
              <ns1:t>i</ns1:t>
            </ns1:r>
          </ns1:sub>
        </ns1:sSub>
        <ns1:r>
          <ns1:rPr>
            <ns1:sty ns1:val="p"/>
          </ns1:rPr>
          <ns1:t>−</ns1:t>
        </ns1:r>
        <ns1:sSub>
          <ns1:e>
            <ns1:r>
              <ns1:t>Y</ns1:t>
            </ns1:r>
          </ns1:e>
          <ns1:sub>
            <ns1:r>
              <ns1:t>f</ns1:t>
            </ns1:r>
            <ns1:r>
              <ns1:t>u</ns1:t>
            </ns1:r>
            <ns1:r>
              <ns1:t>l</ns1:t>
            </ns1:r>
            <ns1:r>
              <ns1:t>l</ns1:t>
            </ns1:r>
            <ns1:r>
              <ns1:rPr>
                <ns1:sty ns1:val="p"/>
              </ns1:rPr>
              <ns1:t>,</ns1:t>
            </ns1:r>
            <ns1:r>
              <ns1:t>i</ns1:t>
            </ns1:r>
          </ns1:sub>
        </ns1:sSub>
        <ns1:sSup>
          <ns1:e>
            <ns1:r>
              <ns1:rPr>
                <ns1:sty ns1:val="p"/>
              </ns1:rPr>
              <ns1:t>)</ns1:t>
            </ns1:r>
          </ns1:e>
          <ns1:sup>
            <ns1:r>
              <ns1:t>2</ns1:t>
            </ns1:r>
          </ns1:sup>
        </ns1:sSup>
        <ns1:r>
          <ns1:rPr>
            <ns1:sty ns1:val="p"/>
          </ns1:rPr>
          <ns1:t>/</ns1:t>
        </ns1:r>
        <ns1:nary>
          <ns1:naryPr>
            <ns1:chr ns1:val="∑"/>
            <ns1:limLoc ns1:val="undOvr"/>
            <ns1:subHide ns1:val="0"/>
            <ns1:supHide ns1:val="1"/>
          </ns1:naryPr>
          <ns1:sub>
            <ns1:r>
              <ns1:t>i</ns1:t>
            </ns1:r>
          </ns1:sub>
          <ns1:sup>
            <ns1:r>
              <ns1:t>​</ns1:t>
            </ns1:r>
          </ns1:sup>
          <ns1:e>
            <ns1:r>
              <ns1:rPr>
                <ns1:sty ns1:val="p"/>
              </ns1:rPr>
              <ns1:t>(</ns1:t>
            </ns1:r>
          </ns1:e>
        </ns1:nary>
        <ns1:sSub>
          <ns1:e>
            <ns1:r>
              <ns1:t>Y</ns1:t>
            </ns1:r>
          </ns1:e>
          <ns1:sub>
            <ns1:r>
              <ns1:t>f</ns1:t>
            </ns1:r>
            <ns1:r>
              <ns1:t>u</ns1:t>
            </ns1:r>
            <ns1:r>
              <ns1:t>l</ns1:t>
            </ns1:r>
            <ns1:r>
              <ns1:t>l</ns1:t>
            </ns1:r>
            <ns1:r>
              <ns1:rPr>
                <ns1:sty ns1:val="p"/>
              </ns1:rPr>
              <ns1:t>,</ns1:t>
            </ns1:r>
            <ns1:r>
              <ns1:t>i</ns1:t>
            </ns1:r>
          </ns1:sub>
        </ns1:sSub>
        <ns1:r>
          <ns1:rPr>
            <ns1:sty ns1:val="p"/>
          </ns1:rPr>
          <ns1:t>−</ns1:t>
        </ns1:r>
        <ns1:sSub>
          <ns1:e>
            <ns1:acc>
              <ns1:accPr>
                <ns1:chr ns1:val="‾"/>
              </ns1:accPr>
              <ns1:e>
                <ns1:r>
                  <ns1:t>Y</ns1:t>
                </ns1:r>
              </ns1:e>
            </ns1:acc>
          </ns1:e>
          <ns1:sub>
            <ns1:r>
              <ns1:t>f</ns1:t>
            </ns1:r>
            <ns1:r>
              <ns1:t>u</ns1:t>
            </ns1:r>
            <ns1:r>
              <ns1:t>l</ns1:t>
            </ns1:r>
            <ns1:r>
              <ns1:t>l</ns1:t>
            </ns1:r>
          </ns1:sub>
        </ns1:sSub>
        <ns1:sSup>
          <ns1:e>
            <ns1:r>
              <ns1:rPr>
                <ns1:sty ns1:val="p"/>
              </ns1:rPr>
              <ns1:t>)</ns1:t>
            </ns1:r>
          </ns1:e>
          <ns1:sup>
            <ns1:r>
              <ns1:t>2</ns1:t>
            </ns1:r>
          </ns1:sup>
        </ns1:sSup>
      </ns1:oMath>
      <ns0:r>
        <ns0:t xml:space="preserve">.</ns0:t>
      </ns0:r>
    </ns0:p>
    <ns0:bookmarkEnd ns0:id="31"/>
    <ns0:bookmarkStart ns0:id="32" ns0:name="statistical-analysis"/>
    <ns0:p>
      <ns0:pPr>
        <ns0:pStyle ns0:val="Heading2"/>
      </ns0:pPr>
      <ns0:r>
        <ns0:t xml:space="preserve">2.7. Statistical analysis</ns0:t>
      </ns0:r>
    </ns0:p>
    <ns0:p>
      <ns0:pPr>
        <ns0:pStyle ns0:val="FirstParagraph"/>
      </ns0:pPr>
      <ns0:r>
        <ns0:t xml:space="preserve">The hypotheses organize a retrospective analysis and were not preregistered. The anatomical-adjustment comparison (H3) asked whether including pelvic volume and the selected morphometric triad attenuates age-adjusted female translation differences under localized loading. The matched geometry comparison (H4) asked whether individual geometry retains between-subject variation and individual responses under standardized bone density. Two load-path predictions were that unilateral support increases motion and bilateral asymmetry (H1), and that both transverse force pairs increase the absolute ML component while reducing the CC component relative to bilateral support (H2); the AP pair was assessed separately. Volume–motion associations were exploratory. Distributions are summarized by medians and interquartile ranges. Paired component contrasts use</ns0:t>
      </ns0:r>
      <ns0:r>
        <ns0:t xml:space="preserve"> </ns0:t>
      </ns0:r>
      <ns1:oMath>
        <ns1:sSub>
          <ns1:e>
            <ns1:r>
              <ns1:t>Δ</ns1:t>
            </ns1:r>
          </ns1:e>
          <ns1:sub>
            <ns1:r>
              <ns1:t>i</ns1:t>
            </ns1:r>
            <ns1:r>
              <ns1:rPr>
                <ns1:sty ns1:val="p"/>
              </ns1:rPr>
              <ns1:t>ℓ</ns1:t>
            </ns1:r>
            <ns1:r>
              <ns1:rPr>
                <ns1:sty ns1:val="p"/>
              </ns1:rPr>
              <ns1:t>,</ns1:t>
            </ns1:r>
            <ns1:r>
              <ns1:t>k</ns1:t>
            </ns1:r>
          </ns1:sub>
        </ns1:sSub>
        <ns1:r>
          <ns1:rPr>
            <ns1:sty ns1:val="p"/>
          </ns1:rPr>
          <ns1:t>=</ns1:t>
        </ns1:r>
        <ns1:r>
          <ns1:rPr>
            <ns1:sty ns1:val="p"/>
          </ns1:rPr>
          <ns1:t>|</ns1:t>
        </ns1:r>
        <ns1:sSub>
          <ns1:e>
            <ns1:r>
              <ns1:t>d</ns1:t>
            </ns1:r>
          </ns1:e>
          <ns1:sub>
            <ns1:r>
              <ns1:t>k</ns1:t>
            </ns1:r>
          </ns1:sub>
        </ns1:sSub>
        <ns1:sSub>
          <ns1:e>
            <ns1:r>
              <ns1:rPr>
                <ns1:sty ns1:val="p"/>
              </ns1:rPr>
              <ns1:t>|</ns1:t>
            </ns1:r>
          </ns1:e>
          <ns1:sub>
            <ns1:r>
              <ns1:t>i</ns1:t>
            </ns1:r>
            <ns1:r>
              <ns1:rPr>
                <ns1:sty ns1:val="p"/>
              </ns1:rPr>
              <ns1:t>ℓ</ns1:t>
            </ns1:r>
          </ns1:sub>
        </ns1:sSub>
        <ns1:r>
          <ns1:rPr>
            <ns1:sty ns1:val="p"/>
          </ns1:rPr>
          <ns1:t>−</ns1:t>
        </ns1:r>
        <ns1:r>
          <ns1:rPr>
            <ns1:sty ns1:val="p"/>
          </ns1:rPr>
          <ns1:t>|</ns1:t>
        </ns1:r>
        <ns1:sSub>
          <ns1:e>
            <ns1:r>
              <ns1:t>d</ns1:t>
            </ns1:r>
          </ns1:e>
          <ns1:sub>
            <ns1:r>
              <ns1:t>k</ns1:t>
            </ns1:r>
          </ns1:sub>
        </ns1:sSub>
        <ns1:sSub>
          <ns1:e>
            <ns1:r>
              <ns1:rPr>
                <ns1:sty ns1:val="p"/>
              </ns1:rPr>
              <ns1:t>|</ns1:t>
            </ns1:r>
          </ns1:e>
          <ns1:sub>
            <ns1:r>
              <ns1:t>i</ns1:t>
            </ns1:r>
            <ns1:r>
              <ns1:rPr>
                <ns1:sty ns1:val="p"/>
              </ns1:rPr>
              <ns1:t>,</ns1:t>
            </ns1:r>
            <ns1:r>
              <ns1:t>S</ns1:t>
            </ns1:r>
            <ns1:r>
              <ns1:t>P</ns1:t>
            </ns1:r>
            <ns1:r>
              <ns1:t>2</ns1:t>
            </ns1:r>
            <ns1:r>
              <ns1:t>l</ns1:t>
            </ns1:r>
            <ns1:r>
              <ns1:t>e</ns1:t>
            </ns1:r>
            <ns1:r>
              <ns1:t>g</ns1:t>
            </ns1:r>
          </ns1:sub>
        </ns1:sSub>
      </ns1:oMath>
      <ns0:r>
        <ns0:t xml:space="preserve">, with 3000 bootstrap samples for median confidence intervals and two-sided exact binomial sign tests of the median contrast (zero differences excluded). Wilcoxon signed-rank statistics</ns0:t>
      </ns0:r>
      <ns0:r>
        <ns0:t xml:space="preserve"> </ns0:t>
      </ns0:r>
      <ns0:r>
        <ns0:t xml:space="preserve">(Wilcoxon 1945)</ns0:t>
      </ns0:r>
      <ns0:r>
        <ns0:t xml:space="preserve"> </ns0:t>
      </ns0:r>
      <ns0:r>
        <ns0:t xml:space="preserve">are retained in the machine-readable output as a sensitivity diagnostic, but are not used for the primary inference because asymmetric differences can yield a signed-rank result that disagrees with the direction of the median. Benjamini–Hochberg correction was applied to the 12 component comparisons</ns0:t>
      </ns0:r>
      <ns0:r>
        <ns0:t xml:space="preserve"> </ns0:t>
      </ns0:r>
      <ns0:r>
        <ns0:t xml:space="preserve">(Benjamini and Hochberg 1995)</ns0:t>
      </ns0:r>
      <ns0:r>
        <ns0:t xml:space="preserve">. H1 additionally uses paired tests for rotation magnitude, translation magnitude and translation asymmetry (a separate three-test family).</ns0:t>
      </ns0:r>
    </ns0:p>
    <ns0:p>
      <ns0:pPr>
        <ns0:pStyle ns0:val="BodyText"/>
      </ns0:pPr>
      <ns0:r>
        <ns0:t xml:space="preserve">For each LAB case, nested OLS models used HC3 covariance</ns0:t>
      </ns0:r>
      <ns0:r>
        <ns0:t xml:space="preserve"> </ns0:t>
      </ns0:r>
      <ns0:r>
        <ns0:t xml:space="preserve">(MacKinnon and White 1985)</ns0:t>
      </ns0:r>
      <ns0:r>
        <ns0:t xml:space="preserve">:</ns0:t>
      </ns0:r>
    </ns0:p>
    <ns0:p>
      <ns0:pPr>
        <ns0:pStyle ns0:val="BodyText"/>
      </ns0:pPr>
      <ns1:oMathPara>
        <ns1:oMathParaPr>
          <ns1:jc ns1:val="center"/>
        </ns1:oMathParaPr>
        <ns1:oMath>
          <ns1:m>
            <ns1:mPr>
              <ns1:baseJc ns1:val="center"/>
              <ns1:plcHide ns1:val="1"/>
              <ns1:mcs>
                <ns1:mc>
                  <ns1:mcPr>
                    <ns1:mcJc ns1:val="right"/>
                    <ns1:count ns1:val="1"/>
                  </ns1:mcPr>
                </ns1:mc>
                <ns1:mc>
                  <ns1:mcPr>
                    <ns1:mcJc ns1:val="left"/>
                    <ns1:count ns1:val="1"/>
                  </ns1:mcPr>
                </ns1:mc>
              </ns1:mcs>
            </ns1:mPr>
            <ns1:mr>
              <ns1:e>
                <ns1:r>
                  <ns1:rPr>
                    <ns1:sty ns1:val="p"/>
                  </ns1:rPr>
                  <ns1:t>M</ns1:t>
                </ns1:r>
                <ns1:r>
                  <ns1:rPr>
                    <ns1:sty ns1:val="p"/>
                  </ns1:rPr>
                  <ns1:t>0</ns1:t>
                </ns1:r>
                <ns1:r>
                  <ns1:rPr>
                    <ns1:sty ns1:val="p"/>
                  </ns1:rPr>
                  <ns1:t>:</ns1:t>
                </ns1:r>
                <ns1:r>
                  <ns1:t> </ns1:t>
                </ns1:r>
                <ns1:r>
                  <ns1:t>Y</ns1:t>
                </ns1:r>
              </ns1:e>
              <ns1:e>
                <ns1:r>
                  <ns1:rPr>
                    <ns1:sty ns1:val="p"/>
                  </ns1:rPr>
                  <ns1:t>=</ns1:t>
                </ns1:r>
                <ns1:sSub>
                  <ns1:e>
                    <ns1:r>
                      <ns1:t>β</ns1:t>
                    </ns1:r>
                  </ns1:e>
                  <ns1:sub>
                    <ns1:r>
                      <ns1:t>0</ns1:t>
                    </ns1:r>
                  </ns1:sub>
                </ns1:sSub>
                <ns1:r>
                  <ns1:rPr>
                    <ns1:sty ns1:val="p"/>
                  </ns1:rPr>
                  <ns1:t>+</ns1:t>
                </ns1:r>
                <ns1:sSub>
                  <ns1:e>
                    <ns1:r>
                      <ns1:t>β</ns1:t>
                    </ns1:r>
                  </ns1:e>
                  <ns1:sub>
                    <ns1:r>
                      <ns1:t>s</ns1:t>
                    </ns1:r>
                  </ns1:sub>
                </ns1:sSub>
                <ns1:r>
                  <ns1:rPr>
                    <ns1:sty ns1:val="p"/>
                  </ns1:rPr>
                  <ns1:t>F</ns1:t>
                </ns1:r>
                <ns1:r>
                  <ns1:rPr>
                    <ns1:sty ns1:val="p"/>
                  </ns1:rPr>
                  <ns1:t>e</ns1:t>
                </ns1:r>
                <ns1:r>
                  <ns1:rPr>
                    <ns1:sty ns1:val="p"/>
                  </ns1:rPr>
                  <ns1:t>m</ns1:t>
                </ns1:r>
                <ns1:r>
                  <ns1:rPr>
                    <ns1:sty ns1:val="p"/>
                  </ns1:rPr>
                  <ns1:t>a</ns1:t>
                </ns1:r>
                <ns1:r>
                  <ns1:rPr>
                    <ns1:sty ns1:val="p"/>
                  </ns1:rPr>
                  <ns1:t>l</ns1:t>
                </ns1:r>
                <ns1:r>
                  <ns1:rPr>
                    <ns1:sty ns1:val="p"/>
                  </ns1:rPr>
                  <ns1:t>e</ns1:t>
                </ns1:r>
                <ns1:r>
                  <ns1:rPr>
                    <ns1:sty ns1:val="p"/>
                  </ns1:rPr>
                  <ns1:t>+</ns1:t>
                </ns1:r>
                <ns1:sSub>
                  <ns1:e>
                    <ns1:r>
                      <ns1:t>β</ns1:t>
                    </ns1:r>
                  </ns1:e>
                  <ns1:sub>
                    <ns1:r>
                      <ns1:t>a</ns1:t>
                    </ns1:r>
                  </ns1:sub>
                </ns1:sSub>
                <ns1:sSub>
                  <ns1:e>
                    <ns1:r>
                      <ns1:rPr>
                        <ns1:sty ns1:val="p"/>
                      </ns1:rPr>
                      <ns1:t>A</ns1:t>
                    </ns1:r>
                    <ns1:r>
                      <ns1:rPr>
                        <ns1:sty ns1:val="p"/>
                      </ns1:rPr>
                      <ns1:t>g</ns1:t>
                    </ns1:r>
                    <ns1:r>
                      <ns1:rPr>
                        <ns1:sty ns1:val="p"/>
                      </ns1:rPr>
                      <ns1:t>e</ns1:t>
                    </ns1:r>
                  </ns1:e>
                  <ns1:sub>
                    <ns1:r>
                      <ns1:t>z</ns1:t>
                    </ns1:r>
                  </ns1:sub>
                </ns1:sSub>
                <ns1:r>
                  <ns1:rPr>
                    <ns1:sty ns1:val="p"/>
                  </ns1:rPr>
                  <ns1:t>+</ns1:t>
                </ns1:r>
                <ns1:r>
                  <ns1:t>ϵ</ns1:t>
                </ns1:r>
                <ns1:r>
                  <ns1:rPr>
                    <ns1:sty ns1:val="p"/>
                  </ns1:rPr>
                  <ns1:t>,</ns1:t>
                </ns1:r>
              </ns1:e>
            </ns1:mr>
            <ns1:mr>
              <ns1:e>
                <ns1:r>
                  <ns1:rPr>
                    <ns1:sty ns1:val="p"/>
                  </ns1:rPr>
                  <ns1:t>M</ns1:t>
                </ns1:r>
                <ns1:r>
                  <ns1:rPr>
                    <ns1:sty ns1:val="p"/>
                  </ns1:rPr>
                  <ns1:t>1</ns1:t>
                </ns1:r>
                <ns1:r>
                  <ns1:rPr>
                    <ns1:sty ns1:val="p"/>
                  </ns1:rPr>
                  <ns1:t>:</ns1:t>
                </ns1:r>
                <ns1:r>
                  <ns1:t> </ns1:t>
                </ns1:r>
                <ns1:r>
                  <ns1:t>Y</ns1:t>
                </ns1:r>
              </ns1:e>
              <ns1:e>
                <ns1:r>
                  <ns1:rPr>
                    <ns1:sty ns1:val="p"/>
                  </ns1:rPr>
                  <ns1:t>=</ns1:t>
                </ns1:r>
                <ns1:r>
                  <ns1:rPr>
                    <ns1:sty ns1:val="p"/>
                  </ns1:rPr>
                  <ns1:t>M</ns1:t>
                </ns1:r>
                <ns1:r>
                  <ns1:rPr>
                    <ns1:sty ns1:val="p"/>
                  </ns1:rPr>
                  <ns1:t>0</ns1:t>
                </ns1:r>
                <ns1:r>
                  <ns1:rPr>
                    <ns1:sty ns1:val="p"/>
                  </ns1:rPr>
                  <ns1:t>+</ns1:t>
                </ns1:r>
                <ns1:sSub>
                  <ns1:e>
                    <ns1:r>
                      <ns1:t>β</ns1:t>
                    </ns1:r>
                  </ns1:e>
                  <ns1:sub>
                    <ns1:r>
                      <ns1:t>v</ns1:t>
                    </ns1:r>
                  </ns1:sub>
                </ns1:sSub>
                <ns1:r>
                  <ns1:rPr>
                    <ns1:nor/>
                    <ns1:sty ns1:val="p"/>
                  </ns1:rPr>
                  <ns1:t>log</ns1:t>
                </ns1:r>
                <ns1:r>
                  <ns1:rPr>
                    <ns1:sty ns1:val="p"/>
                  </ns1:rPr>
                  <ns1:t>(</ns1:t>
                </ns1:r>
                <ns1:r>
                  <ns1:t>V</ns1:t>
                </ns1:r>
                <ns1:sSub>
                  <ns1:e>
                    <ns1:r>
                      <ns1:rPr>
                        <ns1:sty ns1:val="p"/>
                      </ns1:rPr>
                      <ns1:t>)</ns1:t>
                    </ns1:r>
                  </ns1:e>
                  <ns1:sub>
                    <ns1:r>
                      <ns1:t>z</ns1:t>
                    </ns1:r>
                  </ns1:sub>
                </ns1:sSub>
                <ns1:r>
                  <ns1:rPr>
                    <ns1:sty ns1:val="p"/>
                  </ns1:rPr>
                  <ns1:t>,</ns1:t>
                </ns1:r>
              </ns1:e>
            </ns1:mr>
            <ns1:mr>
              <ns1:e>
                <ns1:r>
                  <ns1:rPr>
                    <ns1:sty ns1:val="p"/>
                  </ns1:rPr>
                  <ns1:t>M</ns1:t>
                </ns1:r>
                <ns1:r>
                  <ns1:rPr>
                    <ns1:sty ns1:val="p"/>
                  </ns1:rPr>
                  <ns1:t>2</ns1:t>
                </ns1:r>
                <ns1:r>
                  <ns1:rPr>
                    <ns1:sty ns1:val="p"/>
                  </ns1:rPr>
                  <ns1:t>:</ns1:t>
                </ns1:r>
                <ns1:r>
                  <ns1:t> </ns1:t>
                </ns1:r>
                <ns1:r>
                  <ns1:t>Y</ns1:t>
                </ns1:r>
              </ns1:e>
              <ns1:e>
                <ns1:r>
                  <ns1:rPr>
                    <ns1:sty ns1:val="p"/>
                  </ns1:rPr>
                  <ns1:t>=</ns1:t>
                </ns1:r>
                <ns1:r>
                  <ns1:rPr>
                    <ns1:sty ns1:val="p"/>
                  </ns1:rPr>
                  <ns1:t>M</ns1:t>
                </ns1:r>
                <ns1:r>
                  <ns1:rPr>
                    <ns1:sty ns1:val="p"/>
                  </ns1:rPr>
                  <ns1:t>1</ns1:t>
                </ns1:r>
                <ns1:r>
                  <ns1:rPr>
                    <ns1:sty ns1:val="p"/>
                  </ns1:rPr>
                  <ns1:t>+</ns1:t>
                </ns1:r>
                <ns1:sSub>
                  <ns1:e>
                    <ns1:r>
                      <ns1:t>β</ns1:t>
                    </ns1:r>
                  </ns1:e>
                  <ns1:sub>
                    <ns1:r>
                      <ns1:t>A</ns1:t>
                    </ns1:r>
                    <ns1:r>
                      <ns1:t>P</ns1:t>
                    </ns1:r>
                  </ns1:sub>
                </ns1:sSub>
                <ns1:sSub>
                  <ns1:e>
                    <ns1:r>
                      <ns1:rPr>
                        <ns1:sty ns1:val="p"/>
                      </ns1:rPr>
                      <ns1:t>A</ns1:t>
                    </ns1:r>
                    <ns1:r>
                      <ns1:rPr>
                        <ns1:sty ns1:val="p"/>
                      </ns1:rPr>
                      <ns1:t>P</ns1:t>
                    </ns1:r>
                  </ns1:e>
                  <ns1:sub>
                    <ns1:r>
                      <ns1:t>z</ns1:t>
                    </ns1:r>
                  </ns1:sub>
                </ns1:sSub>
                <ns1:r>
                  <ns1:rPr>
                    <ns1:sty ns1:val="p"/>
                  </ns1:rPr>
                  <ns1:t>+</ns1:t>
                </ns1:r>
                <ns1:sSub>
                  <ns1:e>
                    <ns1:r>
                      <ns1:t>β</ns1:t>
                    </ns1:r>
                  </ns1:e>
                  <ns1:sub>
                    <ns1:r>
                      <ns1:t>b</ns1:t>
                    </ns1:r>
                  </ns1:sub>
                </ns1:sSub>
                <ns1:sSub>
                  <ns1:e>
                    <ns1:r>
                      <ns1:rPr>
                        <ns1:sty ns1:val="p"/>
                      </ns1:rPr>
                      <ns1:t>B</ns1:t>
                    </ns1:r>
                    <ns1:r>
                      <ns1:rPr>
                        <ns1:sty ns1:val="p"/>
                      </ns1:rPr>
                      <ns1:t>i</ns1:t>
                    </ns1:r>
                    <ns1:r>
                      <ns1:rPr>
                        <ns1:sty ns1:val="p"/>
                      </ns1:rPr>
                      <ns1:t>i</ns1:t>
                    </ns1:r>
                    <ns1:r>
                      <ns1:rPr>
                        <ns1:sty ns1:val="p"/>
                      </ns1:rPr>
                      <ns1:t>s</ns1:t>
                    </ns1:r>
                    <ns1:r>
                      <ns1:rPr>
                        <ns1:sty ns1:val="p"/>
                      </ns1:rPr>
                      <ns1:t>c</ns1:t>
                    </ns1:r>
                    <ns1:r>
                      <ns1:rPr>
                        <ns1:sty ns1:val="p"/>
                      </ns1:rPr>
                      <ns1:t>h</ns1:t>
                    </ns1:r>
                    <ns1:r>
                      <ns1:rPr>
                        <ns1:sty ns1:val="p"/>
                      </ns1:rPr>
                      <ns1:t>i</ns1:t>
                    </ns1:r>
                    <ns1:r>
                      <ns1:rPr>
                        <ns1:sty ns1:val="p"/>
                      </ns1:rPr>
                      <ns1:t>a</ns1:t>
                    </ns1:r>
                    <ns1:r>
                      <ns1:rPr>
                        <ns1:sty ns1:val="p"/>
                      </ns1:rPr>
                      <ns1:t>d</ns1:t>
                    </ns1:r>
                    <ns1:r>
                      <ns1:rPr>
                        <ns1:sty ns1:val="p"/>
                      </ns1:rPr>
                      <ns1:t>i</ns1:t>
                    </ns1:r>
                    <ns1:r>
                      <ns1:rPr>
                        <ns1:sty ns1:val="p"/>
                      </ns1:rPr>
                      <ns1:t>c</ns1:t>
                    </ns1:r>
                  </ns1:e>
                  <ns1:sub>
                    <ns1:r>
                      <ns1:t>z</ns1:t>
                    </ns1:r>
                  </ns1:sub>
                </ns1:sSub>
                <ns1:r>
                  <ns1:rPr>
                    <ns1:sty ns1:val="p"/>
                  </ns1:rPr>
                  <ns1:t>+</ns1:t>
                </ns1:r>
                <ns1:sSub>
                  <ns1:e>
                    <ns1:r>
                      <ns1:t>β</ns1:t>
                    </ns1:r>
                  </ns1:e>
                  <ns1:sub>
                    <ns1:r>
                      <ns1:t>p</ns1:t>
                    </ns1:r>
                  </ns1:sub>
                </ns1:sSub>
                <ns1:sSub>
                  <ns1:e>
                    <ns1:r>
                      <ns1:rPr>
                        <ns1:sty ns1:val="p"/>
                      </ns1:rPr>
                      <ns1:t>S</ns1:t>
                    </ns1:r>
                    <ns1:r>
                      <ns1:rPr>
                        <ns1:sty ns1:val="p"/>
                      </ns1:rPr>
                      <ns1:t>u</ns1:t>
                    </ns1:r>
                    <ns1:r>
                      <ns1:rPr>
                        <ns1:sty ns1:val="p"/>
                      </ns1:rPr>
                      <ns1:t>b</ns1:t>
                    </ns1:r>
                    <ns1:r>
                      <ns1:rPr>
                        <ns1:sty ns1:val="p"/>
                      </ns1:rPr>
                      <ns1:t>p</ns1:t>
                    </ns1:r>
                    <ns1:r>
                      <ns1:rPr>
                        <ns1:sty ns1:val="p"/>
                      </ns1:rPr>
                      <ns1:t>u</ns1:t>
                    </ns1:r>
                    <ns1:r>
                      <ns1:rPr>
                        <ns1:sty ns1:val="p"/>
                      </ns1:rPr>
                      <ns1:t>b</ns1:t>
                    </ns1:r>
                    <ns1:r>
                      <ns1:rPr>
                        <ns1:sty ns1:val="p"/>
                      </ns1:rPr>
                      <ns1:t>i</ns1:t>
                    </ns1:r>
                    <ns1:r>
                      <ns1:rPr>
                        <ns1:sty ns1:val="p"/>
                      </ns1:rPr>
                      <ns1:t>c</ns1:t>
                    </ns1:r>
                  </ns1:e>
                  <ns1:sub>
                    <ns1:r>
                      <ns1:t>z</ns1:t>
                    </ns1:r>
                  </ns1:sub>
                </ns1:sSub>
                <ns1:r>
                  <ns1:rPr>
                    <ns1:sty ns1:val="p"/>
                  </ns1:rPr>
                  <ns1:t>.</ns1:t>
                </ns1:r>
              </ns1:e>
            </ns1:mr>
          </ns1:m>
        </ns1:oMath>
      </ns1:oMathPara>
    </ns0:p>
    <ns0:p>
      <ns0:pPr>
        <ns0:pStyle ns0:val="FirstParagraph"/>
      </ns0:pPr>
      <ns0:r>
        <ns0:t xml:space="preserve">Here model addition denotes addition to the linear predictor. Female is coded 1 and male 0; continuous predictors are standardized using cohort sample SDs. M2 contains no sex–volume interaction. FDR correction covers its six sex coefficients (two outcomes by three loads). M0/M1 and coefficient attenuation are descriptive. VIFs quantify collinearity without treating a threshold as proof of identifiability. The triad describes inlet depth, interspinous midpelvic width and the anterior pubic arch; it was selected for this retrospective analysis. Pooled and sex-stratified Spearman correlations are exploratory, not evidence of mediation.</ns0:t>
      </ns0:r>
    </ns0:p>
    <ns0:p>
      <ns0:pPr>
        <ns0:pStyle ns0:val="BodyText"/>
      </ns0:pPr>
      <ns0:r>
        <ns0:t xml:space="preserve">Pooled OLS models include load, sex, age, log volume, the morphometric triad, load–volume interactions and a sex–volume interaction, with covariance clustered by the 278 subjects</ns0:t>
      </ns0:r>
      <ns0:r>
        <ns0:t xml:space="preserve"> </ns0:t>
      </ns0:r>
      <ns0:r>
        <ns0:t xml:space="preserve">(Cameron and Miller 2015)</ns0:t>
      </ns0:r>
      <ns0:r>
        <ns0:t xml:space="preserve">. A main volume coefficient therefore refers to male SP2leg, not an overall pooled slope. FDR is applied within each outcome’s pooled coefficients. Robust Wald statistics are not converted to partial variance-explained measures.</ns0:t>
      </ns0:r>
    </ns0:p>
    <ns0:p>
      <ns0:pPr>
        <ns0:pStyle ns0:val="BodyText"/>
      </ns0:pPr>
      <ns0:r>
        <ns0:t xml:space="preserve">Exploratory load-specific models regress</ns0:t>
      </ns0:r>
      <ns0:r>
        <ns0:t xml:space="preserve"> </ns0:t>
      </ns0:r>
      <ns1:oMath>
        <ns1:r>
          <ns1:rPr>
            <ns1:nor/>
            <ns1:sty ns1:val="p"/>
          </ns1:rPr>
          <ns1:t>log</ns1:t>
        </ns1:r>
        <ns1:r>
          <ns1:t>Y</ns1:t>
        </ns1:r>
      </ns1:oMath>
      <ns0:r>
        <ns0:t xml:space="preserve"> </ns0:t>
      </ns0:r>
      <ns0:r>
        <ns0:t xml:space="preserve">on</ns0:t>
      </ns0:r>
      <ns0:r>
        <ns0:t xml:space="preserve"> </ns0:t>
      </ns0:r>
      <ns1:oMath>
        <ns1:r>
          <ns1:rPr>
            <ns1:nor/>
            <ns1:sty ns1:val="p"/>
          </ns1:rPr>
          <ns1:t>log</ns1:t>
        </ns1:r>
        <ns1:r>
          <ns1:t>V</ns1:t>
        </ns1:r>
      </ns1:oMath>
      <ns0:r>
        <ns0:t xml:space="preserve">, sex, their interaction, age and the triad. Male and female slopes are</ns0:t>
      </ns0:r>
      <ns0:r>
        <ns0:t xml:space="preserve"> </ns0:t>
      </ns0:r>
      <ns1:oMath>
        <ns1:sSub>
          <ns1:e>
            <ns1:r>
              <ns1:t>β</ns1:t>
            </ns1:r>
          </ns1:e>
          <ns1:sub>
            <ns1:r>
              <ns1:t>v</ns1:t>
            </ns1:r>
          </ns1:sub>
        </ns1:sSub>
      </ns1:oMath>
      <ns0:r>
        <ns0:t xml:space="preserve"> </ns0:t>
      </ns0:r>
      <ns0:r>
        <ns0:t xml:space="preserve">and</ns0:t>
      </ns0:r>
      <ns0:r>
        <ns0:t xml:space="preserve"> </ns0:t>
      </ns0:r>
      <ns1:oMath>
        <ns1:sSub>
          <ns1:e>
            <ns1:r>
              <ns1:t>β</ns1:t>
            </ns1:r>
          </ns1:e>
          <ns1:sub>
            <ns1:r>
              <ns1:t>v</ns1:t>
            </ns1:r>
          </ns1:sub>
        </ns1:sSub>
        <ns1:r>
          <ns1:rPr>
            <ns1:sty ns1:val="p"/>
          </ns1:rPr>
          <ns1:t>+</ns1:t>
        </ns1:r>
        <ns1:sSub>
          <ns1:e>
            <ns1:r>
              <ns1:t>β</ns1:t>
            </ns1:r>
          </ns1:e>
          <ns1:sub>
            <ns1:r>
              <ns1:t>v</ns1:t>
            </ns1:r>
            <ns1:r>
              <ns1:rPr>
                <ns1:sty ns1:val="p"/>
              </ns1:rPr>
              <ns1:t>:</ns1:t>
            </ns1:r>
            <ns1:r>
              <ns1:t>s</ns1:t>
            </ns1:r>
          </ns1:sub>
        </ns1:sSub>
      </ns1:oMath>
      <ns0:r>
        <ns0:t xml:space="preserve">; HC3 covariance supplies 95% Wald intervals. FDR covers 20 sex-specific slope tests, with a separate family of ten interaction tests. Failure to reject an interaction is not evidence of equal slopes. The alternative</ns0:t>
      </ns0:r>
      <ns0:r>
        <ns0:t xml:space="preserve"> </ns0:t>
      </ns0:r>
      <ns1:oMath>
        <ns1:r>
          <ns1:rPr>
            <ns1:nor/>
            <ns1:sty ns1:val="p"/>
          </ns1:rPr>
          <ns1:t>log</ns1:t>
        </ns1:r>
        <ns1:r>
          <ns1:rPr>
            <ns1:sty ns1:val="p"/>
          </ns1:rPr>
          <ns1:t>(</ns1:t>
        </ns1:r>
        <ns1:r>
          <ns1:rPr>
            <ns1:sty ns1:val="p"/>
          </ns1:rPr>
          <ns1:t>s</ns1:t>
        </ns1:r>
        <ns1:r>
          <ns1:rPr>
            <ns1:sty ns1:val="p"/>
          </ns1:rPr>
          <ns1:t>c</ns1:t>
        </ns1:r>
        <ns1:r>
          <ns1:rPr>
            <ns1:sty ns1:val="p"/>
          </ns1:rPr>
          <ns1:t>a</ns1:t>
        </ns1:r>
        <ns1:r>
          <ns1:rPr>
            <ns1:sty ns1:val="p"/>
          </ns1:rPr>
          <ns1:t>l</ns1:t>
        </ns1:r>
        <ns1:r>
          <ns1:rPr>
            <ns1:sty ns1:val="p"/>
          </ns1:rPr>
          <ns1:t>e</ns1:t>
        </ns1:r>
        <ns1:r>
          <ns1:rPr>
            <ns1:sty ns1:val="p"/>
          </ns1:rPr>
          <ns1:t>)</ns1:t>
        </ns1:r>
      </ns1:oMath>
      <ns0:r>
        <ns0:t xml:space="preserve"> </ns0:t>
      </ns0:r>
      <ns0:r>
        <ns0:t xml:space="preserve">model is an algebraic reparameterization because</ns0:t>
      </ns0:r>
      <ns0:r>
        <ns0:t xml:space="preserve"> </ns0:t>
      </ns0:r>
      <ns1:oMath>
        <ns1:r>
          <ns1:rPr>
            <ns1:nor/>
            <ns1:sty ns1:val="p"/>
          </ns1:rPr>
          <ns1:t>log</ns1:t>
        </ns1:r>
        <ns1:r>
          <ns1:t>V</ns1:t>
        </ns1:r>
        <ns1:r>
          <ns1:rPr>
            <ns1:sty ns1:val="p"/>
          </ns1:rPr>
          <ns1:t>=</ns1:t>
        </ns1:r>
        <ns1:r>
          <ns1:t>3</ns1:t>
        </ns1:r>
        <ns1:r>
          <ns1:rPr>
            <ns1:nor/>
            <ns1:sty ns1:val="p"/>
          </ns1:rPr>
          <ns1:t>log</ns1:t>
        </ns1:r>
        <ns1:r>
          <ns1:rPr>
            <ns1:sty ns1:val="p"/>
          </ns1:rPr>
          <ns1:t>(</ns1:t>
        </ns1:r>
        <ns1:r>
          <ns1:rPr>
            <ns1:sty ns1:val="p"/>
          </ns1:rPr>
          <ns1:t>s</ns1:t>
        </ns1:r>
        <ns1:r>
          <ns1:rPr>
            <ns1:sty ns1:val="p"/>
          </ns1:rPr>
          <ns1:t>c</ns1:t>
        </ns1:r>
        <ns1:r>
          <ns1:rPr>
            <ns1:sty ns1:val="p"/>
          </ns1:rPr>
          <ns1:t>a</ns1:t>
        </ns1:r>
        <ns1:r>
          <ns1:rPr>
            <ns1:sty ns1:val="p"/>
          </ns1:rPr>
          <ns1:t>l</ns1:t>
        </ns1:r>
        <ns1:r>
          <ns1:rPr>
            <ns1:sty ns1:val="p"/>
          </ns1:rPr>
          <ns1:t>e</ns1:t>
        </ns1:r>
        <ns1:r>
          <ns1:rPr>
            <ns1:sty ns1:val="p"/>
          </ns1:rPr>
          <ns1:t>)</ns1:t>
        </ns1:r>
        <ns1:r>
          <ns1:rPr>
            <ns1:sty ns1:val="p"/>
          </ns1:rPr>
          <ns1:t>+</ns1:t>
        </ns1:r>
        <ns1:r>
          <ns1:rPr>
            <ns1:nor/>
            <ns1:sty ns1:val="p"/>
          </ns1:rPr>
          <ns1:t>log</ns1:t>
        </ns1:r>
        <ns1:sSub>
          <ns1:e>
            <ns1:r>
              <ns1:t>V</ns1:t>
            </ns1:r>
          </ns1:e>
          <ns1:sub>
            <ns1:r>
              <ns1:t>t</ns1:t>
            </ns1:r>
            <ns1:r>
              <ns1:t>e</ns1:t>
            </ns1:r>
            <ns1:r>
              <ns1:t>m</ns1:t>
            </ns1:r>
            <ns1:r>
              <ns1:t>p</ns1:t>
            </ns1:r>
            <ns1:r>
              <ns1:t>l</ns1:t>
            </ns1:r>
            <ns1:r>
              <ns1:t>a</ns1:t>
            </ns1:r>
            <ns1:r>
              <ns1:t>t</ns1:t>
            </ns1:r>
            <ns1:r>
              <ns1:t>e</ns1:t>
            </ns1:r>
          </ns1:sub>
        </ns1:sSub>
      </ns1:oMath>
      <ns0:r>
        <ns0:t xml:space="preserve">; it is not an independent robustness test. A sensitivity analysis added a quadratic age term to the nested sex models and the conditional volume models (Supporting Information, Tables S7–S8). Sample confidence intervals do not include uncertainty in loads, constitutive choices, segmentation or boundary conditions.</ns0:t>
      </ns0:r>
    </ns0:p>
    <ns0:bookmarkEnd ns0:id="32"/>
    <ns0:bookmarkEnd ns0:id="33"/>
    <ns0:bookmarkStart ns0:id="54" ns0:name="results"/>
    <ns0:p>
      <ns0:pPr>
        <ns0:pStyle ns0:val="Heading1"/>
      </ns0:pPr>
      <ns0:r>
        <ns0:t xml:space="preserve">3. Results</ns0:t>
      </ns0:r>
    </ns0:p>
    <ns0:p>
      <ns0:pPr>
        <ns0:pStyle ns0:val="FirstParagraph"/>
      </ns0:pPr>
      <ns0:r>
        <ns0:drawing>
          <ns2:inline>
            <ns2:extent cx="5334000" cy="3118167"/>
            <ns2:effectExtent b="0" l="0" r="0" t="0"/>
            <ns2:docPr descr="image" title="" id="1" name="Picture"/>
            <ns3:graphic>
              <ns3:graphicData uri="http://schemas.openxmlformats.org/drawingml/2006/picture">
                <ns4:pic>
                  <ns4:nvPicPr>
                    <ns4:cNvPr descr="/tmp/janat_docx_9v1cyq4_/Fig1_anatomy_coordinates_loads.png" id="0" name="Picture"/>
                    <ns4:cNvPicPr>
                      <ns3:picLocks noChangeArrowheads="1" noChangeAspect="1"/>
                    </ns4:cNvPicPr>
                  </ns4:nvPicPr>
                  <ns4:blipFill>
                    <ns3:blip ns5:embed="rId34"/>
                    <ns3:stretch>
                      <ns3:fillRect/>
                    </ns3:stretch>
                  </ns4:blipFill>
                  <ns4:spPr bwMode="auto">
                    <ns3:xfrm>
                      <ns3:off x="0" y="0"/>
                      <ns3:ext cx="5334000" cy="3118167"/>
                    </ns3:xfrm>
                    <ns3:prstGeom prst="rect">
                      <ns3:avLst/>
                    </ns3:prstGeom>
                    <ns3:noFill/>
                    <ns3:ln w="9525">
                      <ns3:noFill/>
                      <ns3:headEnd/>
                      <ns3:tailEnd/>
                    </ns3:ln>
                  </ns4:spPr>
                </ns4:pic>
              </ns3:graphicData>
            </ns3:graphic>
          </ns2:inline>
        </ns0:drawing>
      </ns0:r>
    </ns0:p>
    <ns0:p>
      <ns0:pPr>
        <ns0:pStyle ns0:val="BodyText"/>
      </ns0:pPr>
      <ns0:r>
        <ns0:t xml:space="preserve">Figure 2.</ns0:t>
      </ns0:r>
      <ns0:r>
        <ns0:t xml:space="preserve"> </ns0:t>
      </ns0:r>
      <ns0:r>
        <ns0:rPr>
          <ns0:bCs/>
          <ns0:b/>
        </ns0:rPr>
        <ns0:t xml:space="preserve">Anatomy, motion definitions and load application.</ns0:t>
      </ns0:r>
      <ns0:r>
        <ns0:t xml:space="preserve"> </ns0:t>
      </ns0:r>
      <ns0:r>
        <ns0:t xml:space="preserve">(A) Pelvic assembly: green denotes the superior S1 endplate constraint, orange SIJ cartilage and purple the symphysis. (B) Exploded articulation with illustrative axis directions; these arrows do not define the subject-specific PCA frame or anatomical signs. (C) Rotational and translational reporting conventions. (D,E) Bilateral and unilateral acetabular loads, each totaling 800 N. (F–H) Independent internal-ring, ischial and AP force pairs. Load arrows show applied global directions, not measured joint opening. The S1 penalty approximates a fixed boundary.</ns0:t>
      </ns0:r>
      <ns0:r>
        <ns0:t xml:space="preserve"> </ns0:t>
      </ns0:r>
      <ns0:bookmarkStart ns0:id="35" ns0:name="fig:overview"/>
      <ns0:r>
        <ns0:t xml:space="preserve">[fig:overview]</ns0:t>
      </ns0:r>
      <ns0:bookmarkEnd ns0:id="35"/>
    </ns0:p>
    <ns0:p>
      <ns0:pPr>
        <ns0:pStyle ns0:val="BodyText"/>
      </ns0:pPr>
      <ns0:r>
        <ns0:t xml:space="preserve">Each of the 278 anatomies contributed responses to all five loads (1390 subject–load observations) in each of the three geometry–density variants. This matched design first establishes the loading context for the anatomical comparisons.</ns0:t>
      </ns0:r>
    </ns0:p>
    <ns0:bookmarkStart ns0:id="39" ns0:name="X60e4bfe7fd066eaa8c50b20ae2e763f316f64f9"/>
    <ns0:p>
      <ns0:pPr>
        <ns0:pStyle ns0:val="Heading2"/>
      </ns0:pPr>
      <ns0:r>
        <ns0:t xml:space="preserve">3.1. Unilateral support amplifies asymmetry at unchanged total force</ns0:t>
      </ns0:r>
    </ns0:p>
    <ns0:p>
      <ns0:pPr>
        <ns0:pStyle ns0:val="FirstParagraph"/>
      </ns0:pPr>
      <ns0:r>
        <ns0:t xml:space="preserve">Redistributing a fixed total acetabular force changed the SIJ response. Under SP2leg and SP1leg, median rotation norms were 0.956</ns0:t>
      </ns0:r>
      <ns1:oMath>
        <ns1:sSup>
          <ns1:e>
            <ns1:r>
              <ns1:t>​</ns1:t>
            </ns1:r>
          </ns1:e>
          <ns1:sup>
            <ns1:r>
              <ns1:rPr>
                <ns1:sty ns1:val="p"/>
              </ns1:rPr>
              <ns1:t>∘</ns1:t>
            </ns1:r>
          </ns1:sup>
        </ns1:sSup>
      </ns1:oMath>
      <ns0:r>
        <ns0:t xml:space="preserve"> </ns0:t>
      </ns0:r>
      <ns0:r>
        <ns0:t xml:space="preserve">and 2.040</ns0:t>
      </ns0:r>
      <ns1:oMath>
        <ns1:sSup>
          <ns1:e>
            <ns1:r>
              <ns1:t>​</ns1:t>
            </ns1:r>
          </ns1:e>
          <ns1:sup>
            <ns1:r>
              <ns1:rPr>
                <ns1:sty ns1:val="p"/>
              </ns1:rPr>
              <ns1:t>∘</ns1:t>
            </ns1:r>
          </ns1:sup>
        </ns1:sSup>
      </ns1:oMath>
      <ns0:r>
        <ns0:t xml:space="preserve">, and median translations were 1.058 and 1.627 mm, respectively. Median bilateral translation asymmetry was 0.065 mm in SP2leg and 1.602 mm in SP1leg (Fig. 3).</ns0:t>
      </ns0:r>
      <ns0:r>
        <ns0:t xml:space="preserve"> </ns0:t>
      </ns0:r>
      <ns0:r>
        <ns0:t xml:space="preserve">The paired SP1leg-minus-SP2leg median difference in rotation norm was</ns0:t>
      </ns0:r>
      <ns0:r>
        <ns0:t xml:space="preserve"> </ns0:t>
      </ns0:r>
      <ns1:oMath>
        <ns1:r>
          <ns1:rPr>
            <ns1:sty ns1:val="p"/>
          </ns1:rPr>
          <ns1:t>+</ns1:t>
        </ns1:r>
        <ns1:r>
          <ns1:t>1.048</ns1:t>
        </ns1:r>
      </ns1:oMath>
      <ns0:r>
        <ns0:t xml:space="preserve"> </ns0:t>
      </ns0:r>
      <ns0:r>
        <ns0:t xml:space="preserve">(95% CI +1.004 to +1.102) degrees,</ns0:t>
      </ns0:r>
      <ns0:r>
        <ns0:t xml:space="preserve"> </ns0:t>
      </ns0:r>
      <ns1:oMath>
        <ns1:r>
          <ns1:t>q</ns1:t>
        </ns1:r>
        <ns1:r>
          <ns1:rPr>
            <ns1:sty ns1:val="p"/>
          </ns1:rPr>
          <ns1:t>&lt;</ns1:t>
        </ns1:r>
        <ns1:r>
          <ns1:t>0.001</ns1:t>
        </ns1:r>
      </ns1:oMath>
      <ns0:r>
        <ns0:t xml:space="preserve">. The paired SP1leg-minus-SP2leg median difference in translation magnitude was</ns0:t>
      </ns0:r>
      <ns0:r>
        <ns0:t xml:space="preserve"> </ns0:t>
      </ns0:r>
      <ns1:oMath>
        <ns1:r>
          <ns1:rPr>
            <ns1:sty ns1:val="p"/>
          </ns1:rPr>
          <ns1:t>+</ns1:t>
        </ns1:r>
        <ns1:r>
          <ns1:t>0.582</ns1:t>
        </ns1:r>
      </ns1:oMath>
      <ns0:r>
        <ns0:t xml:space="preserve"> </ns0:t>
      </ns0:r>
      <ns0:r>
        <ns0:t xml:space="preserve">(95% CI +0.559 to +0.603) mm,</ns0:t>
      </ns0:r>
      <ns0:r>
        <ns0:t xml:space="preserve"> </ns0:t>
      </ns0:r>
      <ns1:oMath>
        <ns1:r>
          <ns1:t>q</ns1:t>
        </ns1:r>
        <ns1:r>
          <ns1:rPr>
            <ns1:sty ns1:val="p"/>
          </ns1:rPr>
          <ns1:t>&lt;</ns1:t>
        </ns1:r>
        <ns1:r>
          <ns1:t>0.001</ns1:t>
        </ns1:r>
      </ns1:oMath>
      <ns0:r>
        <ns0:t xml:space="preserve">. The paired SP1leg-minus-SP2leg median difference in translation asymmetry was</ns0:t>
      </ns0:r>
      <ns0:r>
        <ns0:t xml:space="preserve"> </ns0:t>
      </ns0:r>
      <ns1:oMath>
        <ns1:r>
          <ns1:rPr>
            <ns1:sty ns1:val="p"/>
          </ns1:rPr>
          <ns1:t>+</ns1:t>
        </ns1:r>
        <ns1:r>
          <ns1:t>1.509</ns1:t>
        </ns1:r>
      </ns1:oMath>
      <ns0:r>
        <ns0:t xml:space="preserve"> </ns0:t>
      </ns0:r>
      <ns0:r>
        <ns0:t xml:space="preserve">(95% CI +1.445 to +1.568) mm,</ns0:t>
      </ns0:r>
      <ns0:r>
        <ns0:t xml:space="preserve"> </ns0:t>
      </ns0:r>
      <ns1:oMath>
        <ns1:r>
          <ns1:t>q</ns1:t>
        </ns1:r>
        <ns1:r>
          <ns1:rPr>
            <ns1:sty ns1:val="p"/>
          </ns1:rPr>
          <ns1:t>&lt;</ns1:t>
        </ns1:r>
        <ns1:r>
          <ns1:t>0.001</ns1:t>
        </ns1:r>
      </ns1:oMath>
      <ns0:r>
        <ns0:t xml:space="preserve">. Redistributing the same 800 N total force therefore increased motion and, most prominently, bilateral asymmetry.</ns0:t>
      </ns0:r>
    </ns0:p>
    <ns0:bookmarkStart ns0:id="36" ns0:name="tab:microsummary"/>
    <ns0:p>
      <ns0:pPr>
        <ns0:pStyle ns0:val="TableCaption"/>
      </ns0:pPr>
      <ns0:r>
        <ns0:t xml:space="preserve">Table 3. SIJ motion summaries across 278 subjects. Values are median [interquartile range]; component columns are absolute magnitudes.</ns0:t>
      </ns0:r>
    </ns0:p>
    <ns0:tbl>
      <ns0:tblPr>
        <ns0:tblStyle ns0:val="Table"/>
        <ns0:tblW ns0:type="pct" ns0:w="5000"/>
        <ns0:tblLook ns0:firstRow="1" ns0:lastRow="0" ns0:firstColumn="0" ns0:lastColumn="0" ns0:noHBand="0" ns0:noVBand="0" ns0:val="0020"/>
        <ns0:tblCaption ns0:val="Table 3. SIJ motion summaries across 278 subjects. Values are median [interquartile range]; component columns are absolute magnitudes."/>
      </ns0:tblPr>
      <ns0:tblGrid/>
      <ns0:tr>
        <ns0:tc>
          <ns0:p>
            <ns0:pPr>
              <ns0:pStyle ns0:val="Compact"/>
              <ns0:jc ns0:val="left"/>
            </ns0:pPr>
            <ns0:r>
              <ns0:t xml:space="preserve">Load case</ns0:t>
              <ns0:rPr>
                <ns0:sz ns0:val="18"/>
              </ns0:rPr>
            </ns0:r>
          </ns0:p>
        </ns0:tc>
        <ns0:tc>
          <ns0:p>
            <ns0:pPr>
              <ns0:pStyle ns0:val="Compact"/>
              <ns0:jc ns0:val="left"/>
            </ns0:pPr>
            <ns0:r>
              <ns0:t xml:space="preserve">N</ns0:t>
              <ns0:rPr>
                <ns0:sz ns0:val="18"/>
              </ns0:rPr>
            </ns0:r>
          </ns0:p>
        </ns0:tc>
        <ns0:tc>
          <ns0:p>
            <ns0:pPr>
              <ns0:pStyle ns0:val="Compact"/>
              <ns0:jc ns0:val="left"/>
            </ns0:pPr>
            <ns0:r>
              <ns0:t xml:space="preserve">Rotation magnitude (deg)</ns0:t>
              <ns0:rPr>
                <ns0:sz ns0:val="18"/>
              </ns0:rPr>
            </ns0:r>
          </ns0:p>
        </ns0:tc>
        <ns0:tc>
          <ns0:p>
            <ns0:pPr>
              <ns0:pStyle ns0:val="Compact"/>
              <ns0:jc ns0:val="left"/>
            </ns0:pPr>
            <ns0:r>
              <ns0:t xml:space="preserve">Translation magnitude (mm)</ns0:t>
              <ns0:rPr>
                <ns0:sz ns0:val="18"/>
              </ns0:rPr>
            </ns0:r>
          </ns0:p>
        </ns0:tc>
        <ns0:tc>
          <ns0:p>
            <ns0:pPr>
              <ns0:pStyle ns0:val="Compact"/>
              <ns0:jc ns0:val="left"/>
            </ns0:pPr>
            <ns0:r>
              <ns0:t xml:space="preserve">AP translation component (mm)</ns0:t>
              <ns0:rPr>
                <ns0:sz ns0:val="18"/>
              </ns0:rPr>
            </ns0:r>
          </ns0:p>
        </ns0:tc>
        <ns0:tc>
          <ns0:p>
            <ns0:pPr>
              <ns0:pStyle ns0:val="Compact"/>
              <ns0:jc ns0:val="left"/>
            </ns0:pPr>
            <ns0:r>
              <ns0:t xml:space="preserve">ML translation component (mm)</ns0:t>
              <ns0:rPr>
                <ns0:sz ns0:val="18"/>
              </ns0:rPr>
            </ns0:r>
          </ns0:p>
        </ns0:tc>
        <ns0:tc>
          <ns0:p>
            <ns0:pPr>
              <ns0:pStyle ns0:val="Compact"/>
              <ns0:jc ns0:val="left"/>
            </ns0:pPr>
            <ns0:r>
              <ns0:t xml:space="preserve">CC translation component (mm)</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0.956 [0.813, 1.109]</ns0:t>
              <ns0:rPr>
                <ns0:sz ns0:val="18"/>
              </ns0:rPr>
            </ns0:r>
          </ns0:p>
        </ns0:tc>
        <ns0:tc>
          <ns0:p>
            <ns0:pPr>
              <ns0:pStyle ns0:val="Compact"/>
              <ns0:jc ns0:val="left"/>
            </ns0:pPr>
            <ns0:r>
              <ns0:t xml:space="preserve">1.058 [0.871, 1.207]</ns0:t>
              <ns0:rPr>
                <ns0:sz ns0:val="18"/>
              </ns0:rPr>
            </ns0:r>
          </ns0:p>
        </ns0:tc>
        <ns0:tc>
          <ns0:p>
            <ns0:pPr>
              <ns0:pStyle ns0:val="Compact"/>
              <ns0:jc ns0:val="left"/>
            </ns0:pPr>
            <ns0:r>
              <ns0:t xml:space="preserve">0.366 [0.241, 0.482]</ns0:t>
              <ns0:rPr>
                <ns0:sz ns0:val="18"/>
              </ns0:rPr>
            </ns0:r>
          </ns0:p>
        </ns0:tc>
        <ns0:tc>
          <ns0:p>
            <ns0:pPr>
              <ns0:pStyle ns0:val="Compact"/>
              <ns0:jc ns0:val="left"/>
            </ns0:pPr>
            <ns0:r>
              <ns0:t xml:space="preserve">0.083 [0.054, 0.123]</ns0:t>
              <ns0:rPr>
                <ns0:sz ns0:val="18"/>
              </ns0:rPr>
            </ns0:r>
          </ns0:p>
        </ns0:tc>
        <ns0:tc>
          <ns0:p>
            <ns0:pPr>
              <ns0:pStyle ns0:val="Compact"/>
              <ns0:jc ns0:val="left"/>
            </ns0:pPr>
            <ns0:r>
              <ns0:t xml:space="preserve">0.952 [0.818, 1.112]</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2.040 [1.765, 2.289]</ns0:t>
              <ns0:rPr>
                <ns0:sz ns0:val="18"/>
              </ns0:rPr>
            </ns0:r>
          </ns0:p>
        </ns0:tc>
        <ns0:tc>
          <ns0:p>
            <ns0:pPr>
              <ns0:pStyle ns0:val="Compact"/>
              <ns0:jc ns0:val="left"/>
            </ns0:pPr>
            <ns0:r>
              <ns0:t xml:space="preserve">1.627 [1.430, 1.869]</ns0:t>
              <ns0:rPr>
                <ns0:sz ns0:val="18"/>
              </ns0:rPr>
            </ns0:r>
          </ns0:p>
        </ns0:tc>
        <ns0:tc>
          <ns0:p>
            <ns0:pPr>
              <ns0:pStyle ns0:val="Compact"/>
              <ns0:jc ns0:val="left"/>
            </ns0:pPr>
            <ns0:r>
              <ns0:t xml:space="preserve">0.440 [0.357, 0.520]</ns0:t>
              <ns0:rPr>
                <ns0:sz ns0:val="18"/>
              </ns0:rPr>
            </ns0:r>
          </ns0:p>
        </ns0:tc>
        <ns0:tc>
          <ns0:p>
            <ns0:pPr>
              <ns0:pStyle ns0:val="Compact"/>
              <ns0:jc ns0:val="left"/>
            </ns0:pPr>
            <ns0:r>
              <ns0:t xml:space="preserve">0.235 [0.164, 0.345]</ns0:t>
              <ns0:rPr>
                <ns0:sz ns0:val="18"/>
              </ns0:rPr>
            </ns0:r>
          </ns0:p>
        </ns0:tc>
        <ns0:tc>
          <ns0:p>
            <ns0:pPr>
              <ns0:pStyle ns0:val="Compact"/>
              <ns0:jc ns0:val="left"/>
            </ns0:pPr>
            <ns0:r>
              <ns0:t xml:space="preserve">1.428 [1.213, 1.644]</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0.221 [0.188, 0.268]</ns0:t>
              <ns0:rPr>
                <ns0:sz ns0:val="18"/>
              </ns0:rPr>
            </ns0:r>
          </ns0:p>
        </ns0:tc>
        <ns0:tc>
          <ns0:p>
            <ns0:pPr>
              <ns0:pStyle ns0:val="Compact"/>
              <ns0:jc ns0:val="left"/>
            </ns0:pPr>
            <ns0:r>
              <ns0:t xml:space="preserve">0.154 [0.121, 0.190]</ns0:t>
              <ns0:rPr>
                <ns0:sz ns0:val="18"/>
              </ns0:rPr>
            </ns0:r>
          </ns0:p>
        </ns0:tc>
        <ns0:tc>
          <ns0:p>
            <ns0:pPr>
              <ns0:pStyle ns0:val="Compact"/>
              <ns0:jc ns0:val="left"/>
            </ns0:pPr>
            <ns0:r>
              <ns0:t xml:space="preserve">0.060 [0.044, 0.079]</ns0:t>
              <ns0:rPr>
                <ns0:sz ns0:val="18"/>
              </ns0:rPr>
            </ns0:r>
          </ns0:p>
        </ns0:tc>
        <ns0:tc>
          <ns0:p>
            <ns0:pPr>
              <ns0:pStyle ns0:val="Compact"/>
              <ns0:jc ns0:val="left"/>
            </ns0:pPr>
            <ns0:r>
              <ns0:t xml:space="preserve">0.077 [0.063, 0.092]</ns0:t>
              <ns0:rPr>
                <ns0:sz ns0:val="18"/>
              </ns0:rPr>
            </ns0:r>
          </ns0:p>
        </ns0:tc>
        <ns0:tc>
          <ns0:p>
            <ns0:pPr>
              <ns0:pStyle ns0:val="Compact"/>
              <ns0:jc ns0:val="left"/>
            </ns0:pPr>
            <ns0:r>
              <ns0:t xml:space="preserve">0.105 [0.073, 0.144]</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0.724 [0.649, 0.812]</ns0:t>
              <ns0:rPr>
                <ns0:sz ns0:val="18"/>
              </ns0:rPr>
            </ns0:r>
          </ns0:p>
        </ns0:tc>
        <ns0:tc>
          <ns0:p>
            <ns0:pPr>
              <ns0:pStyle ns0:val="Compact"/>
              <ns0:jc ns0:val="left"/>
            </ns0:pPr>
            <ns0:r>
              <ns0:t xml:space="preserve">0.255 [0.204, 0.328]</ns0:t>
              <ns0:rPr>
                <ns0:sz ns0:val="18"/>
              </ns0:rPr>
            </ns0:r>
          </ns0:p>
        </ns0:tc>
        <ns0:tc>
          <ns0:p>
            <ns0:pPr>
              <ns0:pStyle ns0:val="Compact"/>
              <ns0:jc ns0:val="left"/>
            </ns0:pPr>
            <ns0:r>
              <ns0:t xml:space="preserve">0.176 [0.099, 0.262]</ns0:t>
              <ns0:rPr>
                <ns0:sz ns0:val="18"/>
              </ns0:rPr>
            </ns0:r>
          </ns0:p>
        </ns0:tc>
        <ns0:tc>
          <ns0:p>
            <ns0:pPr>
              <ns0:pStyle ns0:val="Compact"/>
              <ns0:jc ns0:val="left"/>
            </ns0:pPr>
            <ns0:r>
              <ns0:t xml:space="preserve">0.134 [0.115, 0.154]</ns0:t>
              <ns0:rPr>
                <ns0:sz ns0:val="18"/>
              </ns0:rPr>
            </ns0:r>
          </ns0:p>
        </ns0:tc>
        <ns0:tc>
          <ns0:p>
            <ns0:pPr>
              <ns0:pStyle ns0:val="Compact"/>
              <ns0:jc ns0:val="left"/>
            </ns0:pPr>
            <ns0:r>
              <ns0:t xml:space="preserve">0.075 [0.049, 0.118]</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0.844 [0.672, 1.057]</ns0:t>
              <ns0:rPr>
                <ns0:sz ns0:val="18"/>
              </ns0:rPr>
            </ns0:r>
          </ns0:p>
        </ns0:tc>
        <ns0:tc>
          <ns0:p>
            <ns0:pPr>
              <ns0:pStyle ns0:val="Compact"/>
              <ns0:jc ns0:val="left"/>
            </ns0:pPr>
            <ns0:r>
              <ns0:t xml:space="preserve">0.574 [0.448, 0.707]</ns0:t>
              <ns0:rPr>
                <ns0:sz ns0:val="18"/>
              </ns0:rPr>
            </ns0:r>
          </ns0:p>
        </ns0:tc>
        <ns0:tc>
          <ns0:p>
            <ns0:pPr>
              <ns0:pStyle ns0:val="Compact"/>
              <ns0:jc ns0:val="left"/>
            </ns0:pPr>
            <ns0:r>
              <ns0:t xml:space="preserve">0.372 [0.260, 0.515]</ns0:t>
              <ns0:rPr>
                <ns0:sz ns0:val="18"/>
              </ns0:rPr>
            </ns0:r>
          </ns0:p>
        </ns0:tc>
        <ns0:tc>
          <ns0:p>
            <ns0:pPr>
              <ns0:pStyle ns0:val="Compact"/>
              <ns0:jc ns0:val="left"/>
            </ns0:pPr>
            <ns0:r>
              <ns0:t xml:space="preserve">0.092 [0.069, 0.115]</ns0:t>
              <ns0:rPr>
                <ns0:sz ns0:val="18"/>
              </ns0:rPr>
            </ns0:r>
          </ns0:p>
        </ns0:tc>
        <ns0:tc>
          <ns0:p>
            <ns0:pPr>
              <ns0:pStyle ns0:val="Compact"/>
              <ns0:jc ns0:val="left"/>
            </ns0:pPr>
            <ns0:r>
              <ns0:t xml:space="preserve">0.387 [0.326, 0.477]</ns0:t>
              <ns0:rPr>
                <ns0:sz ns0:val="18"/>
              </ns0:rPr>
            </ns0:r>
          </ns0:p>
        </ns0:tc>
      </ns0:tr>
    </ns0:tbl>
    <ns0:bookmarkEnd ns0:id="36"/>
    <ns0:p>
      <ns0:pPr>
        <ns0:pStyle ns0:val="BodyText"/>
      </ns0:pPr>
      <ns0:r>
        <ns0:drawing>
          <ns2:inline>
            <ns2:extent cx="5334000" cy="3782695"/>
            <ns2:effectExtent b="0" l="0" r="0" t="0"/>
            <ns2:docPr descr="image" title="" id="1" name="Picture"/>
            <ns3:graphic>
              <ns3:graphicData uri="http://schemas.openxmlformats.org/drawingml/2006/picture">
                <ns4:pic>
                  <ns4:nvPicPr>
                    <ns4:cNvPr descr="/tmp/janat_docx_9v1cyq4_/Fig2_primary_load_profiles.png" id="0" name="Picture"/>
                    <ns4:cNvPicPr>
                      <ns3:picLocks noChangeArrowheads="1" noChangeAspect="1"/>
                    </ns4:cNvPicPr>
                  </ns4:nvPicPr>
                  <ns4:blipFill>
                    <ns3:blip ns5:embed="rId37"/>
                    <ns3:stretch>
                      <ns3:fillRect/>
                    </ns3:stretch>
                  </ns4:blipFill>
                  <ns4:spPr bwMode="auto">
                    <ns3:xfrm>
                      <ns3:off x="0" y="0"/>
                      <ns3:ext cx="5334000" cy="3782695"/>
                    </ns3:xfrm>
                    <ns3:prstGeom prst="rect">
                      <ns3:avLst/>
                    </ns3:prstGeom>
                    <ns3:noFill/>
                    <ns3:ln w="9525">
                      <ns3:noFill/>
                      <ns3:headEnd/>
                      <ns3:tailEnd/>
                    </ns3:ln>
                  </ns4:spPr>
                </ns4:pic>
              </ns3:graphicData>
            </ns3:graphic>
          </ns2:inline>
        </ns0:drawing>
      </ns0:r>
    </ns0:p>
    <ns0:p>
      <ns0:pPr>
        <ns0:pStyle ns0:val="BodyText"/>
      </ns0:pPr>
      <ns0:r>
        <ns0:t xml:space="preserve">Figure 3.</ns0:t>
      </ns0:r>
      <ns0:r>
        <ns0:t xml:space="preserve"> </ns0:t>
      </ns0:r>
      <ns0:r>
        <ns0:rPr>
          <ns0:bCs/>
          <ns0:b/>
        </ns0:rPr>
        <ns0:t xml:space="preserve">Load-dependent motion and asymmetry.</ns0:t>
      </ns0:r>
      <ns0:r>
        <ns0:t xml:space="preserve"> </ns0:t>
      </ns0:r>
      <ns0:r>
        <ns0:t xml:space="preserve">Rotation-triplet norm, relative translation norm, absolute ML rotation and bilateral translation-magnitude asymmetry. Points are subjects; boxplots summarize each sex separately using medians and IQRs, with whiskers at 1.5 IQR. The numerical summaries in the text and Table 3 pool both sexes. Female and male groups use vermilion and blue. Jitter is deterministic. No signed nutation direction is inferred.</ns0:t>
      </ns0:r>
      <ns0:r>
        <ns0:t xml:space="preserve"> </ns0:t>
      </ns0:r>
      <ns0:bookmarkStart ns0:id="38" ns0:name="fig:loadprofiles"/>
      <ns0:r>
        <ns0:t xml:space="preserve">[fig:loadprofiles]</ns0:t>
      </ns0:r>
      <ns0:bookmarkEnd ns0:id="38"/>
    </ns0:p>
    <ns0:bookmarkEnd ns0:id="39"/>
    <ns0:bookmarkStart ns0:id="42" ns0:name="X6a30b579c157c0c1a540ffe79831406fee955bc"/>
    <ns0:p>
      <ns0:pPr>
        <ns0:pStyle ns0:val="Heading2"/>
      </ns0:pPr>
      <ns0:r>
        <ns0:t xml:space="preserve">3.2. Load application site selects distinct motion components</ns0:t>
      </ns0:r>
    </ns0:p>
    <ns0:p>
      <ns0:pPr>
        <ns0:pStyle ns0:val="FirstParagraph"/>
      </ns0:pPr>
      <ns0:r>
        <ns0:t xml:space="preserve">The localized force pairs separated the response into distinct component patterns (Fig. 4). Both transverse pairs reduced the absolute CC component relative to bilateral support, but the ML component increased only under LAB2: its paired median contrast was +0.052 mm (95% CI +0.047 to +0.061,</ns0:t>
      </ns0:r>
      <ns0:r>
        <ns0:t xml:space="preserve"> </ns0:t>
      </ns0:r>
      <ns1:oMath>
        <ns1:r>
          <ns1:t>q</ns1:t>
        </ns1:r>
        <ns1:r>
          <ns1:rPr>
            <ns1:sty ns1:val="p"/>
          </ns1:rPr>
          <ns1:t>&lt;</ns1:t>
        </ns1:r>
        <ns1:r>
          <ns1:t>0.001</ns1:t>
        </ns1:r>
      </ns1:oMath>
      <ns0:r>
        <ns0:t xml:space="preserve">), compared with</ns0:t>
      </ns0:r>
      <ns0:r>
        <ns0:t xml:space="preserve"> </ns0:t>
      </ns0:r>
      <ns1:oMath>
        <ns1:r>
          <ns1:rPr>
            <ns1:sty ns1:val="p"/>
          </ns1:rPr>
          <ns1:t>−</ns1:t>
        </ns1:r>
        <ns1:r>
          <ns1:t>0.007</ns1:t>
        </ns1:r>
      </ns1:oMath>
      <ns0:r>
        <ns0:t xml:space="preserve"> mm for LAB1 (95% CI</ns0:t>
      </ns0:r>
      <ns0:r>
        <ns0:t xml:space="preserve"> </ns0:t>
      </ns0:r>
      <ns1:oMath>
        <ns1:r>
          <ns1:rPr>
            <ns1:sty ns1:val="p"/>
          </ns1:rPr>
          <ns1:t>−</ns1:t>
        </ns1:r>
        <ns1:r>
          <ns1:t>0.018</ns1:t>
        </ns1:r>
      </ns1:oMath>
      <ns0:r>
        <ns0:t xml:space="preserve"> </ns0:t>
      </ns0:r>
      <ns0:r>
        <ns0:t xml:space="preserve">to +0.002,</ns0:t>
      </ns0:r>
      <ns0:r>
        <ns0:t xml:space="preserve"> </ns0:t>
      </ns0:r>
      <ns1:oMath>
        <ns1:r>
          <ns1:t>q</ns1:t>
        </ns1:r>
        <ns1:r>
          <ns1:rPr>
            <ns1:sty ns1:val="p"/>
          </ns1:rPr>
          <ns1:t>=</ns1:t>
        </ns1:r>
        <ns1:r>
          <ns1:t>0.254</ns1:t>
        </ns1:r>
      </ns1:oMath>
      <ns0:r>
        <ns0:t xml:space="preserve">). Both also reduced the AP component. LAB3 increased the ML and AP components while reducing the CC component. The shared transverse-redistribution prediction was therefore only partly supported. Supplementary Table S1 gives all paired contrasts and adjusted probabilities. Component magnitudes quantify motion along the reporting axes; the arrows connect componentwise median contrasts and are not physical trajectories.</ns0:t>
      </ns0:r>
    </ns0:p>
    <ns0:p>
      <ns0:pPr>
        <ns0:pStyle ns0:val="BodyText"/>
      </ns0:pPr>
      <ns0:r>
        <ns0:drawing>
          <ns2:inline>
            <ns2:extent cx="5334000" cy="2226945"/>
            <ns2:effectExtent b="0" l="0" r="0" t="0"/>
            <ns2:docPr descr="image" title="" id="1" name="Picture"/>
            <ns3:graphic>
              <ns3:graphicData uri="http://schemas.openxmlformats.org/drawingml/2006/picture">
                <ns4:pic>
                  <ns4:nvPicPr>
                    <ns4:cNvPr descr="/tmp/janat_docx_9v1cyq4_/Fig3_directional_rerouting.png" id="0" name="Picture"/>
                    <ns4:cNvPicPr>
                      <ns3:picLocks noChangeArrowheads="1" noChangeAspect="1"/>
                    </ns4:cNvPicPr>
                  </ns4:nvPicPr>
                  <ns4:blipFill>
                    <ns3:blip ns5:embed="rId40"/>
                    <ns3:stretch>
                      <ns3:fillRect/>
                    </ns3:stretch>
                  </ns4:blipFill>
                  <ns4:spPr bwMode="auto">
                    <ns3:xfrm>
                      <ns3:off x="0" y="0"/>
                      <ns3:ext cx="5334000" cy="2226945"/>
                    </ns3:xfrm>
                    <ns3:prstGeom prst="rect">
                      <ns3:avLst/>
                    </ns3:prstGeom>
                    <ns3:noFill/>
                    <ns3:ln w="9525">
                      <ns3:noFill/>
                      <ns3:headEnd/>
                      <ns3:tailEnd/>
                    </ns3:ln>
                  </ns4:spPr>
                </ns4:pic>
              </ns3:graphicData>
            </ns3:graphic>
          </ns2:inline>
        </ns0:drawing>
      </ns0:r>
    </ns0:p>
    <ns0:p>
      <ns0:pPr>
        <ns0:pStyle ns0:val="BodyText"/>
      </ns0:pPr>
      <ns0:r>
        <ns0:t xml:space="preserve">Figure 4.</ns0:t>
      </ns0:r>
      <ns0:r>
        <ns0:t xml:space="preserve"> </ns0:t>
      </ns0:r>
      <ns0:r>
        <ns0:rPr>
          <ns0:bCs/>
          <ns0:b/>
        </ns0:rPr>
        <ns0:t xml:space="preserve">Paired absolute-component contrasts.</ns0:t>
      </ns0:r>
      <ns0:r>
        <ns0:t xml:space="preserve"> </ns0:t>
      </ns0:r>
      <ns0:r>
        <ns0:t xml:space="preserve">(A) Median within-subject differences from SP2leg, with bootstrap 95% CIs. (B) Individual ML/CC contrast pairs and arrows to their componentwise medians. Positive values mean larger component magnitude, not outward joint motion. Corrected</ns0:t>
      </ns0:r>
      <ns0:r>
        <ns0:t xml:space="preserve"> </ns0:t>
      </ns0:r>
      <ns1:oMath>
        <ns1:r>
          <ns1:t>q</ns1:t>
        </ns1:r>
      </ns1:oMath>
      <ns0:r>
        <ns0:t xml:space="preserve"> </ns0:t>
      </ns0:r>
      <ns0:r>
        <ns0:t xml:space="preserve">values are reported in Supplementary Table S1; intervals are pointwise, not simultaneous.</ns0:t>
      </ns0:r>
      <ns0:r>
        <ns0:t xml:space="preserve"> </ns0:t>
      </ns0:r>
      <ns0:bookmarkStart ns0:id="41" ns0:name="fig:directional"/>
      <ns0:r>
        <ns0:t xml:space="preserve">[fig:directional]</ns0:t>
      </ns0:r>
      <ns0:bookmarkEnd ns0:id="41"/>
    </ns0:p>
    <ns0:bookmarkEnd ns0:id="42"/>
    <ns0:bookmarkStart ns0:id="45" ns0:name="X8808ce64cb618634f81a4c68b38695f3e6d8a7a"/>
    <ns0:p>
      <ns0:pPr>
        <ns0:pStyle ns0:val="Heading2"/>
      </ns0:pPr>
      <ns0:r>
        <ns0:t xml:space="preserve">3.3. Selected morphometric adjustment attenuates sex-associated translation differences</ns0:t>
      </ns0:r>
    </ns0:p>
    <ns0:p>
      <ns0:pPr>
        <ns0:pStyle ns0:val="FirstParagraph"/>
      </ns0:pPr>
      <ns0:r>
        <ns0:t xml:space="preserve">Adjustment for pelvic volume and the selected morphometric triad substantially attenuated the age-adjusted sex contrast under all three localized loads (Fig. 5). LAB1 female-minus-male translation coefficients were</ns0:t>
      </ns0:r>
      <ns0:r>
        <ns0:t xml:space="preserve"> </ns0:t>
      </ns0:r>
      <ns1:oMath>
        <ns1:r>
          <ns1:rPr>
            <ns1:sty ns1:val="p"/>
          </ns1:rPr>
          <ns1:t>+</ns1:t>
        </ns1:r>
        <ns1:r>
          <ns1:t>0.055</ns1:t>
        </ns1:r>
      </ns1:oMath>
      <ns0:r>
        <ns0:t xml:space="preserve">,</ns0:t>
      </ns0:r>
      <ns0:r>
        <ns0:t xml:space="preserve"> </ns0:t>
      </ns0:r>
      <ns1:oMath>
        <ns1:r>
          <ns1:rPr>
            <ns1:sty ns1:val="p"/>
          </ns1:rPr>
          <ns1:t>+</ns1:t>
        </ns1:r>
        <ns1:r>
          <ns1:t>0.040</ns1:t>
        </ns1:r>
      </ns1:oMath>
      <ns0:r>
        <ns0:t xml:space="preserve"> </ns0:t>
      </ns0:r>
      <ns0:r>
        <ns0:t xml:space="preserve">and</ns0:t>
      </ns0:r>
      <ns0:r>
        <ns0:t xml:space="preserve"> </ns0:t>
      </ns0:r>
      <ns1:oMath>
        <ns1:r>
          <ns1:rPr>
            <ns1:sty ns1:val="p"/>
          </ns1:rPr>
          <ns1:t>+</ns1:t>
        </ns1:r>
        <ns1:r>
          <ns1:t>0.013</ns1:t>
        </ns1:r>
      </ns1:oMath>
      <ns0:r>
        <ns0:t xml:space="preserve"> mm in M0, M1 and M2. The M2 interval was -0.005 to +0.031 mm (</ns0:t>
      </ns0:r>
      <ns1:oMath>
        <ns1:r>
          <ns1:t>p</ns1:t>
        </ns1:r>
        <ns1:r>
          <ns1:rPr>
            <ns1:sty ns1:val="p"/>
          </ns1:rPr>
          <ns1:t>=</ns1:t>
        </ns1:r>
        <ns1:r>
          <ns1:t>0.166</ns1:t>
        </ns1:r>
      </ns1:oMath>
      <ns0:r>
        <ns0:t xml:space="preserve">,</ns0:t>
      </ns0:r>
      <ns0:r>
        <ns0:t xml:space="preserve"> </ns0:t>
      </ns0:r>
      <ns1:oMath>
        <ns1:r>
          <ns1:t>q</ns1:t>
        </ns1:r>
        <ns1:r>
          <ns1:rPr>
            <ns1:sty ns1:val="p"/>
          </ns1:rPr>
          <ns1:t>=</ns1:t>
        </ns1:r>
        <ns1:r>
          <ns1:t>0.566</ns1:t>
        </ns1:r>
      </ns1:oMath>
      <ns0:r>
        <ns0:t xml:space="preserve">). LAB2 female-minus-male translation coefficients were</ns0:t>
      </ns0:r>
      <ns0:r>
        <ns0:t xml:space="preserve"> </ns0:t>
      </ns0:r>
      <ns1:oMath>
        <ns1:r>
          <ns1:rPr>
            <ns1:sty ns1:val="p"/>
          </ns1:rPr>
          <ns1:t>+</ns1:t>
        </ns1:r>
        <ns1:r>
          <ns1:t>0.071</ns1:t>
        </ns1:r>
      </ns1:oMath>
      <ns0:r>
        <ns0:t xml:space="preserve">,</ns0:t>
      </ns0:r>
      <ns0:r>
        <ns0:t xml:space="preserve"> </ns0:t>
      </ns0:r>
      <ns1:oMath>
        <ns1:r>
          <ns1:rPr>
            <ns1:sty ns1:val="p"/>
          </ns1:rPr>
          <ns1:t>+</ns1:t>
        </ns1:r>
        <ns1:r>
          <ns1:t>0.041</ns1:t>
        </ns1:r>
      </ns1:oMath>
      <ns0:r>
        <ns0:t xml:space="preserve"> </ns0:t>
      </ns0:r>
      <ns0:r>
        <ns0:t xml:space="preserve">and</ns0:t>
      </ns0:r>
      <ns0:r>
        <ns0:t xml:space="preserve"> </ns0:t>
      </ns0:r>
      <ns1:oMath>
        <ns1:r>
          <ns1:rPr>
            <ns1:sty ns1:val="p"/>
          </ns1:rPr>
          <ns1:t>−</ns1:t>
        </ns1:r>
        <ns1:r>
          <ns1:t>0.031</ns1:t>
        </ns1:r>
      </ns1:oMath>
      <ns0:r>
        <ns0:t xml:space="preserve"> mm in M0, M1 and M2. The M2 interval was -0.078 to +0.016 mm (</ns0:t>
      </ns0:r>
      <ns1:oMath>
        <ns1:r>
          <ns1:t>p</ns1:t>
        </ns1:r>
        <ns1:r>
          <ns1:rPr>
            <ns1:sty ns1:val="p"/>
          </ns1:rPr>
          <ns1:t>=</ns1:t>
        </ns1:r>
        <ns1:r>
          <ns1:t>0.192</ns1:t>
        </ns1:r>
      </ns1:oMath>
      <ns0:r>
        <ns0:t xml:space="preserve">,</ns0:t>
      </ns0:r>
      <ns0:r>
        <ns0:t xml:space="preserve"> </ns0:t>
      </ns0:r>
      <ns1:oMath>
        <ns1:r>
          <ns1:t>q</ns1:t>
        </ns1:r>
        <ns1:r>
          <ns1:rPr>
            <ns1:sty ns1:val="p"/>
          </ns1:rPr>
          <ns1:t>=</ns1:t>
        </ns1:r>
        <ns1:r>
          <ns1:t>0.566</ns1:t>
        </ns1:r>
      </ns1:oMath>
      <ns0:r>
        <ns0:t xml:space="preserve">). LAB3 female-minus-male translation coefficients were</ns0:t>
      </ns0:r>
      <ns0:r>
        <ns0:t xml:space="preserve"> </ns0:t>
      </ns0:r>
      <ns1:oMath>
        <ns1:r>
          <ns1:rPr>
            <ns1:sty ns1:val="p"/>
          </ns1:rPr>
          <ns1:t>+</ns1:t>
        </ns1:r>
        <ns1:r>
          <ns1:t>0.258</ns1:t>
        </ns1:r>
      </ns1:oMath>
      <ns0:r>
        <ns0:t xml:space="preserve">,</ns0:t>
      </ns0:r>
      <ns0:r>
        <ns0:t xml:space="preserve"> </ns0:t>
      </ns0:r>
      <ns1:oMath>
        <ns1:r>
          <ns1:rPr>
            <ns1:sty ns1:val="p"/>
          </ns1:rPr>
          <ns1:t>+</ns1:t>
        </ns1:r>
        <ns1:r>
          <ns1:t>0.212</ns1:t>
        </ns1:r>
      </ns1:oMath>
      <ns0:r>
        <ns0:t xml:space="preserve"> </ns0:t>
      </ns0:r>
      <ns0:r>
        <ns0:t xml:space="preserve">and</ns0:t>
      </ns0:r>
      <ns0:r>
        <ns0:t xml:space="preserve"> </ns0:t>
      </ns0:r>
      <ns1:oMath>
        <ns1:r>
          <ns1:rPr>
            <ns1:sty ns1:val="p"/>
          </ns1:rPr>
          <ns1:t>+</ns1:t>
        </ns1:r>
        <ns1:r>
          <ns1:t>0.002</ns1:t>
        </ns1:r>
      </ns1:oMath>
      <ns0:r>
        <ns0:t xml:space="preserve"> mm in M0, M1 and M2. The M2 interval was -0.060 to +0.064 mm (</ns0:t>
      </ns0:r>
      <ns1:oMath>
        <ns1:r>
          <ns1:t>p</ns1:t>
        </ns1:r>
        <ns1:r>
          <ns1:rPr>
            <ns1:sty ns1:val="p"/>
          </ns1:rPr>
          <ns1:t>=</ns1:t>
        </ns1:r>
        <ns1:r>
          <ns1:t>0.950</ns1:t>
        </ns1:r>
      </ns1:oMath>
      <ns0:r>
        <ns0:t xml:space="preserve">,</ns0:t>
      </ns0:r>
      <ns0:r>
        <ns0:t xml:space="preserve"> </ns0:t>
      </ns0:r>
      <ns1:oMath>
        <ns1:r>
          <ns1:t>q</ns1:t>
        </ns1:r>
        <ns1:r>
          <ns1:rPr>
            <ns1:sty ns1:val="p"/>
          </ns1:rPr>
          <ns1:t>=</ns1:t>
        </ns1:r>
        <ns1:r>
          <ns1:t>0.950</ns1:t>
        </ns1:r>
      </ns1:oMath>
      <ns0:r>
        <ns0:t xml:space="preserve">). All three fully adjusted translation intervals spanned zero. The maximum non-intercept VIF in M2 was 5.55. Fully adjusted rotation intervals also spanned zero under all three loads (Supplementary Table S3).</ns0:t>
      </ns0:r>
      <ns0:r>
        <ns0:t xml:space="preserve"> </ns0:t>
      </ns0:r>
      <ns0:r>
        <ns0:t xml:space="preserve">The exploratory subpubic-angle comparison distinguished the pooled association from those within sex groups. For LAB1, the pooled Spearman correlation between subpubic angle and translation magnitude was</ns0:t>
      </ns0:r>
      <ns0:r>
        <ns0:t xml:space="preserve"> </ns0:t>
      </ns0:r>
      <ns1:oMath>
        <ns1:sSub>
          <ns1:e>
            <ns1:r>
              <ns1:t>r</ns1:t>
            </ns1:r>
          </ns1:e>
          <ns1:sub>
            <ns1:r>
              <ns1:t>s</ns1:t>
            </ns1:r>
          </ns1:sub>
        </ns1:sSub>
        <ns1:r>
          <ns1:rPr>
            <ns1:sty ns1:val="p"/>
          </ns1:rPr>
          <ns1:t>=</ns1:t>
        </ns1:r>
        <ns1:r>
          <ns1:t>0.444</ns1:t>
        </ns1:r>
      </ns1:oMath>
      <ns0:r>
        <ns0:t xml:space="preserve"> </ns0:t>
      </ns0:r>
      <ns0:r>
        <ns0:t xml:space="preserve">(</ns0:t>
      </ns0:r>
      <ns1:oMath>
        <ns1:r>
          <ns1:t>p</ns1:t>
        </ns1:r>
        <ns1:r>
          <ns1:rPr>
            <ns1:sty ns1:val="p"/>
          </ns1:rPr>
          <ns1:t>&lt;</ns1:t>
        </ns1:r>
        <ns1:r>
          <ns1:t>0.001</ns1:t>
        </ns1:r>
      </ns1:oMath>
      <ns0:r>
        <ns0:t xml:space="preserve">). The male-only correlation was</ns0:t>
      </ns0:r>
      <ns0:r>
        <ns0:t xml:space="preserve"> </ns0:t>
      </ns0:r>
      <ns1:oMath>
        <ns1:sSub>
          <ns1:e>
            <ns1:r>
              <ns1:t>r</ns1:t>
            </ns1:r>
          </ns1:e>
          <ns1:sub>
            <ns1:r>
              <ns1:t>s</ns1:t>
            </ns1:r>
          </ns1:sub>
        </ns1:sSub>
        <ns1:r>
          <ns1:rPr>
            <ns1:sty ns1:val="p"/>
          </ns1:rPr>
          <ns1:t>=</ns1:t>
        </ns1:r>
        <ns1:r>
          <ns1:rPr>
            <ns1:sty ns1:val="p"/>
          </ns1:rPr>
          <ns1:t>−</ns1:t>
        </ns1:r>
        <ns1:r>
          <ns1:t>0.063</ns1:t>
        </ns1:r>
      </ns1:oMath>
      <ns0:r>
        <ns0:t xml:space="preserve"> </ns0:t>
      </ns0:r>
      <ns0:r>
        <ns0:t xml:space="preserve">(</ns0:t>
      </ns0:r>
      <ns1:oMath>
        <ns1:r>
          <ns1:t>p</ns1:t>
        </ns1:r>
        <ns1:r>
          <ns1:rPr>
            <ns1:sty ns1:val="p"/>
          </ns1:rPr>
          <ns1:t>=</ns1:t>
        </ns1:r>
        <ns1:r>
          <ns1:t>0.480</ns1:t>
        </ns1:r>
      </ns1:oMath>
      <ns0:r>
        <ns0:t xml:space="preserve">). The female-only correlation was</ns0:t>
      </ns0:r>
      <ns0:r>
        <ns0:t xml:space="preserve"> </ns0:t>
      </ns0:r>
      <ns1:oMath>
        <ns1:sSub>
          <ns1:e>
            <ns1:r>
              <ns1:t>r</ns1:t>
            </ns1:r>
          </ns1:e>
          <ns1:sub>
            <ns1:r>
              <ns1:t>s</ns1:t>
            </ns1:r>
          </ns1:sub>
        </ns1:sSub>
        <ns1:r>
          <ns1:rPr>
            <ns1:sty ns1:val="p"/>
          </ns1:rPr>
          <ns1:t>=</ns1:t>
        </ns1:r>
        <ns1:r>
          <ns1:rPr>
            <ns1:sty ns1:val="p"/>
          </ns1:rPr>
          <ns1:t>−</ns1:t>
        </ns1:r>
        <ns1:r>
          <ns1:t>0.145</ns1:t>
        </ns1:r>
      </ns1:oMath>
      <ns0:r>
        <ns0:t xml:space="preserve"> </ns0:t>
      </ns0:r>
      <ns0:r>
        <ns0:t xml:space="preserve">(</ns0:t>
      </ns0:r>
      <ns1:oMath>
        <ns1:r>
          <ns1:t>p</ns1:t>
        </ns1:r>
        <ns1:r>
          <ns1:rPr>
            <ns1:sty ns1:val="p"/>
          </ns1:rPr>
          <ns1:t>=</ns1:t>
        </ns1:r>
        <ns1:r>
          <ns1:t>0.077</ns1:t>
        </ns1:r>
      </ns1:oMath>
      <ns0:r>
        <ns0:t xml:space="preserve">). These exploratory correlations are uncorrected for multiplicity. Figure 5 and Supplementary Table S3 report M2 estimates for both outcomes.</ns0:t>
      </ns0:r>
    </ns0:p>
    <ns0:p>
      <ns0:pPr>
        <ns0:pStyle ns0:val="BodyText"/>
      </ns0:pPr>
      <ns0:r>
        <ns0:drawing>
          <ns2:inline>
            <ns2:extent cx="5334000" cy="3455987"/>
            <ns2:effectExtent b="0" l="0" r="0" t="0"/>
            <ns2:docPr descr="image" title="" id="1" name="Picture"/>
            <ns3:graphic>
              <ns3:graphicData uri="http://schemas.openxmlformats.org/drawingml/2006/picture">
                <ns4:pic>
                  <ns4:nvPicPr>
                    <ns4:cNvPr descr="/tmp/janat_docx_9v1cyq4_/Fig4_sex_effects_lab.png" id="0" name="Picture"/>
                    <ns4:cNvPicPr>
                      <ns3:picLocks noChangeArrowheads="1" noChangeAspect="1"/>
                    </ns4:cNvPicPr>
                  </ns4:nvPicPr>
                  <ns4:blipFill>
                    <ns3:blip ns5:embed="rId43"/>
                    <ns3:stretch>
                      <ns3:fillRect/>
                    </ns3:stretch>
                  </ns4:blipFill>
                  <ns4:spPr bwMode="auto">
                    <ns3:xfrm>
                      <ns3:off x="0" y="0"/>
                      <ns3:ext cx="5334000" cy="3455987"/>
                    </ns3:xfrm>
                    <ns3:prstGeom prst="rect">
                      <ns3:avLst/>
                    </ns3:prstGeom>
                    <ns3:noFill/>
                    <ns3:ln w="9525">
                      <ns3:noFill/>
                      <ns3:headEnd/>
                      <ns3:tailEnd/>
                    </ns3:ln>
                  </ns4:spPr>
                </ns4:pic>
              </ns3:graphicData>
            </ns3:graphic>
          </ns2:inline>
        </ns0:drawing>
      </ns0:r>
    </ns0:p>
    <ns0:p>
      <ns0:pPr>
        <ns0:pStyle ns0:val="BodyText"/>
      </ns0:pPr>
      <ns0:r>
        <ns0:t xml:space="preserve">Figure 5.</ns0:t>
      </ns0:r>
      <ns0:r>
        <ns0:t xml:space="preserve"> </ns0:t>
      </ns0:r>
      <ns0:r>
        <ns0:rPr>
          <ns0:bCs/>
          <ns0:b/>
        </ns0:rPr>
        <ns0:t xml:space="preserve">Adjustment for volume and selected dimensions attenuates sex-associated translation differences.</ns0:t>
      </ns0:r>
      <ns0:r>
        <ns0:t xml:space="preserve"> </ns0:t>
      </ns0:r>
      <ns0:r>
        <ns0:t xml:space="preserve">(A,B) M2 female-minus-male coefficients with HC3 95% CIs, shown on separate translation and rotation axes. Labels give BH-adjusted</ns0:t>
      </ns0:r>
      <ns0:r>
        <ns0:t xml:space="preserve"> </ns0:t>
      </ns0:r>
      <ns1:oMath>
        <ns1:r>
          <ns1:t>q</ns1:t>
        </ns1:r>
      </ns1:oMath>
      <ns0:r>
        <ns0:t xml:space="preserve"> </ns0:t>
      </ns0:r>
      <ns0:r>
        <ns0:t xml:space="preserve">values across six tests. (C) Translation coefficients attenuate as pelvic volume and the selected triad enter the model; connecting lines compare specifications and are not causal pathways. (D) The positive pooled LAB1 subpubic-angle association is not reproduced within either sex. All M2 intervals span zero; this does not establish equivalence. M0 adjusts for age, M1 adds volume, and M2 adds the morphometric triad.</ns0:t>
      </ns0:r>
      <ns0:r>
        <ns0:t xml:space="preserve"> </ns0:t>
      </ns0:r>
      <ns0:bookmarkStart ns0:id="44" ns0:name="fig:sexeffects"/>
      <ns0:r>
        <ns0:t xml:space="preserve">[fig:sexeffects]</ns0:t>
      </ns0:r>
      <ns0:bookmarkEnd ns0:id="44"/>
    </ns0:p>
    <ns0:bookmarkEnd ns0:id="45"/>
    <ns0:bookmarkStart ns0:id="48" ns0:name="Xc4b14b4d797b62934992b719317702f93687050"/>
    <ns0:p>
      <ns0:pPr>
        <ns0:pStyle ns0:val="Heading2"/>
      </ns0:pPr>
      <ns0:r>
        <ns0:t xml:space="preserve">3.4. Individual geometry preserves responses under standardized bone density</ns0:t>
      </ns0:r>
    </ns0:p>
    <ns0:p>
      <ns0:pPr>
        <ns0:pStyle ns0:val="FirstParagraph"/>
      </ns0:pPr>
      <ns0:r>
        <ns0:t xml:space="preserve">Preserving individual geometry while standardizing the bone-density field retained individual motion closely. Across loads, translation had a minimum geometry-preserved/full identity-line</ns0:t>
      </ns0:r>
      <ns0:r>
        <ns0:t xml:space="preserve"> </ns0:t>
      </ns0:r>
      <ns1:oMath>
        <ns1:sSup>
          <ns1:e>
            <ns1:r>
              <ns1:t>R</ns1:t>
            </ns1:r>
          </ns1:e>
          <ns1:sup>
            <ns1:r>
              <ns1:t>2</ns1:t>
            </ns1:r>
          </ns1:sup>
        </ns1:sSup>
      </ns1:oMath>
      <ns0:r>
        <ns0:t xml:space="preserve"> </ns0:t>
      </ns0:r>
      <ns0:r>
        <ns0:t xml:space="preserve">of 0.9457 and maximum RMSE of 0.0280 mm. For rotation, the corresponding values were 0.8777 and 0.0318 degrees. Across five loads and five endpoints, geometry-preserved/full variance ratios ranged from 96.43% to 120.61% (median 100.68%), compared with 0.014% to 5.789% (median 0.244%) for density-preserved/full ratios. These are model-variant comparisons, not an additive variance decomposition (Fig. 6; Supplementary Table S2).</ns0:t>
      </ns0:r>
    </ns0:p>
    <ns0:p>
      <ns0:pPr>
        <ns0:pStyle ns0:val="BodyText"/>
      </ns0:pPr>
      <ns0:r>
        <ns0:drawing>
          <ns2:inline>
            <ns2:extent cx="5334000" cy="2222500"/>
            <ns2:effectExtent b="0" l="0" r="0" t="0"/>
            <ns2:docPr descr="image" title="" id="1" name="Picture"/>
            <ns3:graphic>
              <ns3:graphicData uri="http://schemas.openxmlformats.org/drawingml/2006/picture">
                <ns4:pic>
                  <ns4:nvPicPr>
                    <ns4:cNvPr descr="/tmp/janat_docx_9v1cyq4_/Fig5_variance_channels.png" id="0" name="Picture"/>
                    <ns4:cNvPicPr>
                      <ns3:picLocks noChangeArrowheads="1" noChangeAspect="1"/>
                    </ns4:cNvPicPr>
                  </ns4:nvPicPr>
                  <ns4:blipFill>
                    <ns3:blip ns5:embed="rId46"/>
                    <ns3:stretch>
                      <ns3:fillRect/>
                    </ns3:stretch>
                  </ns4:blipFill>
                  <ns4:spPr bwMode="auto">
                    <ns3:xfrm>
                      <ns3:off x="0" y="0"/>
                      <ns3:ext cx="5334000" cy="2222500"/>
                    </ns3:xfrm>
                    <ns3:prstGeom prst="rect">
                      <ns3:avLst/>
                    </ns3:prstGeom>
                    <ns3:noFill/>
                    <ns3:ln w="9525">
                      <ns3:noFill/>
                      <ns3:headEnd/>
                      <ns3:tailEnd/>
                    </ns3:ln>
                  </ns4:spPr>
                </ns4:pic>
              </ns3:graphicData>
            </ns3:graphic>
          </ns2:inline>
        </ns0:drawing>
      </ns0:r>
    </ns0:p>
    <ns0:p>
      <ns0:pPr>
        <ns0:pStyle ns0:val="BodyText"/>
      </ns0:pPr>
      <ns0:r>
        <ns0:t xml:space="preserve">Figure 6.</ns0:t>
      </ns0:r>
      <ns0:r>
        <ns0:t xml:space="preserve"> </ns0:t>
      </ns0:r>
      <ns0:r>
        <ns0:rPr>
          <ns0:bCs/>
          <ns0:b/>
        </ns0:rPr>
        <ns0:t xml:space="preserve">Retaining individual geometry preserves between-subject variation.</ns0:t>
      </ns0:r>
      <ns0:r>
        <ns0:t xml:space="preserve"> </ns0:t>
      </ns0:r>
      <ns0:r>
        <ns0:t xml:space="preserve">(A) Geometry-preserved / standardized-density and (B) density-preserved / template-geometry sample variances, each divided by the full-model variance, in percent. Five endpoints are shown. Color scales differ between panels and follow their actual data ranges. Values above 100% are allowed. Subject-level agreement complements these variance summaries (translation RMSE</ns0:t>
      </ns0:r>
      <ns0:r>
        <ns0:t xml:space="preserve"> </ns0:t>
      </ns0:r>
      <ns1:oMath>
        <ns1:r>
          <ns1:rPr>
            <ns1:sty ns1:val="p"/>
          </ns1:rPr>
          <ns1:t>≤</ns1:t>
        </ns1:r>
        <ns1:r>
          <ns1:t>0.0280</ns1:t>
        </ns1:r>
      </ns1:oMath>
      <ns0:r>
        <ns0:t xml:space="preserve"> mm; minimum identity-line</ns0:t>
      </ns0:r>
      <ns0:r>
        <ns0:t xml:space="preserve"> </ns0:t>
      </ns0:r>
      <ns1:oMath>
        <ns1:sSup>
          <ns1:e>
            <ns1:r>
              <ns1:t>R</ns1:t>
            </ns1:r>
          </ns1:e>
          <ns1:sup>
            <ns1:r>
              <ns1:t>2</ns1:t>
            </ns1:r>
          </ns1:sup>
        </ns1:sSup>
        <ns1:r>
          <ns1:rPr>
            <ns1:sty ns1:val="p"/>
          </ns1:rPr>
          <ns1:t>=</ns1:t>
        </ns1:r>
        <ns1:r>
          <ns1:t>0.9457</ns1:t>
        </ns1:r>
      </ns1:oMath>
      <ns0:r>
        <ns0:t xml:space="preserve">). Bootstrap intervals and agreement diagnostics are provided in Supplementary Table S2; neither panel represents variance explained by an independent causal factor.</ns0:t>
      </ns0:r>
      <ns0:r>
        <ns0:t xml:space="preserve"> </ns0:t>
      </ns0:r>
      <ns0:bookmarkStart ns0:id="47" ns0:name="fig:variance"/>
      <ns0:r>
        <ns0:t xml:space="preserve">[fig:variance]</ns0:t>
      </ns0:r>
      <ns0:bookmarkEnd ns0:id="47"/>
    </ns0:p>
    <ns0:bookmarkEnd ns0:id="48"/>
    <ns0:bookmarkStart ns0:id="52" ns0:name="X18cd46e534df55ab407717698e98e86e798082c"/>
    <ns0:p>
      <ns0:pPr>
        <ns0:pStyle ns0:val="Heading2"/>
      </ns0:pPr>
      <ns0:r>
        <ns0:t xml:space="preserve">3.5. Conditional size–motion scaling across loading configurations</ns0:t>
      </ns0:r>
    </ns0:p>
    <ns0:p>
      <ns0:pPr>
        <ns0:pStyle ns0:val="FirstParagraph"/>
      </ns0:pPr>
      <ns0:r>
        <ns0:t xml:space="preserve">Pelvic volume showed a consistent inverse conditional association with motion in the retrospective scaling analysis: all 20 sex-specific slopes were negative and survived FDR correction. Slopes ranged from -1.062 to -0.366; the largest adjusted slope</ns0:t>
      </ns0:r>
      <ns0:r>
        <ns0:t xml:space="preserve"> </ns0:t>
      </ns0:r>
      <ns1:oMath>
        <ns1:r>
          <ns1:t>q</ns1:t>
        </ns1:r>
      </ns1:oMath>
      <ns0:r>
        <ns0:t xml:space="preserve"> </ns0:t>
      </ns0:r>
      <ns0:r>
        <ns0:t xml:space="preserve">was 0.002. These estimates describe mechanical response versus pelvic size under identical prescribed forces across subjects within each load configuration, conditional on the other model covariates.</ns0:t>
      </ns0:r>
    </ns0:p>
    <ns0:p>
      <ns0:pPr>
        <ns0:pStyle ns0:val="BodyText"/>
      </ns0:pPr>
      <ns0:r>
        <ns0:t xml:space="preserve">Slope magnitudes varied numerically across load cases (Fig. 7). SP2leg estimates lay numerically near the simple fixed-force dimensional reference values of</ns0:t>
      </ns0:r>
      <ns0:r>
        <ns0:t xml:space="preserve"> </ns0:t>
      </ns0:r>
      <ns1:oMath>
        <ns1:r>
          <ns1:rPr>
            <ns1:sty ns1:val="p"/>
          </ns1:rPr>
          <ns1:t>−</ns1:t>
        </ns1:r>
        <ns1:r>
          <ns1:t>1</ns1:t>
        </ns1:r>
        <ns1:r>
          <ns1:rPr>
            <ns1:sty ns1:val="p"/>
          </ns1:rPr>
          <ns1:t>/</ns1:t>
        </ns1:r>
        <ns1:r>
          <ns1:t>3</ns1:t>
        </ns1:r>
      </ns1:oMath>
      <ns0:r>
        <ns0:t xml:space="preserve"> </ns0:t>
      </ns0:r>
      <ns0:r>
        <ns0:t xml:space="preserve">for translation and</ns0:t>
      </ns0:r>
      <ns0:r>
        <ns0:t xml:space="preserve"> </ns0:t>
      </ns0:r>
      <ns1:oMath>
        <ns1:r>
          <ns1:rPr>
            <ns1:sty ns1:val="p"/>
          </ns1:rPr>
          <ns1:t>−</ns1:t>
        </ns1:r>
        <ns1:r>
          <ns1:t>2</ns1:t>
        </ns1:r>
        <ns1:r>
          <ns1:rPr>
            <ns1:sty ns1:val="p"/>
          </ns1:rPr>
          <ns1:t>/</ns1:t>
        </ns1:r>
        <ns1:r>
          <ns1:t>3</ns1:t>
        </ns1:r>
      </ns1:oMath>
      <ns0:r>
        <ns0:t xml:space="preserve"> </ns0:t>
      </ns0:r>
      <ns0:r>
        <ns0:t xml:space="preserve">for rotation; several localized-load estimates were numerically steeper. This comparison is descriptive: the fitted slopes condition on other pelvic dimensions, whereas the references describe uniform geometric scaling. Between-load slope comparisons are descriptive. Table 4 retains the full estimates, intervals and adjusted probabilities.</ns0:t>
      </ns0:r>
    </ns0:p>
    <ns0:p>
      <ns0:pPr>
        <ns0:pStyle ns0:val="BodyText"/>
      </ns0:pPr>
      <ns0:r>
        <ns0:t xml:space="preserve">Sex-by-volume interaction</ns0:t>
      </ns0:r>
      <ns0:r>
        <ns0:t xml:space="preserve"> </ns0:t>
      </ns0:r>
      <ns1:oMath>
        <ns1:r>
          <ns1:t>q</ns1:t>
        </ns1:r>
      </ns1:oMath>
      <ns0:r>
        <ns0:t xml:space="preserve"> </ns0:t>
      </ns0:r>
      <ns0:r>
        <ns0:t xml:space="preserve">values ranged from 0.343 to 0.699; nonsignificance does not establish identical conditional slopes. Pooled cluster-robust coefficients are reported in Supplementary Table S5.</ns0:t>
      </ns0:r>
    </ns0:p>
    <ns0:p>
      <ns0:pPr>
        <ns0:pStyle ns0:val="BodyText"/>
      </ns0:pPr>
      <ns0:r>
        <ns0:drawing>
          <ns2:inline>
            <ns2:extent cx="5334000" cy="2175827"/>
            <ns2:effectExtent b="0" l="0" r="0" t="0"/>
            <ns2:docPr descr="image" title="" id="1" name="Picture"/>
            <ns3:graphic>
              <ns3:graphicData uri="http://schemas.openxmlformats.org/drawingml/2006/picture">
                <ns4:pic>
                  <ns4:nvPicPr>
                    <ns4:cNvPr descr="/tmp/janat_docx_9v1cyq4_/Fig6_allometry_loglog.png" id="0" name="Picture"/>
                    <ns4:cNvPicPr>
                      <ns3:picLocks noChangeArrowheads="1" noChangeAspect="1"/>
                    </ns4:cNvPicPr>
                  </ns4:nvPicPr>
                  <ns4:blipFill>
                    <ns3:blip ns5:embed="rId49"/>
                    <ns3:stretch>
                      <ns3:fillRect/>
                    </ns3:stretch>
                  </ns4:blipFill>
                  <ns4:spPr bwMode="auto">
                    <ns3:xfrm>
                      <ns3:off x="0" y="0"/>
                      <ns3:ext cx="5334000" cy="2175827"/>
                    </ns3:xfrm>
                    <ns3:prstGeom prst="rect">
                      <ns3:avLst/>
                    </ns3:prstGeom>
                    <ns3:noFill/>
                    <ns3:ln w="9525">
                      <ns3:noFill/>
                      <ns3:headEnd/>
                      <ns3:tailEnd/>
                    </ns3:ln>
                  </ns4:spPr>
                </ns4:pic>
              </ns3:graphicData>
            </ns3:graphic>
          </ns2:inline>
        </ns0:drawing>
      </ns0:r>
    </ns0:p>
    <ns0:p>
      <ns0:pPr>
        <ns0:pStyle ns0:val="BodyText"/>
      </ns0:pPr>
      <ns0:r>
        <ns0:t xml:space="preserve">Figure 7.</ns0:t>
      </ns0:r>
      <ns0:r>
        <ns0:t xml:space="preserve"> </ns0:t>
      </ns0:r>
      <ns0:r>
        <ns0:rPr>
          <ns0:bCs/>
          <ns0:b/>
        </ns0:rPr>
        <ns0:t xml:space="preserve">Conditional log-volume slopes.</ns0:t>
      </ns0:r>
      <ns0:r>
        <ns0:t xml:space="preserve"> </ns0:t>
      </ns0:r>
      <ns0:r>
        <ns0:t xml:space="preserve">Male and female slopes with HC3 95% CIs from the same adjusted log–log models as Table 4. The dashed lines at</ns0:t>
      </ns0:r>
      <ns0:r>
        <ns0:t xml:space="preserve"> </ns0:t>
      </ns0:r>
      <ns1:oMath>
        <ns1:r>
          <ns1:t>b</ns1:t>
        </ns1:r>
        <ns1:r>
          <ns1:rPr>
            <ns1:sty ns1:val="p"/>
          </ns1:rPr>
          <ns1:t>=</ns1:t>
        </ns1:r>
        <ns1:r>
          <ns1:rPr>
            <ns1:sty ns1:val="p"/>
          </ns1:rPr>
          <ns1:t>−</ns1:t>
        </ns1:r>
        <ns1:r>
          <ns1:t>2</ns1:t>
        </ns1:r>
        <ns1:r>
          <ns1:rPr>
            <ns1:sty ns1:val="p"/>
          </ns1:rPr>
          <ns1:t>/</ns1:t>
        </ns1:r>
        <ns1:r>
          <ns1:t>3</ns1:t>
        </ns1:r>
      </ns1:oMath>
      <ns0:r>
        <ns0:t xml:space="preserve"> </ns0:t>
      </ns0:r>
      <ns0:r>
        <ns0:t xml:space="preserve">(rotation) and</ns0:t>
      </ns0:r>
      <ns0:r>
        <ns0:t xml:space="preserve"> </ns0:t>
      </ns0:r>
      <ns1:oMath>
        <ns1:r>
          <ns1:t>b</ns1:t>
        </ns1:r>
        <ns1:r>
          <ns1:rPr>
            <ns1:sty ns1:val="p"/>
          </ns1:rPr>
          <ns1:t>=</ns1:t>
        </ns1:r>
        <ns1:r>
          <ns1:rPr>
            <ns1:sty ns1:val="p"/>
          </ns1:rPr>
          <ns1:t>−</ns1:t>
        </ns1:r>
        <ns1:r>
          <ns1:t>1</ns1:t>
        </ns1:r>
        <ns1:r>
          <ns1:rPr>
            <ns1:sty ns1:val="p"/>
          </ns1:rPr>
          <ns1:t>/</ns1:t>
        </ns1:r>
        <ns1:r>
          <ns1:t>3</ns1:t>
        </ns1:r>
      </ns1:oMath>
      <ns0:r>
        <ns0:t xml:space="preserve"> </ns0:t>
      </ns0:r>
      <ns0:r>
        <ns0:t xml:space="preserve">(translation) are heuristic dimensional references for uniform scaling of geometrically similar linear-elastic structures under fixed force and modulus. They are not fitted values, null hypotheses, expected coefficients of the conditional regression or biological allometric exponents. The regression holds the selected morphometric dimensions fixed, so numerical proximity to these references is descriptive and does not validate geometric similarity or a scaling law. The zero line indicates no conditional association. Confidence intervals are pointwise; slope</ns0:t>
      </ns0:r>
      <ns0:r>
        <ns0:t xml:space="preserve"> </ns0:t>
      </ns0:r>
      <ns1:oMath>
        <ns1:r>
          <ns1:t>q</ns1:t>
        </ns1:r>
      </ns1:oMath>
      <ns0:r>
        <ns0:t xml:space="preserve"> </ns0:t>
      </ns0:r>
      <ns0:r>
        <ns0:t xml:space="preserve">values from the 20-test family are given in Table 4. Raw scatterplots and adjusted conditional geometric-mean curves are supplied as Supplementary Figure S1.</ns0:t>
      </ns0:r>
      <ns0:r>
        <ns0:t xml:space="preserve"> </ns0:t>
      </ns0:r>
      <ns0:bookmarkStart ns0:id="50" ns0:name="fig:allometry"/>
      <ns0:r>
        <ns0:t xml:space="preserve">[fig:allometry]</ns0:t>
      </ns0:r>
      <ns0:bookmarkEnd ns0:id="50"/>
    </ns0:p>
    <ns0:bookmarkStart ns0:id="51" ns0:name="tab:allometry"/>
    <ns0:p>
      <ns0:pPr>
        <ns0:pStyle ns0:val="TableCaption"/>
      </ns0:pPr>
      <ns0:r>
        <ns0:t xml:space="preserve">Table 4. Conditional log-volume slopes by load and sex. Slope</ns0:t>
      </ns0:r>
      <ns0:r>
        <ns0:t xml:space="preserve"> </ns0:t>
      </ns0:r>
      <ns1:oMath>
        <ns1:r>
          <ns1:t>q</ns1:t>
        </ns1:r>
      </ns1:oMath>
      <ns0:r>
        <ns0:t xml:space="preserve"> </ns0:t>
      </ns0:r>
      <ns0:r>
        <ns0:t xml:space="preserve">values use the 20-test family; interaction</ns0:t>
      </ns0:r>
      <ns0:r>
        <ns0:t xml:space="preserve"> </ns0:t>
      </ns0:r>
      <ns1:oMath>
        <ns1:r>
          <ns1:t>q</ns1:t>
        </ns1:r>
      </ns1:oMath>
      <ns0:r>
        <ns0:t xml:space="preserve"> </ns0:t>
      </ns0:r>
      <ns0:r>
        <ns0:t xml:space="preserve">values use a separate ten-test family.</ns0:t>
      </ns0:r>
    </ns0:p>
    <ns0:tbl>
      <ns0:tblPr>
        <ns0:tblStyle ns0:val="Table"/>
        <ns0:tblW ns0:type="pct" ns0:w="5000"/>
        <ns0:tblLook ns0:firstRow="1" ns0:lastRow="0" ns0:firstColumn="0" ns0:lastColumn="0" ns0:noHBand="0" ns0:noVBand="0" ns0:val="0020"/>
        <ns0:tblCaption ns0:val="Table 4. Conditional log-volume slopes by load and sex. Slope q values use the 20-test family; interaction q values use a separate ten-test family."/>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0:r>
              <ns0:t xml:space="preserve">Male slope [95% CI]</ns0:t>
              <ns0:rPr>
                <ns0:sz ns0:val="18"/>
              </ns0:rPr>
            </ns0:r>
          </ns0:p>
        </ns0:tc>
        <ns0:tc>
          <ns0:p>
            <ns0:pPr>
              <ns0:pStyle ns0:val="Compact"/>
              <ns0:jc ns0:val="left"/>
            </ns0:pPr>
            <ns0:r>
              <ns0:t xml:space="preserve">Male</ns0:t>
              <ns0:rPr>
                <ns0:sz ns0:val="18"/>
              </ns0:rPr>
            </ns0:r>
            <ns0:r>
              <ns0:t xml:space="preserve"> </ns0:t>
              <ns0:rPr>
                <ns0:sz ns0:val="18"/>
              </ns0:rPr>
            </ns0:r>
            <ns1:oMath>
              <ns1:r>
                <ns1:t>q</ns1:t>
              </ns1:r>
            </ns1:oMath>
          </ns0:p>
        </ns0:tc>
        <ns0:tc>
          <ns0:p>
            <ns0:pPr>
              <ns0:pStyle ns0:val="Compact"/>
              <ns0:jc ns0:val="left"/>
            </ns0:pPr>
            <ns0:r>
              <ns0:t xml:space="preserve">Female slope [95% CI]</ns0:t>
              <ns0:rPr>
                <ns0:sz ns0:val="18"/>
              </ns0:rPr>
            </ns0:r>
          </ns0:p>
        </ns0:tc>
        <ns0:tc>
          <ns0:p>
            <ns0:pPr>
              <ns0:pStyle ns0:val="Compact"/>
              <ns0:jc ns0:val="left"/>
            </ns0:pPr>
            <ns0:r>
              <ns0:t xml:space="preserve">Female</ns0:t>
              <ns0:rPr>
                <ns0:sz ns0:val="18"/>
              </ns0:rPr>
            </ns0:r>
            <ns0:r>
              <ns0:t xml:space="preserve"> </ns0:t>
              <ns0:rPr>
                <ns0:sz ns0:val="18"/>
              </ns0:rPr>
            </ns0:r>
            <ns1:oMath>
              <ns1:r>
                <ns1:t>q</ns1:t>
              </ns1:r>
            </ns1:oMath>
          </ns0:p>
        </ns0:tc>
        <ns0:tc>
          <ns0:p>
            <ns0:pPr>
              <ns0:pStyle ns0:val="Compact"/>
              <ns0:jc ns0:val="left"/>
            </ns0:pPr>
            <ns0:r>
              <ns0:t xml:space="preserve">Interaction</ns0:t>
              <ns0:rPr>
                <ns0:sz ns0:val="18"/>
              </ns0:rPr>
            </ns0:r>
            <ns0:r>
              <ns0:t xml:space="preserve"> </ns0:t>
              <ns0:rPr>
                <ns0:sz ns0:val="18"/>
              </ns0:rPr>
            </ns0:r>
            <ns1:oMath>
              <ns1:r>
                <ns1:t>q</ns1:t>
              </ns1:r>
            </ns1:oMath>
          </ns0:p>
        </ns0:tc>
      </ns0:tr>
      <ns0:tr>
        <ns0:tc>
          <ns0:p>
            <ns0:pPr>
              <ns0:pStyle ns0:val="Compact"/>
              <ns0:jc ns0:val="left"/>
            </ns0:pPr>
            <ns0:r>
              <ns0:t xml:space="preserve">SP2leg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-0.679 [-0.890, -0.469]</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-0.605 [-0.764, -0.446]</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0.699</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-0.366 [-0.531, -0.200]</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-0.402 [-0.522, -0.282]</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0.699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-0.622 [-0.895, -0.349]</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-0.550 [-0.760, -0.339]</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0.699</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-0.460 [-0.711, -0.208]</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-0.397 [-0.591, -0.203]</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0.699</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-0.916 [-1.144, -0.687]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-1.062 [-1.233, -0.891]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0.588</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-0.568 [-0.925, -0.210]</ns0:t>
              <ns0:rPr>
                <ns0:sz ns0:val="18"/>
              </ns0:rPr>
            </ns0:r>
          </ns0:p>
        </ns0:tc>
        <ns0:tc>
          <ns0:p>
            <ns0:pPr>
              <ns0:pStyle ns0:val="Compact"/>
              <ns0:jc ns0:val="left"/>
            </ns0:pPr>
            <ns0:r>
              <ns0:t xml:space="preserve">0.002</ns0:t>
              <ns0:rPr>
                <ns0:sz ns0:val="18"/>
              </ns0:rPr>
            </ns0:r>
          </ns0:p>
        </ns0:tc>
        <ns0:tc>
          <ns0:p>
            <ns0:pPr>
              <ns0:pStyle ns0:val="Compact"/>
              <ns0:jc ns0:val="left"/>
            </ns0:pPr>
            <ns0:r>
              <ns0:t xml:space="preserve">-1.003 [-1.270, -0.737]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0.343</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-0.541 [-0.714, -0.367]</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-0.674 [-0.804, -0.544]</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0.494</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-0.818 [-1.179, -0.456]</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-0.947 [-1.287, -0.606]</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0.699</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-0.850 [-1.048, -0.651]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-1.045 [-1.240, -0.851]</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0.494</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-0.700 [-0.922, -0.478]</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-0.904 [-1.159, -0.649]</ns0:t>
              <ns0:rPr>
                <ns0:sz ns0:val="18"/>
              </ns0:rPr>
            </ns0:r>
          </ns0:p>
        </ns0:tc>
        <ns0:tc>
          <ns0:p>
            <ns0:pPr>
              <ns0:pStyle ns0:val="Compact"/>
              <ns0:jc ns0:val="left"/>
            </ns0:pPr>
            <ns1:oMath>
              <ns1:r>
                <ns1:rPr>
                  <ns1:sty ns1:val="p"/>
                </ns1:rPr>
                <ns1:t>&lt;</ns1:t>
              </ns1:r>
              <ns1:r>
                <ns1:t>0.001</ns1:t>
              </ns1:r>
            </ns1:oMath>
          </ns0:p>
        </ns0:tc>
        <ns0:tc>
          <ns0:p>
            <ns0:pPr>
              <ns0:pStyle ns0:val="Compact"/>
              <ns0:jc ns0:val="left"/>
            </ns0:pPr>
            <ns0:r>
              <ns0:t xml:space="preserve">0.494</ns0:t>
              <ns0:rPr>
                <ns0:sz ns0:val="18"/>
              </ns0:rPr>
            </ns0:r>
          </ns0:p>
        </ns0:tc>
      </ns0:tr>
    </ns0:tbl>
    <ns0:bookmarkEnd ns0:id="51"/>
    <ns0:bookmarkEnd ns0:id="52"/>
    <ns0:bookmarkStart ns0:id="53" ns0:name="sensitivity-of-motion-extraction"/>
    <ns0:p>
      <ns0:pPr>
        <ns0:pStyle ns0:val="Heading2"/>
      </ns0:pPr>
      <ns0:r>
        <ns0:t xml:space="preserve">3.6. Sensitivity of motion extraction</ns0:t>
      </ns0:r>
    </ns0:p>
    <ns0:p>
      <ns0:pPr>
        <ns0:pStyle ns0:val="FirstParagraph"/>
      </ns0:pPr>
      <ns0:r>
        <ns0:t xml:space="preserve">In six subjects selected at approximately evenly spaced cohort row indices (30 subject–load comparisons), replacing affine sacral correction with rigid-only correction changed bilateral rotation norms by at most 0.0229</ns0:t>
      </ns0:r>
      <ns1:oMath>
        <ns1:sSup>
          <ns1:e>
            <ns1:r>
              <ns1:t>​</ns1:t>
            </ns1:r>
          </ns1:e>
          <ns1:sup>
            <ns1:r>
              <ns1:rPr>
                <ns1:sty ns1:val="p"/>
              </ns1:rPr>
              <ns1:t>∘</ns1:t>
            </ns1:r>
          </ns1:sup>
        </ns1:sSup>
      </ns1:oMath>
      <ns0:r>
        <ns0:t xml:space="preserve"> </ns0:t>
      </ns0:r>
      <ns0:r>
        <ns0:t xml:space="preserve">and translation magnitudes by at most 0.0055 mm. This subset diagnostic does not bound errors in the remaining cohort (Supplementary Table S6).</ns0:t>
      </ns0:r>
    </ns0:p>
    <ns0:bookmarkEnd ns0:id="53"/>
    <ns0:bookmarkEnd ns0:id="54"/>
    <ns0:bookmarkStart ns0:id="61" ns0:name="discussion"/>
    <ns0:p>
      <ns0:pPr>
        <ns0:pStyle ns0:val="Heading1"/>
      </ns0:pPr>
      <ns0:r>
        <ns0:t xml:space="preserve">4. Discussion</ns0:t>
      </ns0:r>
    </ns0:p>
    <ns0:p>
      <ns0:pPr>
        <ns0:pStyle ns0:val="FirstParagraph"/>
      </ns0:pPr>
      <ns0:r>
        <ns0:t xml:space="preserve">Pelvic mechanical response was structured by anatomical scale and individual architecture, and its expression depended strongly on load path. Size showed a consistent inverse conditional relationship with motion across loads. Adjustment for pelvic volume and the selected morphometric triad substantially attenuated sex-associated translation differences under localized loading, while preserving individual geometry under standardized bone density retained subject-specific responses closely. Redistributing force or changing its application site nevertheless altered the magnitude and component pattern of motion. These observations support an anatomically resolved description of response under specified loading.</ns0:t>
      </ns0:r>
    </ns0:p>
    <ns0:bookmarkStart ns0:id="55" ns0:name="conditional-mechanical-scaling"/>
    <ns0:p>
      <ns0:pPr>
        <ns0:pStyle ns0:val="Heading2"/>
      </ns0:pPr>
      <ns0:r>
        <ns0:t xml:space="preserve">Conditional mechanical scaling</ns0:t>
      </ns0:r>
    </ns0:p>
    <ns0:p>
      <ns0:pPr>
        <ns0:pStyle ns0:val="FirstParagraph"/>
      </ns0:pPr>
      <ns0:r>
        <ns0:t xml:space="preserve">The 20 negative sex-specific volume slopes, all retained after multiplicity correction, make size a common mechanical context for the anatomical comparisons. SP2leg slopes lay numerically near the simple dimensional references of</ns0:t>
      </ns0:r>
      <ns0:r>
        <ns0:t xml:space="preserve"> </ns0:t>
      </ns0:r>
      <ns1:oMath>
        <ns1:r>
          <ns1:rPr>
            <ns1:sty ns1:val="p"/>
          </ns1:rPr>
          <ns1:t>−</ns1:t>
        </ns1:r>
        <ns1:r>
          <ns1:t>1</ns1:t>
        </ns1:r>
        <ns1:r>
          <ns1:rPr>
            <ns1:sty ns1:val="p"/>
          </ns1:rPr>
          <ns1:t>/</ns1:t>
        </ns1:r>
        <ns1:r>
          <ns1:t>3</ns1:t>
        </ns1:r>
      </ns1:oMath>
      <ns0:r>
        <ns0:t xml:space="preserve"> </ns0:t>
      </ns0:r>
      <ns0:r>
        <ns0:t xml:space="preserve">for translation and</ns0:t>
      </ns0:r>
      <ns0:r>
        <ns0:t xml:space="preserve"> </ns0:t>
      </ns0:r>
      <ns1:oMath>
        <ns1:r>
          <ns1:rPr>
            <ns1:sty ns1:val="p"/>
          </ns1:rPr>
          <ns1:t>−</ns1:t>
        </ns1:r>
        <ns1:r>
          <ns1:t>2</ns1:t>
        </ns1:r>
        <ns1:r>
          <ns1:rPr>
            <ns1:sty ns1:val="p"/>
          </ns1:rPr>
          <ns1:t>/</ns1:t>
        </ns1:r>
        <ns1:r>
          <ns1:t>3</ns1:t>
        </ns1:r>
      </ns1:oMath>
      <ns0:r>
        <ns0:t xml:space="preserve"> </ns0:t>
      </ns0:r>
      <ns0:r>
        <ns0:t xml:space="preserve">for rotation. Several localized-load estimates were numerically steeper, including LAB1 rotation and LAB2 translation; this is a descriptive comparison across loads.</ns0:t>
      </ns0:r>
    </ns0:p>
    <ns0:p>
      <ns0:pPr>
        <ns0:pStyle ns0:val="BodyText"/>
      </ns0:pPr>
      <ns0:r>
        <ns0:t xml:space="preserve">The reference values follow elementary dimensional reasoning: for geometrically similar linear-elastic structures at fixed force</ns0:t>
      </ns0:r>
      <ns0:r>
        <ns0:t xml:space="preserve"> </ns0:t>
      </ns0:r>
      <ns1:oMath>
        <ns1:r>
          <ns1:t>F</ns1:t>
        </ns1:r>
      </ns1:oMath>
      <ns0:r>
        <ns0:t xml:space="preserve"> </ns0:t>
      </ns0:r>
      <ns0:r>
        <ns0:t xml:space="preserve">and modulus</ns0:t>
      </ns0:r>
      <ns0:r>
        <ns0:t xml:space="preserve"> </ns0:t>
      </ns0:r>
      <ns1:oMath>
        <ns1:r>
          <ns1:t>E</ns1:t>
        </ns1:r>
      </ns1:oMath>
      <ns0:r>
        <ns0:t xml:space="preserve">, translation scales as</ns0:t>
      </ns0:r>
      <ns0:r>
        <ns0:t xml:space="preserve"> </ns0:t>
      </ns0:r>
      <ns1:oMath>
        <ns1:r>
          <ns1:t>u</ns1:t>
        </ns1:r>
        <ns1:r>
          <ns1:rPr>
            <ns1:sty ns1:val="p"/>
          </ns1:rPr>
          <ns1:t>∼</ns1:t>
        </ns1:r>
        <ns1:r>
          <ns1:t>F</ns1:t>
        </ns1:r>
        <ns1:r>
          <ns1:rPr>
            <ns1:sty ns1:val="p"/>
          </ns1:rPr>
          <ns1:t>/</ns1:t>
        </ns1:r>
        <ns1:r>
          <ns1:rPr>
            <ns1:sty ns1:val="p"/>
          </ns1:rPr>
          <ns1:t>(</ns1:t>
        </ns1:r>
        <ns1:r>
          <ns1:t>E</ns1:t>
        </ns1:r>
        <ns1:r>
          <ns1:t>L</ns1:t>
        </ns1:r>
        <ns1:r>
          <ns1:rPr>
            <ns1:sty ns1:val="p"/>
          </ns1:rPr>
          <ns1:t>)</ns1:t>
        </ns1:r>
        <ns1:r>
          <ns1:rPr>
            <ns1:sty ns1:val="p"/>
          </ns1:rPr>
          <ns1:t>∝</ns1:t>
        </ns1:r>
        <ns1:sSup>
          <ns1:e>
            <ns1:r>
              <ns1:t>V</ns1:t>
            </ns1:r>
          </ns1:e>
          <ns1:sup>
            <ns1:r>
              <ns1:rPr>
                <ns1:sty ns1:val="p"/>
              </ns1:rPr>
              <ns1:t>−</ns1:t>
            </ns1:r>
            <ns1:r>
              <ns1:t>1</ns1:t>
            </ns1:r>
            <ns1:r>
              <ns1:rPr>
                <ns1:sty ns1:val="p"/>
              </ns1:rPr>
              <ns1:t>/</ns1:t>
            </ns1:r>
            <ns1:r>
              <ns1:t>3</ns1:t>
            </ns1:r>
          </ns1:sup>
        </ns1:sSup>
      </ns1:oMath>
      <ns0:r>
        <ns0:t xml:space="preserve">, and rotation as</ns0:t>
      </ns0:r>
      <ns0:r>
        <ns0:t xml:space="preserve"> </ns0:t>
      </ns0:r>
      <ns1:oMath>
        <ns1:r>
          <ns1:t>θ</ns1:t>
        </ns1:r>
        <ns1:r>
          <ns1:rPr>
            <ns1:sty ns1:val="p"/>
          </ns1:rPr>
          <ns1:t>∼</ns1:t>
        </ns1:r>
        <ns1:r>
          <ns1:t>u</ns1:t>
        </ns1:r>
        <ns1:r>
          <ns1:rPr>
            <ns1:sty ns1:val="p"/>
          </ns1:rPr>
          <ns1:t>/</ns1:t>
        </ns1:r>
        <ns1:r>
          <ns1:t>L</ns1:t>
        </ns1:r>
        <ns1:r>
          <ns1:rPr>
            <ns1:sty ns1:val="p"/>
          </ns1:rPr>
          <ns1:t>∝</ns1:t>
        </ns1:r>
        <ns1:sSup>
          <ns1:e>
            <ns1:r>
              <ns1:t>V</ns1:t>
            </ns1:r>
          </ns1:e>
          <ns1:sup>
            <ns1:r>
              <ns1:rPr>
                <ns1:sty ns1:val="p"/>
              </ns1:rPr>
              <ns1:t>−</ns1:t>
            </ns1:r>
            <ns1:r>
              <ns1:t>2</ns1:t>
            </ns1:r>
            <ns1:r>
              <ns1:rPr>
                <ns1:sty ns1:val="p"/>
              </ns1:rPr>
              <ns1:t>/</ns1:t>
            </ns1:r>
            <ns1:r>
              <ns1:t>3</ns1:t>
            </ns1:r>
          </ns1:sup>
        </ns1:sSup>
      </ns1:oMath>
      <ns0:r>
        <ns0:t xml:space="preserve">. These are heuristic dimensional references. The fitted slopes describe changes in volume at fixed values of the selected morphometric dimensions; the dimensional references describe uniform geometric scaling. Why some localized-load estimates are numerically steeper remains unresolved. The pelvis is a jointed structure with heterogeneous tissues and varying proportions. Fixed ligament spring parameters and cartilage properties do not impose geometric similarity across sizes. Geometry-dependent force moments, heterogeneous density fields and conditional adjustment for other dimensions could also contribute to the load-specific slopes. Their contributions remain to be tested.</ns0:t>
      </ns0:r>
    </ns0:p>
    <ns0:p>
      <ns0:pPr>
        <ns0:pStyle ns0:val="BodyText"/>
      </ns0:pPr>
      <ns0:r>
        <ns0:t xml:space="preserve">The slopes describe conditional mechanical scaling under standardized forces. Physiological scaling with body-mass-dependent loading was not evaluated.</ns0:t>
      </ns0:r>
    </ns0:p>
    <ns0:bookmarkEnd ns0:id="55"/>
    <ns0:bookmarkStart ns0:id="56" ns0:name="size-shape-and-sex-associated-response"/>
    <ns0:p>
      <ns0:pPr>
        <ns0:pStyle ns0:val="Heading2"/>
      </ns0:pPr>
      <ns0:r>
        <ns0:t xml:space="preserve">Size, shape and sex-associated response</ns0:t>
      </ns0:r>
    </ns0:p>
    <ns0:p>
      <ns0:pPr>
        <ns0:pStyle ns0:val="FirstParagraph"/>
      </ns0:pPr>
      <ns0:r>
        <ns0:t xml:space="preserve">The female and male groups differed in several dimensions: female pelves had lower total bone volume but greater mean inlet depth, interspinous width and subpubic angle (Table 1). Sex groups therefore differ in both size and proportions. Anatomical evidence distinguishes allometric differences in overall proportions from largely non-allometric differences in subpubic angle</ns0:t>
      </ns0:r>
      <ns0:r>
        <ns0:t xml:space="preserve"> </ns0:t>
      </ns0:r>
      <ns0:r>
        <ns0:t xml:space="preserve">(Fischer and Mitteroecker 2017)</ns0:t>
      </ns0:r>
      <ns0:r>
        <ns0:t xml:space="preserve">; local auricular shape also differs between sexes</ns0:t>
      </ns0:r>
      <ns0:r>
        <ns0:t xml:space="preserve"> </ns0:t>
      </ns0:r>
      <ns0:r>
        <ns0:t xml:space="preserve">(Nishi et al. 2020)</ns0:t>
      </ns0:r>
      <ns0:r>
        <ns0:t xml:space="preserve">. Earlier representative-model comparisons of standing SIJ mechanics</ns0:t>
      </ns0:r>
      <ns0:r>
        <ns0:t xml:space="preserve"> </ns0:t>
      </ns0:r>
      <ns0:r>
        <ns0:t xml:space="preserve">(Joukar et al. 2018)</ns0:t>
      </ns0:r>
      <ns0:r>
        <ns0:t xml:space="preserve"> </ns0:t>
      </ns0:r>
      <ns0:r>
        <ns0:t xml:space="preserve">establish relevant prior evidence, while the present cohort examines how population contrasts change with explicit anatomical adjustment and loading context. Adding pelvic volume and the selected morphometric triad reduced the female translation coefficients from +0.055 to +0.258 mm across localized loads to -0.031 to +0.013 mm. All three fully adjusted translation intervals under localized loading included zero. Coefficient attenuation quantifies the change in the sex-associated contrast after anatomical adjustment. Sex equivalence and causal mediation were not tested.</ns0:t>
      </ns0:r>
    </ns0:p>
    <ns0:p>
      <ns0:pPr>
        <ns0:pStyle ns0:val="BodyText"/>
      </ns0:pPr>
      <ns0:r>
        <ns0:t xml:space="preserve">The subpubic-angle association depended on whether subjects were pooled or stratified by sex. The positive pooled correlation with LAB1 translation was not reproduced within either sex: both within-sex estimates were weakly negative and their tests did not reject zero correlation. The selected triad represents a subset of pelvic architecture. Out-of-sample predictive performance was not evaluated. External assessment should examine anatomical overlap between sexes, collinearity and performance beyond this cohort.</ns0:t>
      </ns0:r>
    </ns0:p>
    <ns0:bookmarkEnd ns0:id="56"/>
    <ns0:bookmarkStart ns0:id="57" ns0:name="Xc61f441f045efc4e71973426e9291966d73887c"/>
    <ns0:p>
      <ns0:pPr>
        <ns0:pStyle ns0:val="Heading2"/>
      </ns0:pPr>
      <ns0:r>
        <ns0:t xml:space="preserve">Geometry retains the subject-specific mechanical response</ns0:t>
      </ns0:r>
    </ns0:p>
    <ns0:p>
      <ns0:pPr>
        <ns0:pStyle ns0:val="FirstParagraph"/>
      </ns0:pPr>
      <ns0:r>
        <ns0:t xml:space="preserve">The matched geometry–density comparison quantified the preservation of individual responses after density standardization. Retaining individual geometry with the spatially varying median density field gave translation RMSE no greater than 0.028 mm and a minimum identity-line</ns0:t>
      </ns0:r>
      <ns0:r>
        <ns0:t xml:space="preserve"> </ns0:t>
      </ns0:r>
      <ns1:oMath>
        <ns1:sSup>
          <ns1:e>
            <ns1:r>
              <ns1:t>R</ns1:t>
            </ns1:r>
          </ns1:e>
          <ns1:sup>
            <ns1:r>
              <ns1:t>2</ns1:t>
            </ns1:r>
          </ns1:sup>
        </ns1:sSup>
      </ns1:oMath>
      <ns0:r>
        <ns0:t xml:space="preserve"> </ns0:t>
      </ns0:r>
      <ns0:r>
        <ns0:t xml:space="preserve">of 0.946. The minimum identity-line</ns0:t>
      </ns0:r>
      <ns0:r>
        <ns0:t xml:space="preserve"> </ns0:t>
      </ns0:r>
      <ns1:oMath>
        <ns1:sSup>
          <ns1:e>
            <ns1:r>
              <ns1:t>R</ns1:t>
            </ns1:r>
          </ns1:e>
          <ns1:sup>
            <ns1:r>
              <ns1:t>2</ns1:t>
            </ns1:r>
          </ns1:sup>
        </ns1:sSup>
      </ns1:oMath>
      <ns0:r>
        <ns0:t xml:space="preserve"> </ns0:t>
      </ns0:r>
      <ns0:r>
        <ns0:t xml:space="preserve">for rotation was 0.878. The near-100% geometry-preserved/full variance ratios and small density-preserved/full ratios were consistent with these paired comparisons. CT-osteoabsorptiometry showed limited differences in mineralization patterns across auricular shape categories, although larger surfaces had higher iliac mineralization</ns0:t>
      </ns0:r>
      <ns0:r>
        <ns0:t xml:space="preserve"> </ns0:t>
      </ns0:r>
      <ns0:r>
        <ns0:t xml:space="preserve">(Poilliot et al. 2023)</ns0:t>
      </ns0:r>
      <ns0:r>
        <ns0:t xml:space="preserve">. Those observations provide context on long-term subchondral adaptation. Individual geometry may be prioritized when modeling these joint-motion endpoints. The acceptable degree of density simplification depends on the error tolerance.</ns0:t>
      </ns0:r>
    </ns0:p>
    <ns0:p>
      <ns0:pPr>
        <ns0:pStyle ns0:val="BodyText"/>
      </ns0:pPr>
      <ns0:r>
        <ns0:t xml:space="preserve">This hierarchy is conditional on the passive static model and its implemented density–modulus law, including a low-density modulus floor. Cartilage properties, ligament properties and pretension were fixed. Ligament pretension can substantially affect SIJ predictions</ns0:t>
      </ns0:r>
      <ns0:r>
        <ns0:t xml:space="preserve"> </ns0:t>
      </ns0:r>
      <ns0:r>
        <ns0:t xml:space="preserve">(Heyland et al. 2025)</ns0:t>
      </ns0:r>
      <ns0:r>
        <ns0:t xml:space="preserve">, and introducing individual soft-tissue variation could change the relative contributions. Under these constitutive assumptions, standardizing the represented bone-density field produced substantially smaller changes in these SIJ-motion endpoints than standardizing subject geometry. The constant low-density modulus branch suppresses represented stiffness variation and may contribute to this contrast; the comparison does not quantify the effect of density under alternative constitutive laws.</ns0:t>
      </ns0:r>
    </ns0:p>
    <ns0:bookmarkEnd ns0:id="57"/>
    <ns0:bookmarkStart ns0:id="58" ns0:name="X3eace44a7c89768affedc14c10768a72aa0bc9a"/>
    <ns0:p>
      <ns0:pPr>
        <ns0:pStyle ns0:val="Heading2"/>
      </ns0:pPr>
      <ns0:r>
        <ns0:t xml:space="preserve">Load path determines how architecture is expressed</ns0:t>
      </ns0:r>
    </ns0:p>
    <ns0:p>
      <ns0:pPr>
        <ns0:pStyle ns0:val="FirstParagraph"/>
      </ns0:pPr>
      <ns0:r>
        <ns0:t xml:space="preserve">SIJ mobility depended on force distribution. Redistributing 800 N from bilateral to unilateral acetabular support increased translation and rotation and strongly amplified bilateral asymmetry. The total applied force was unchanged, but its moments and route through the ring changed. This gives a population-level mechanical context to established accounts of SIJ load transfer</ns0:t>
      </ns0:r>
      <ns0:r>
        <ns0:t xml:space="preserve"> </ns0:t>
      </ns0:r>
      <ns0:r>
        <ns0:t xml:space="preserve">(Snijders, Vleeming, and Stoeckart 1993; Vleeming et al. 2012)</ns0:t>
      </ns0:r>
      <ns0:r>
        <ns0:t xml:space="preserve">.</ns0:t>
      </ns0:r>
    </ns0:p>
    <ns0:p>
      <ns0:pPr>
        <ns0:pStyle ns0:val="BodyText"/>
      </ns0:pPr>
      <ns0:r>
        <ns0:t xml:space="preserve">Application site was also consequential. Both transverse force pairs reduced the craniocaudal component relative to bilateral support. The mediolateral contrast with bilateral support was positive for the ischial pair, whereas the interval for the internal-ring pair included zero. These comparisons partly supported the shared transverse-redistribution hypothesis and described distinct component patterns; a direct contrast between the two application sites was not reported.</ns0:t>
      </ns0:r>
    </ns0:p>
    <ns0:bookmarkEnd ns0:id="58"/>
    <ns0:bookmarkStart ns0:id="59" ns0:name="implications-for-functional-anatomy"/>
    <ns0:p>
      <ns0:pPr>
        <ns0:pStyle ns0:val="Heading2"/>
      </ns0:pPr>
      <ns0:r>
        <ns0:t xml:space="preserve">Implications for functional anatomy</ns0:t>
      </ns0:r>
    </ns0:p>
    <ns0:p>
      <ns0:pPr>
        <ns0:pStyle ns0:val="FirstParagraph"/>
      </ns0:pPr>
      <ns0:r>
        <ns0:t xml:space="preserve">Overall size was inversely associated with motion magnitude, preserving individual geometry retained subject-specific responses, and load path altered the expressed motion pattern. Sex captures part of the population variation in anatomical dimensions. The present analyses connect whole-pelvis size and dimensions to load-dependent motion and test a geometry-preserving density simplification. The evidence supports describing pelvic function through scale, architecture and loading context together.</ns0:t>
      </ns0:r>
    </ns0:p>
    <ns0:p>
      <ns0:pPr>
        <ns0:pStyle ns0:val="BodyText"/>
      </ns0:pPr>
      <ns0:r>
        <ns0:t xml:space="preserve">Covariation of stature and pelvic shape provides anatomical context for obstetric dimensions</ns0:t>
      </ns0:r>
      <ns0:r>
        <ns0:t xml:space="preserve"> </ns0:t>
      </ns0:r>
      <ns0:r>
        <ns0:t xml:space="preserve">(Fischer and Mitteroecker 2015)</ns0:t>
      </ns0:r>
      <ns0:r>
        <ns0:t xml:space="preserve">. The present endpoints quantify relative SIJ motion. Signed joint opening and birth-canal expansion were not measured. Their evaluation under delivery conditions requires direct surface-separation and canal measurements, together with fetal contact and soft-tissue interactions</ns0:t>
      </ns0:r>
      <ns0:r>
        <ns0:t xml:space="preserve"> </ns0:t>
      </ns0:r>
      <ns0:r>
        <ns0:t xml:space="preserve">(Chen and Grimm 2021)</ns0:t>
      </ns0:r>
      <ns0:r>
        <ns0:t xml:space="preserve">.</ns0:t>
      </ns0:r>
    </ns0:p>
    <ns0:bookmarkEnd ns0:id="59"/>
    <ns0:bookmarkStart ns0:id="60" ns0:name="limitations-and-experimental-tests"/>
    <ns0:p>
      <ns0:pPr>
        <ns0:pStyle ns0:val="Heading2"/>
      </ns0:pPr>
      <ns0:r>
        <ns0:t xml:space="preserve">Limitations and experimental tests</ns0:t>
      </ns0:r>
    </ns0:p>
    <ns0:p>
      <ns0:pPr>
        <ns0:pStyle ns0:val="FirstParagraph"/>
      </ns0:pPr>
      <ns0:r>
        <ns0:t xml:space="preserve">The model represents passive, static mechanics with a constrained sacrum, nominal cartilage properties and linearized ligaments, without muscle activation or frictional contact. The density comparison inherits these choices. Absolute motion magnitudes depend on using the zero-displacement anatomical configuration rather than an equilibrated pretension-only reference; all paired load comparisons use the same reference convention and prescribed pretension. The cohort spans ages 16–91 and does not specifically represent pregnant or laboring women; pregnancy-related adaptation, parity, pain and delivery outcomes were not analyzed. The retrospective selection of dimensions and comparisons also limits confirmatory interpretation.</ns0:t>
      </ns0:r>
    </ns0:p>
    <ns0:p>
      <ns0:pPr>
        <ns0:pStyle ns0:val="BodyText"/>
      </ns0:pPr>
      <ns0:r>
        <ns0:t xml:space="preserve">Affine sacral correction removes sacral strain as well as rigid drift. The rigid-only sensitivity check showed small endpoint changes in the six subjects examined; its coverage was limited to this subset. Sampling intervals exclude constitutive, anatomical-interpolation and boundary-condition uncertainty. A previous subject-specific pelvic model was validated against cortical strains</ns0:t>
      </ns0:r>
      <ns0:r>
        <ns0:t xml:space="preserve"> </ns0:t>
      </ns0:r>
      <ns0:r>
        <ns0:t xml:space="preserve">(Anderson et al. 2005)</ns0:t>
      </ns0:r>
      <ns0:r>
        <ns0:t xml:space="preserve">. Physiological SIJ kinematics remain unvalidated in the present cohort. Further assessment of mesh and anatomical-interpolation accuracy, together with independent measurements under matched loads, would strengthen numerical and experimental validation, particularly given the difficulty of measuring small SIJ motions</ns0:t>
      </ns0:r>
      <ns0:r>
        <ns0:t xml:space="preserve"> </ns0:t>
      </ns0:r>
      <ns0:r>
        <ns0:t xml:space="preserve">(Goode et al. 2008)</ns0:t>
      </ns0:r>
      <ns0:r>
        <ns0:t xml:space="preserve">.</ns0:t>
      </ns0:r>
    </ns0:p>
    <ns0:p>
      <ns0:pPr>
        <ns0:pStyle ns0:val="BodyText"/>
      </ns0:pPr>
      <ns0:r>
        <ns0:t xml:space="preserve">The resulting experimental predictions are specific: unilateral loading should increase bilateral asymmetry at matched total acetabular force, and transverse forces at the internal ring and ischial tuberosities should produce different component responses. Tests should measure signed SIJ surface separation alongside the reported point-motion endpoints. Comparing subject-specific and standardized density assignments against those measurements would test the proposed simplification, while introducing measured cartilage, ligament and pretension variation would test its scope. Independent specimens and loading configurations are needed to determine how far the anatomical relationships generalize.</ns0:t>
      </ns0:r>
    </ns0:p>
    <ns0:bookmarkEnd ns0:id="60"/>
    <ns0:bookmarkEnd ns0:id="61"/>
    <ns0:bookmarkStart ns0:id="62" ns0:name="conclusion"/>
    <ns0:p>
      <ns0:pPr>
        <ns0:pStyle ns0:val="Heading1"/>
      </ns0:pPr>
      <ns0:r>
        <ns0:t xml:space="preserve">5. Conclusion</ns0:t>
      </ns0:r>
    </ns0:p>
    <ns0:p>
      <ns0:pPr>
        <ns0:pStyle ns0:val="FirstParagraph"/>
      </ns0:pPr>
      <ns0:r>
        <ns0:t xml:space="preserve">Under standardized loading, pelvic size showed a consistent inverse conditional association with SIJ motion, while individual geometry retained much of the subject-specific response under standardized bone density and fixed soft-tissue properties. Load distribution and application site determined how that response was expressed. Adjustment for pelvic volume and the selected morphometric triad also substantially attenuated sex-associated translation differences under localized loading. These findings identify anatomical scale, individual architecture and loading context as complementary descriptors of modeled SIJ response.</ns0:t>
      </ns0:r>
    </ns0:p>
    <ns0:bookmarkEnd ns0:id="62"/>
    <ns0:bookmarkStart ns0:id="71" ns0:name="app:mathematical_formulation"/>
    <ns0:p>
      <ns0:pPr>
        <ns0:pStyle ns0:val="Heading1"/>
      </ns0:pPr>
      <ns0:r>
        <ns0:t xml:space="preserve">Appendix A. Mathematical formulation and verification</ns0:t>
      </ns0:r>
    </ns0:p>
    <ns0:bookmarkStart ns0:id="63" ns0:name="app:implementation_checks"/>
    <ns0:p>
      <ns0:pPr>
        <ns0:pStyle ns0:val="Heading2"/>
      </ns0:pPr>
      <ns0:r>
        <ns0:t xml:space="preserve">A.1. Implementation and correspondence checks</ns0:t>
      </ns0:r>
    </ns0:p>
    <ns0:p>
      <ns0:pPr>
        <ns0:pStyle ns0:val="FirstParagraph"/>
      </ns0:pPr>
      <ns0:r>
        <ns0:t xml:space="preserve">Subject landmarks were obtained by thin-plate-spline RBF interpolation of template-to-subject displacements (10 neighbors; smoothing parameter 100). These morphometric interpolation settings differ from those used for the FE surface reconstruction. Repeated calculation of the eight measures for all 278 subjects agreed within</ns0:t>
      </ns0:r>
      <ns0:r>
        <ns0:t xml:space="preserve"> </ns0:t>
      </ns0:r>
      <ns1:oMath>
        <ns1:sSup>
          <ns1:e>
            <ns1:r>
              <ns1:t>10</ns1:t>
            </ns1:r>
          </ns1:e>
          <ns1:sup>
            <ns1:r>
              <ns1:rPr>
                <ns1:sty ns1:val="p"/>
              </ns1:rPr>
              <ns1:t>−</ns1:t>
            </ns1:r>
            <ns1:r>
              <ns1:t>8</ns1:t>
            </ns1:r>
          </ns1:sup>
        </ns1:sSup>
      </ns1:oMath>
      <ns0:r>
        <ns0:t xml:space="preserve"> mm or degrees.</ns0:t>
      </ns0:r>
    </ns0:p>
    <ns0:p>
      <ns0:pPr>
        <ns0:pStyle ns0:val="BodyText"/>
      </ns0:pPr>
      <ns0:r>
        <ns0:t xml:space="preserve">Reference-to-reference checks were below</ns0:t>
      </ns0:r>
      <ns0:r>
        <ns0:t xml:space="preserve"> </ns0:t>
      </ns0:r>
      <ns1:oMath>
        <ns1:sSup>
          <ns1:e>
            <ns1:r>
              <ns1:t>10</ns1:t>
            </ns1:r>
          </ns1:e>
          <ns1:sup>
            <ns1:r>
              <ns1:rPr>
                <ns1:sty ns1:val="p"/>
              </ns1:rPr>
              <ns1:t>−</ns1:t>
            </ns1:r>
            <ns1:r>
              <ns1:t>8</ns1:t>
            </ns1:r>
          </ns1:sup>
        </ns1:sSup>
      </ns1:oMath>
      <ns0:r>
        <ns0:t xml:space="preserve"> </ns0:t>
      </ns0:r>
      <ns0:r>
        <ns0:t xml:space="preserve">in degrees and mm for every subject. Node ordering was checked against the reference displacement fields for all five load cases. Geometry and displacement were evaluated with the same RBF parameters used for surface reconstruction. Subject pairing across the three variants follows the common row indices of the geometry and density inputs. This pairing was checked for consistency of row ordering; an independent identifier-based check was not available.</ns0:t>
      </ns0:r>
    </ns0:p>
    <ns0:p>
      <ns0:pPr>
        <ns0:pStyle ns0:val="BodyText"/>
      </ns0:pPr>
      <ns0:r>
        <ns0:t xml:space="preserve">The FE displacement and geometry spaces were continuous vector P1 on linear tetrahedra, with DG0 material fields and integration degree 6. The linear system used PETSc</ns0:t>
      </ns0:r>
      <ns0:r>
        <ns0:t xml:space="preserve"> </ns0:t>
      </ns0:r>
      <ns0:r>
        <ns0:rPr>
          <ns0:rStyle ns0:val="VerbatimChar"/>
        </ns0:rPr>
        <ns0:t xml:space="preserve">KSPPREONLY</ns0:t>
      </ns0:r>
      <ns0:r>
        <ns0:t xml:space="preserve">,</ns0:t>
      </ns0:r>
      <ns0:r>
        <ns0:t xml:space="preserve"> </ns0:t>
      </ns0:r>
      <ns0:r>
        <ns0:rPr>
          <ns0:rStyle ns0:val="VerbatimChar"/>
        </ns0:rPr>
        <ns0:t xml:space="preserve">PCLU</ns0:t>
      </ns0:r>
      <ns0:r>
        <ns0:t xml:space="preserve"> </ns0:t>
      </ns0:r>
      <ns0:r>
        <ns0:t xml:space="preserve">and MUMPS, with option prefix</ns0:t>
      </ns0:r>
      <ns0:r>
        <ns0:t xml:space="preserve"> </ns0:t>
      </ns0:r>
      <ns0:r>
        <ns0:rPr>
          <ns0:rStyle ns0:val="VerbatimChar"/>
        </ns0:rPr>
        <ns0:t xml:space="preserve">elas_</ns0:t>
      </ns0:r>
      <ns0:r>
        <ns0:t xml:space="preserve">. Configured relative and absolute tolerances were</ns0:t>
      </ns0:r>
      <ns0:r>
        <ns0:t xml:space="preserve"> </ns0:t>
      </ns0:r>
      <ns1:oMath>
        <ns1:sSup>
          <ns1:e>
            <ns1:r>
              <ns1:t>10</ns1:t>
            </ns1:r>
          </ns1:e>
          <ns1:sup>
            <ns1:r>
              <ns1:rPr>
                <ns1:sty ns1:val="p"/>
              </ns1:rPr>
              <ns1:t>−</ns1:t>
            </ns1:r>
            <ns1:r>
              <ns1:t>10</ns1:t>
            </ns1:r>
          </ns1:sup>
        </ns1:sSup>
      </ns1:oMath>
      <ns0:r>
        <ns0:t xml:space="preserve"> </ns0:t>
      </ns0:r>
      <ns0:r>
        <ns0:t xml:space="preserve">and</ns0:t>
      </ns0:r>
      <ns0:r>
        <ns0:t xml:space="preserve"> </ns0:t>
      </ns0:r>
      <ns1:oMath>
        <ns1:sSup>
          <ns1:e>
            <ns1:r>
              <ns1:t>10</ns1:t>
            </ns1:r>
          </ns1:e>
          <ns1:sup>
            <ns1:r>
              <ns1:rPr>
                <ns1:sty ns1:val="p"/>
              </ns1:rPr>
              <ns1:t>−</ns1:t>
            </ns1:r>
            <ns1:r>
              <ns1:t>12</ns1:t>
            </ns1:r>
          </ns1:sup>
        </ns1:sSup>
      </ns1:oMath>
      <ns0:r>
        <ns0:t xml:space="preserve">, with an iteration limit of 1000; the selected direct factorization does not use an iterative residual stopping test. The implementation records PETSc’s convergence reason. RBF transfer of the geometry displacement to FE nodes used 10 neighbors and smoothing 50; transfer from FE nodes to the measurement geometry used 10 neighbors and zero smoothing.</ns0:t>
      </ns0:r>
    </ns0:p>
    <ns0:bookmarkEnd ns0:id="63"/>
    <ns0:bookmarkStart ns0:id="64" ns0:name="a.2.-reference-mapping-and-equilibrium"/>
    <ns0:p>
      <ns0:pPr>
        <ns0:pStyle ns0:val="Heading2"/>
      </ns0:pPr>
      <ns0:r>
        <ns0:t xml:space="preserve">A.2. Reference mapping and equilibrium</ns0:t>
      </ns0:r>
    </ns0:p>
    <ns0:p>
      <ns0:pPr>
        <ns0:pStyle ns0:val="FirstParagraph"/>
      </ns0:pPr>
      <ns0:r>
        <ns0:t xml:space="preserve">Let</ns0:t>
      </ns0:r>
      <ns0:r>
        <ns0:t xml:space="preserve"> </ns0:t>
      </ns0:r>
      <ns1:oMath>
        <ns1:sSub>
          <ns1:e>
            <ns1:r>
              <ns1:t>Ω</ns1:t>
            </ns1:r>
          </ns1:e>
          <ns1:sub>
            <ns1:r>
              <ns1:t>0</ns1:t>
            </ns1:r>
          </ns1:sub>
        </ns1:sSub>
      </ns1:oMath>
      <ns0:r>
        <ns0:t xml:space="preserve"> </ns0:t>
      </ns0:r>
      <ns0:r>
        <ns0:t xml:space="preserve">be the FE template and</ns0:t>
      </ns0:r>
      <ns0:r>
        <ns0:t xml:space="preserve"> </ns0:t>
      </ns0:r>
      <ns1:oMath>
        <ns1:sSub>
          <ns1:e>
            <ns1:r>
              <ns1:rPr>
                <ns1:sty ns1:val="b"/>
              </ns1:rPr>
              <ns1:t>χ</ns1:t>
            </ns1:r>
          </ns1:e>
          <ns1:sub>
            <ns1:r>
              <ns1:t>i</ns1:t>
            </ns1:r>
          </ns1:sub>
        </ns1:sSub>
        <ns1:r>
          <ns1:rPr>
            <ns1:sty ns1:val="p"/>
          </ns1:rPr>
          <ns1:t>(</ns1:t>
        </ns1:r>
        <ns1:r>
          <ns1:rPr>
            <ns1:sty ns1:val="b"/>
          </ns1:rPr>
          <ns1:t>X</ns1:t>
        </ns1:r>
        <ns1:r>
          <ns1:rPr>
            <ns1:sty ns1:val="p"/>
          </ns1:rPr>
          <ns1:t>)</ns1:t>
        </ns1:r>
        <ns1:r>
          <ns1:rPr>
            <ns1:sty ns1:val="p"/>
          </ns1:rPr>
          <ns1:t>=</ns1:t>
        </ns1:r>
        <ns1:r>
          <ns1:rPr>
            <ns1:sty ns1:val="b"/>
          </ns1:rPr>
          <ns1:t>X</ns1:t>
        </ns1:r>
        <ns1:r>
          <ns1:rPr>
            <ns1:sty ns1:val="p"/>
          </ns1:rPr>
          <ns1:t>+</ns1:t>
        </ns1:r>
        <ns1:sSub>
          <ns1:e>
            <ns1:r>
              <ns1:rPr>
                <ns1:sty ns1:val="b"/>
              </ns1:rPr>
              <ns1:t>ϕ</ns1:t>
            </ns1:r>
          </ns1:e>
          <ns1:sub>
            <ns1:r>
              <ns1:t>i</ns1:t>
            </ns1:r>
          </ns1:sub>
        </ns1:sSub>
        <ns1:r>
          <ns1:rPr>
            <ns1:sty ns1:val="p"/>
          </ns1:rPr>
          <ns1:t>(</ns1:t>
        </ns1:r>
        <ns1:r>
          <ns1:rPr>
            <ns1:sty ns1:val="b"/>
          </ns1:rPr>
          <ns1:t>X</ns1:t>
        </ns1:r>
        <ns1:r>
          <ns1:rPr>
            <ns1:sty ns1:val="p"/>
          </ns1:rPr>
          <ns1:t>)</ns1:t>
        </ns1:r>
      </ns1:oMath>
      <ns0:r>
        <ns0:t xml:space="preserve"> </ns0:t>
      </ns0:r>
      <ns0:r>
        <ns0:t xml:space="preserve">the unloaded subject geometry. The anatomical registration is bijective; RBF interpolation represents its established displacement map on the FE template. The anatomical mapping and the elastic displacement are different fields. With</ns0:t>
      </ns0:r>
      <ns0:r>
        <ns0:t xml:space="preserve"> </ns0:t>
      </ns0:r>
      <ns1:oMath>
        <ns1:sSub>
          <ns1:e>
            <ns1:r>
              <ns1:rPr>
                <ns1:sty ns1:val="b"/>
              </ns1:rPr>
              <ns1:t>F</ns1:t>
            </ns1:r>
          </ns1:e>
          <ns1:sub>
            <ns1:r>
              <ns1:t>i</ns1:t>
            </ns1:r>
          </ns1:sub>
        </ns1:sSub>
        <ns1:r>
          <ns1:rPr>
            <ns1:sty ns1:val="p"/>
          </ns1:rPr>
          <ns1:t>=</ns1:t>
        </ns1:r>
        <ns1:r>
          <ns1:rPr>
            <ns1:sty ns1:val="b"/>
          </ns1:rPr>
          <ns1:t>I</ns1:t>
        </ns1:r>
        <ns1:r>
          <ns1:rPr>
            <ns1:sty ns1:val="p"/>
          </ns1:rPr>
          <ns1:t>+</ns1:t>
        </ns1:r>
        <ns1:sSub>
          <ns1:e>
            <ns1:r>
              <ns1:rPr>
                <ns1:sty ns1:val="p"/>
              </ns1:rPr>
              <ns1:t>∇</ns1:t>
            </ns1:r>
          </ns1:e>
          <ns1:sub>
            <ns1:r>
              <ns1:t>X</ns1:t>
            </ns1:r>
          </ns1:sub>
        </ns1:sSub>
        <ns1:sSub>
          <ns1:e>
            <ns1:r>
              <ns1:rPr>
                <ns1:sty ns1:val="b"/>
              </ns1:rPr>
              <ns1:t>ϕ</ns1:t>
            </ns1:r>
          </ns1:e>
          <ns1:sub>
            <ns1:r>
              <ns1:t>i</ns1:t>
            </ns1:r>
          </ns1:sub>
        </ns1:sSub>
      </ns1:oMath>
      <ns0:r>
        <ns0:t xml:space="preserve"> </ns0:t>
      </ns0:r>
      <ns0:r>
        <ns0:t xml:space="preserve">and</ns0:t>
      </ns0:r>
      <ns0:r>
        <ns0:t xml:space="preserve"> </ns0:t>
      </ns0:r>
      <ns1:oMath>
        <ns1:sSub>
          <ns1:e>
            <ns1:r>
              <ns1:t>J</ns1:t>
            </ns1:r>
          </ns1:e>
          <ns1:sub>
            <ns1:r>
              <ns1:t>i</ns1:t>
            </ns1:r>
          </ns1:sub>
        </ns1:sSub>
        <ns1:r>
          <ns1:rPr>
            <ns1:sty ns1:val="p"/>
          </ns1:rPr>
          <ns1:t>=</ns1:t>
        </ns1:r>
        <ns1:r>
          <ns1:rPr>
            <ns1:nor/>
            <ns1:sty ns1:val="p"/>
          </ns1:rPr>
          <ns1:t>det</ns1:t>
        </ns1:r>
        <ns1:sSub>
          <ns1:e>
            <ns1:r>
              <ns1:rPr>
                <ns1:sty ns1:val="b"/>
              </ns1:rPr>
              <ns1:t>F</ns1:t>
            </ns1:r>
          </ns1:e>
          <ns1:sub>
            <ns1:r>
              <ns1:t>i</ns1:t>
            </ns1:r>
          </ns1:sub>
        </ns1:sSub>
      </ns1:oMath>
      <ns0:r>
        <ns0:t xml:space="preserve">, the physical small-strain tensor is</ns0:t>
      </ns0:r>
    </ns0:p>
    <ns0:p>
      <ns0:pPr>
        <ns0:pStyle ns0:val="BodyText"/>
      </ns0:pPr>
      <ns1:oMathPara>
        <ns1:oMathParaPr>
          <ns1:jc ns1:val="center"/>
        </ns1:oMathParaPr>
        <ns1:oMath>
          <ns1:sSub>
            <ns1:e>
              <ns1:r>
                <ns1:rPr>
                  <ns1:sty ns1:val="b"/>
                </ns1:rPr>
                <ns1:t>ε</ns1:t>
              </ns1:r>
            </ns1:e>
            <ns1:sub>
              <ns1:r>
                <ns1:t>i</ns1:t>
              </ns1:r>
            </ns1:sub>
          </ns1:sSub>
          <ns1:r>
            <ns1:rPr>
              <ns1:sty ns1:val="p"/>
            </ns1:rPr>
            <ns1:t>(</ns1:t>
          </ns1:r>
          <ns1:r>
            <ns1:rPr>
              <ns1:sty ns1:val="b"/>
            </ns1:rPr>
            <ns1:t>u</ns1:t>
          </ns1:r>
          <ns1:r>
            <ns1:rPr>
              <ns1:sty ns1:val="p"/>
            </ns1:rPr>
            <ns1:t>)</ns1:t>
          </ns1:r>
          <ns1:r>
            <ns1:rPr>
              <ns1:sty ns1:val="p"/>
            </ns1:rPr>
            <ns1:t>=</ns1:t>
          </ns1:r>
          <ns1:r>
            <ns1:rPr>
              <ns1:nor/>
              <ns1:sty ns1:val="p"/>
            </ns1:rPr>
            <ns1:t>sym</ns1:t>
          </ns1:r>
          <ns1:r>
            <ns1:rPr>
              <ns1:sty ns1:val="p"/>
            </ns1:rPr>
            <ns1:t>(</ns1:t>
          </ns1:r>
          <ns1:sSub>
            <ns1:e>
              <ns1:r>
                <ns1:rPr>
                  <ns1:sty ns1:val="p"/>
                </ns1:rPr>
                <ns1:t>∇</ns1:t>
              </ns1:r>
            </ns1:e>
            <ns1:sub>
              <ns1:r>
                <ns1:t>X</ns1:t>
              </ns1:r>
            </ns1:sub>
          </ns1:sSub>
          <ns1:r>
            <ns1:rPr>
              <ns1:sty ns1:val="b"/>
            </ns1:rPr>
            <ns1:t>u</ns1:t>
          </ns1:r>
          <ns1:r>
            <ns1:t> </ns1:t>
          </ns1:r>
          <ns1:sSubSup>
            <ns1:e>
              <ns1:r>
                <ns1:rPr>
                  <ns1:sty ns1:val="b"/>
                </ns1:rPr>
                <ns1:t>F</ns1:t>
              </ns1:r>
            </ns1:e>
            <ns1:sub>
              <ns1:r>
                <ns1:t>i</ns1:t>
              </ns1:r>
            </ns1:sub>
            <ns1:sup>
              <ns1:r>
                <ns1:rPr>
                  <ns1:sty ns1:val="p"/>
                </ns1:rPr>
                <ns1:t>−</ns1:t>
              </ns1:r>
              <ns1:r>
                <ns1:t>1</ns1:t>
              </ns1:r>
            </ns1:sup>
          </ns1:sSubSup>
          <ns1:r>
            <ns1:rPr>
              <ns1:sty ns1:val="p"/>
            </ns1:rPr>
            <ns1:t>)</ns1:t>
          </ns1:r>
          <ns1:r>
            <ns1:rPr>
              <ns1:sty ns1:val="p"/>
            </ns1:rPr>
            <ns1:t>.</ns1:t>
          </ns1:r>
        </ns1:oMath>
      </ns1:oMathPara>
    </ns0:p>
    <ns0:p>
      <ns0:pPr>
        <ns0:pStyle ns0:val="FirstParagraph"/>
      </ns0:pPr>
      <ns0:r>
        <ns0:t xml:space="preserve">Here</ns0:t>
      </ns0:r>
      <ns0:r>
        <ns0:t xml:space="preserve"> </ns0:t>
      </ns0:r>
      <ns1:oMath>
        <ns1:sSub>
          <ns1:e>
            <ns1:r>
              <ns1:rPr>
                <ns1:sty ns1:val="p"/>
              </ns1:rPr>
              <ns1:t>∇</ns1:t>
            </ns1:r>
          </ns1:e>
          <ns1:sub>
            <ns1:r>
              <ns1:t>X</ns1:t>
            </ns1:r>
          </ns1:sub>
        </ns1:sSub>
        <ns1:r>
          <ns1:rPr>
            <ns1:sty ns1:val="b"/>
          </ns1:rPr>
          <ns1:t>u</ns1:t>
        </ns1:r>
      </ns1:oMath>
      <ns0:r>
        <ns0:t xml:space="preserve"> </ns0:t>
      </ns0:r>
      <ns0:r>
        <ns0:t xml:space="preserve">differentiates the displacement represented on the template;</ns0:t>
      </ns0:r>
      <ns0:r>
        <ns0:t xml:space="preserve"> </ns0:t>
      </ns0:r>
      <ns1:oMath>
        <ns1:r>
          <ns1:rPr>
            <ns1:nor/>
            <ns1:sty ns1:val="p"/>
          </ns1:rPr>
          <ns1:t>sym</ns1:t>
        </ns1:r>
        <ns1:r>
          <ns1:rPr>
            <ns1:sty ns1:val="b"/>
          </ns1:rPr>
          <ns1:t>B</ns1:t>
        </ns1:r>
        <ns1:r>
          <ns1:rPr>
            <ns1:sty ns1:val="p"/>
          </ns1:rPr>
          <ns1:t>=</ns1:t>
        </ns1:r>
        <ns1:r>
          <ns1:rPr>
            <ns1:sty ns1:val="p"/>
          </ns1:rPr>
          <ns1:t>(</ns1:t>
        </ns1:r>
        <ns1:r>
          <ns1:rPr>
            <ns1:sty ns1:val="b"/>
          </ns1:rPr>
          <ns1:t>B</ns1:t>
        </ns1:r>
        <ns1:r>
          <ns1:rPr>
            <ns1:sty ns1:val="p"/>
          </ns1:rPr>
          <ns1:t>+</ns1:t>
        </ns1:r>
        <ns1:sSup>
          <ns1:e>
            <ns1:r>
              <ns1:rPr>
                <ns1:sty ns1:val="b"/>
              </ns1:rPr>
              <ns1:t>B</ns1:t>
            </ns1:r>
          </ns1:e>
          <ns1:sup>
            <ns1:r>
              <ns1:t>T</ns1:t>
            </ns1:r>
          </ns1:sup>
        </ns1:sSup>
        <ns1:r>
          <ns1:rPr>
            <ns1:sty ns1:val="p"/>
          </ns1:rPr>
          <ns1:t>)</ns1:t>
        </ns1:r>
        <ns1:r>
          <ns1:rPr>
            <ns1:sty ns1:val="p"/>
          </ns1:rPr>
          <ns1:t>/</ns1:t>
        </ns1:r>
        <ns1:r>
          <ns1:t>2</ns1:t>
        </ns1:r>
      </ns1:oMath>
      <ns0:r>
        <ns0:t xml:space="preserve">. Volume integration satisfies</ns0:t>
      </ns0:r>
      <ns0:r>
        <ns0:t xml:space="preserve"> </ns0:t>
      </ns0:r>
      <ns1:oMath>
        <ns1:r>
          <ns1:t>d</ns1:t>
        </ns1:r>
        <ns1:sSub>
          <ns1:e>
            <ns1:r>
              <ns1:t>V</ns1:t>
            </ns1:r>
          </ns1:e>
          <ns1:sub>
            <ns1:r>
              <ns1:t>i</ns1:t>
            </ns1:r>
          </ns1:sub>
        </ns1:sSub>
        <ns1:r>
          <ns1:rPr>
            <ns1:sty ns1:val="p"/>
          </ns1:rPr>
          <ns1:t>=</ns1:t>
        </ns1:r>
        <ns1:sSub>
          <ns1:e>
            <ns1:r>
              <ns1:t>J</ns1:t>
            </ns1:r>
          </ns1:e>
          <ns1:sub>
            <ns1:r>
              <ns1:t>i</ns1:t>
            </ns1:r>
          </ns1:sub>
        </ns1:sSub>
        <ns1:r>
          <ns1:t> </ns1:t>
        </ns1:r>
        <ns1:r>
          <ns1:t>d</ns1:t>
        </ns1:r>
        <ns1:sSub>
          <ns1:e>
            <ns1:r>
              <ns1:t>V</ns1:t>
            </ns1:r>
          </ns1:e>
          <ns1:sub>
            <ns1:r>
              <ns1:t>0</ns1:t>
            </ns1:r>
          </ns1:sub>
        </ns1:sSub>
      </ns1:oMath>
      <ns0:r>
        <ns0:t xml:space="preserve">. Thus, for example, the elastic term on the template is</ns0:t>
      </ns0:r>
      <ns0:r>
        <ns0:t xml:space="preserve"> </ns0:t>
      </ns0:r>
      <ns1:oMath>
        <ns1:nary>
          <ns1:naryPr>
            <ns1:chr ns1:val="∫"/>
            <ns1:limLoc ns1:val="subSup"/>
            <ns1:subHide ns1:val="0"/>
            <ns1:supHide ns1:val="1"/>
          </ns1:naryPr>
          <ns1:sub>
            <ns1:sSub>
              <ns1:e>
                <ns1:r>
                  <ns1:t>Ω</ns1:t>
                </ns1:r>
              </ns1:e>
              <ns1:sub>
                <ns1:r>
                  <ns1:t>0</ns1:t>
                </ns1:r>
              </ns1:sub>
            </ns1:sSub>
          </ns1:sub>
          <ns1:sup>
            <ns1:r>
              <ns1:t>​</ns1:t>
            </ns1:r>
          </ns1:sup>
          <ns1:e>
            <ns1:r>
              <ns1:rPr>
                <ns1:sty ns1:val="p"/>
              </ns1:rPr>
              <ns1:t>(</ns1:t>
            </ns1:r>
          </ns1:e>
        </ns1:nary>
        <ns1:sSub>
          <ns1:e>
            <ns1:r>
              <ns1:rPr>
                <ns1:sty ns1:val="b"/>
              </ns1:rPr>
              <ns1:t>C</ns1:t>
            </ns1:r>
          </ns1:e>
          <ns1:sub>
            <ns1:r>
              <ns1:t>i</ns1:t>
            </ns1:r>
          </ns1:sub>
        </ns1:sSub>
        <ns1:sSub>
          <ns1:e>
            <ns1:r>
              <ns1:rPr>
                <ns1:sty ns1:val="b"/>
              </ns1:rPr>
              <ns1:t>ε</ns1:t>
            </ns1:r>
          </ns1:e>
          <ns1:sub>
            <ns1:r>
              <ns1:t>i</ns1:t>
            </ns1:r>
          </ns1:sub>
        </ns1:sSub>
        <ns1:r>
          <ns1:rPr>
            <ns1:sty ns1:val="p"/>
          </ns1:rPr>
          <ns1:t>(</ns1:t>
        </ns1:r>
        <ns1:r>
          <ns1:rPr>
            <ns1:sty ns1:val="b"/>
          </ns1:rPr>
          <ns1:t>u</ns1:t>
        </ns1:r>
        <ns1:r>
          <ns1:rPr>
            <ns1:sty ns1:val="p"/>
          </ns1:rPr>
          <ns1:t>)</ns1:t>
        </ns1:r>
        <ns1:r>
          <ns1:rPr>
            <ns1:sty ns1:val="p"/>
          </ns1:rPr>
          <ns1:t>)</ns1:t>
        </ns1:r>
        <ns1:r>
          <ns1:rPr>
            <ns1:sty ns1:val="p"/>
          </ns1:rPr>
          <ns1:t>:</ns1:t>
        </ns1:r>
        <ns1:sSub>
          <ns1:e>
            <ns1:r>
              <ns1:rPr>
                <ns1:sty ns1:val="b"/>
              </ns1:rPr>
              <ns1:t>ε</ns1:t>
            </ns1:r>
          </ns1:e>
          <ns1:sub>
            <ns1:r>
              <ns1:t>i</ns1:t>
            </ns1:r>
          </ns1:sub>
        </ns1:sSub>
        <ns1:r>
          <ns1:rPr>
            <ns1:sty ns1:val="p"/>
          </ns1:rPr>
          <ns1:t>(</ns1:t>
        </ns1:r>
        <ns1:r>
          <ns1:rPr>
            <ns1:sty ns1:val="b"/>
          </ns1:rPr>
          <ns1:t>v</ns1:t>
        </ns1:r>
        <ns1:r>
          <ns1:rPr>
            <ns1:sty ns1:val="p"/>
          </ns1:rPr>
          <ns1:t>)</ns1:t>
        </ns1:r>
        <ns1:r>
          <ns1:t> </ns1:t>
        </ns1:r>
        <ns1:sSub>
          <ns1:e>
            <ns1:r>
              <ns1:t>J</ns1:t>
            </ns1:r>
          </ns1:e>
          <ns1:sub>
            <ns1:r>
              <ns1:t>i</ns1:t>
            </ns1:r>
          </ns1:sub>
        </ns1:sSub>
        <ns1:r>
          <ns1:t> </ns1:t>
        </ns1:r>
        <ns1:r>
          <ns1:t>d</ns1:t>
        </ns1:r>
        <ns1:sSub>
          <ns1:e>
            <ns1:r>
              <ns1:t>V</ns1:t>
            </ns1:r>
          </ns1:e>
          <ns1:sub>
            <ns1:r>
              <ns1:t>0</ns1:t>
            </ns1:r>
          </ns1:sub>
        </ns1:sSub>
      </ns1:oMath>
      <ns0:r>
        <ns0:t xml:space="preserve">. For physical coordinates in mm, find the discrete displacement</ns0:t>
      </ns0:r>
      <ns0:r>
        <ns0:t xml:space="preserve"> </ns0:t>
      </ns0:r>
      <ns1:oMath>
        <ns1:sSub>
          <ns1:e>
            <ns1:r>
              <ns1:rPr>
                <ns1:sty ns1:val="b"/>
              </ns1:rPr>
              <ns1:t>u</ns1:t>
            </ns1:r>
          </ns1:e>
          <ns1:sub>
            <ns1:r>
              <ns1:t>h</ns1:t>
            </ns1:r>
          </ns1:sub>
        </ns1:sSub>
      </ns1:oMath>
      <ns0:r>
        <ns0:t xml:space="preserve"> </ns0:t>
      </ns0:r>
      <ns0:r>
        <ns0:t xml:space="preserve">such that, for every test displacement</ns0:t>
      </ns0:r>
      <ns0:r>
        <ns0:t xml:space="preserve"> </ns0:t>
      </ns0:r>
      <ns1:oMath>
        <ns1:sSub>
          <ns1:e>
            <ns1:r>
              <ns1:rPr>
                <ns1:sty ns1:val="b"/>
              </ns1:rPr>
              <ns1:t>v</ns1:t>
            </ns1:r>
          </ns1:e>
          <ns1:sub>
            <ns1:r>
              <ns1:t>h</ns1:t>
            </ns1:r>
          </ns1:sub>
        </ns1:sSub>
      </ns1:oMath>
      <ns0:r>
        <ns0:t xml:space="preserve">, the weak problem is</ns0:t>
      </ns0:r>
    </ns0:p>
    <ns0:p>
      <ns0:pPr>
        <ns0:pStyle ns0:val="BodyText"/>
      </ns0:pPr>
      <ns1:oMathPara>
        <ns1:oMathParaPr>
          <ns1:jc ns1:val="center"/>
        </ns1:oMathParaPr>
        <ns1:oMath>
          <ns1:nary>
            <ns1:naryPr>
              <ns1:chr ns1:val="∫"/>
              <ns1:limLoc ns1:val="subSup"/>
              <ns1:subHide ns1:val="0"/>
              <ns1:supHide ns1:val="1"/>
            </ns1:naryPr>
            <ns1:sub>
              <ns1:sSub>
                <ns1:e>
                  <ns1:r>
                    <ns1:t>Ω</ns1:t>
                  </ns1:r>
                </ns1:e>
                <ns1:sub>
                  <ns1:r>
                    <ns1:t>i</ns1:t>
                  </ns1:r>
                </ns1:sub>
              </ns1:sSub>
            </ns1:sub>
            <ns1:sup>
              <ns1:r>
                <ns1:t>​</ns1:t>
              </ns1:r>
            </ns1:sup>
            <ns1:e>
              <ns1:sSub>
                <ns1:e>
                  <ns1:r>
                    <ns1:rPr>
                      <ns1:sty ns1:val="b"/>
                    </ns1:rPr>
                    <ns1:t>C</ns1:t>
                  </ns1:r>
                </ns1:e>
                <ns1:sub>
                  <ns1:r>
                    <ns1:t>i</ns1:t>
                  </ns1:r>
                </ns1:sub>
              </ns1:sSub>
            </ns1:e>
          </ns1:nary>
          <ns1:r>
            <ns1:rPr>
              <ns1:sty ns1:val="b"/>
            </ns1:rPr>
            <ns1:t>ε</ns1:t>
          </ns1:r>
          <ns1:r>
            <ns1:rPr>
              <ns1:sty ns1:val="p"/>
            </ns1:rPr>
            <ns1:t>(</ns1:t>
          </ns1:r>
          <ns1:r>
            <ns1:rPr>
              <ns1:sty ns1:val="b"/>
            </ns1:rPr>
            <ns1:t>u</ns1:t>
          </ns1:r>
          <ns1:r>
            <ns1:rPr>
              <ns1:sty ns1:val="p"/>
            </ns1:rPr>
            <ns1:t>)</ns1:t>
          </ns1:r>
          <ns1:r>
            <ns1:rPr>
              <ns1:sty ns1:val="p"/>
            </ns1:rPr>
            <ns1:t>:</ns1:t>
          </ns1:r>
          <ns1:r>
            <ns1:rPr>
              <ns1:sty ns1:val="b"/>
            </ns1:rPr>
            <ns1:t>ε</ns1:t>
          </ns1:r>
          <ns1:r>
            <ns1:rPr>
              <ns1:sty ns1:val="p"/>
            </ns1:rPr>
            <ns1:t>(</ns1:t>
          </ns1:r>
          <ns1:r>
            <ns1:rPr>
              <ns1:sty ns1:val="b"/>
            </ns1:rPr>
            <ns1:t>v</ns1:t>
          </ns1:r>
          <ns1:r>
            <ns1:rPr>
              <ns1:sty ns1:val="p"/>
            </ns1:rPr>
            <ns1:t>)</ns1:t>
          </ns1:r>
          <ns1:r>
            <ns1:t> </ns1:t>
          </ns1:r>
          <ns1:r>
            <ns1:t>d</ns1:t>
          </ns1:r>
          <ns1:r>
            <ns1:t>V</ns1:t>
          </ns1:r>
          <ns1:r>
            <ns1:rPr>
              <ns1:sty ns1:val="p"/>
            </ns1:rPr>
            <ns1:t>+</ns1:t>
          </ns1:r>
          <ns1:nary>
            <ns1:naryPr>
              <ns1:chr ns1:val="∫"/>
              <ns1:limLoc ns1:val="subSup"/>
              <ns1:subHide ns1:val="0"/>
              <ns1:supHide ns1:val="1"/>
            </ns1:naryPr>
            <ns1:sub>
              <ns1:sSub>
                <ns1:e>
                  <ns1:r>
                    <ns1:t>Γ</ns1:t>
                  </ns1:r>
                </ns1:e>
                <ns1:sub>
                  <ns1:r>
                    <ns1:t>S</ns1:t>
                  </ns1:r>
                  <ns1:r>
                    <ns1:t>1</ns1:t>
                  </ns1:r>
                  <ns1:r>
                    <ns1:rPr>
                      <ns1:sty ns1:val="p"/>
                    </ns1:rPr>
                    <ns1:t>,</ns1:t>
                  </ns1:r>
                  <ns1:r>
                    <ns1:t>i</ns1:t>
                  </ns1:r>
                </ns1:sub>
              </ns1:sSub>
            </ns1:sub>
            <ns1:sup>
              <ns1:r>
                <ns1:t>​</ns1:t>
              </ns1:r>
            </ns1:sup>
            <ns1:e>
              <ns1:r>
                <ns1:t>γ</ns1:t>
              </ns1:r>
            </ns1:e>
          </ns1:nary>
          <ns1:r>
            <ns1:t> </ns1:t>
          </ns1:r>
          <ns1:r>
            <ns1:rPr>
              <ns1:sty ns1:val="b"/>
            </ns1:rPr>
            <ns1:t>u</ns1:t>
          </ns1:r>
          <ns1:r>
            <ns1:rPr>
              <ns1:sty ns1:val="p"/>
            </ns1:rPr>
            <ns1:t>⋅</ns1:t>
          </ns1:r>
          <ns1:r>
            <ns1:rPr>
              <ns1:sty ns1:val="b"/>
            </ns1:rPr>
            <ns1:t>v</ns1:t>
          </ns1:r>
          <ns1:r>
            <ns1:t> </ns1:t>
          </ns1:r>
          <ns1:r>
            <ns1:t>d</ns1:t>
          </ns1:r>
          <ns1:r>
            <ns1:t>S</ns1:t>
          </ns1:r>
          <ns1:r>
            <ns1:rPr>
              <ns1:sty ns1:val="p"/>
            </ns1:rPr>
            <ns1:t>+</ns1:t>
          </ns1:r>
          <ns1:sSubSup>
            <ns1:e>
              <ns1:r>
                <ns1:rPr>
                  <ns1:sty ns1:val="b"/>
                </ns1:rPr>
                <ns1:t>v</ns1:t>
              </ns1:r>
            </ns1:e>
            <ns1:sub>
              <ns1:r>
                <ns1:t>h</ns1:t>
              </ns1:r>
            </ns1:sub>
            <ns1:sup>
              <ns1:r>
                <ns1:t>T</ns1:t>
              </ns1:r>
            </ns1:sup>
          </ns1:sSubSup>
          <ns1:sSub>
            <ns1:e>
              <ns1:r>
                <ns1:rPr>
                  <ns1:sty ns1:val="b"/>
                </ns1:rPr>
                <ns1:t>K</ns1:t>
              </ns1:r>
            </ns1:e>
            <ns1:sub>
              <ns1:r>
                <ns1:t>l</ns1:t>
              </ns1:r>
              <ns1:r>
                <ns1:t>i</ns1:t>
              </ns1:r>
              <ns1:r>
                <ns1:t>g</ns1:t>
              </ns1:r>
              <ns1:r>
                <ns1:rPr>
                  <ns1:sty ns1:val="p"/>
                </ns1:rPr>
                <ns1:t>,</ns1:t>
              </ns1:r>
              <ns1:r>
                <ns1:t>i</ns1:t>
              </ns1:r>
            </ns1:sub>
          </ns1:sSub>
          <ns1:sSub>
            <ns1:e>
              <ns1:r>
                <ns1:rPr>
                  <ns1:sty ns1:val="b"/>
                </ns1:rPr>
                <ns1:t>u</ns1:t>
              </ns1:r>
            </ns1:e>
            <ns1:sub>
              <ns1:r>
                <ns1:t>h</ns1:t>
              </ns1:r>
            </ns1:sub>
          </ns1:sSub>
          <ns1:r>
            <ns1:rPr>
              <ns1:sty ns1:val="p"/>
            </ns1:rPr>
            <ns1:t>=</ns1:t>
          </ns1:r>
          <ns1:nary>
            <ns1:naryPr>
              <ns1:chr ns1:val="∫"/>
              <ns1:limLoc ns1:val="subSup"/>
              <ns1:subHide ns1:val="0"/>
              <ns1:supHide ns1:val="1"/>
            </ns1:naryPr>
            <ns1:sub>
              <ns1:sSub>
                <ns1:e>
                  <ns1:r>
                    <ns1:t>Γ</ns1:t>
                  </ns1:r>
                </ns1:e>
                <ns1:sub>
                  <ns1:r>
                    <ns1:t>l</ns1:t>
                  </ns1:r>
                  <ns1:r>
                    <ns1:t>o</ns1:t>
                  </ns1:r>
                  <ns1:r>
                    <ns1:t>a</ns1:t>
                  </ns1:r>
                  <ns1:r>
                    <ns1:t>d</ns1:t>
                  </ns1:r>
                  <ns1:r>
                    <ns1:rPr>
                      <ns1:sty ns1:val="p"/>
                    </ns1:rPr>
                    <ns1:t>,</ns1:t>
                  </ns1:r>
                  <ns1:r>
                    <ns1:t>i</ns1:t>
                  </ns1:r>
                </ns1:sub>
              </ns1:sSub>
            </ns1:sub>
            <ns1:sup>
              <ns1:r>
                <ns1:t>​</ns1:t>
              </ns1:r>
            </ns1:sup>
            <ns1:e>
              <ns1:r>
                <ns1:rPr>
                  <ns1:sty ns1:val="b"/>
                </ns1:rPr>
                <ns1:t>t</ns1:t>
              </ns1:r>
            </ns1:e>
          </ns1:nary>
          <ns1:r>
            <ns1:rPr>
              <ns1:sty ns1:val="p"/>
            </ns1:rPr>
            <ns1:t>⋅</ns1:t>
          </ns1:r>
          <ns1:r>
            <ns1:rPr>
              <ns1:sty ns1:val="b"/>
            </ns1:rPr>
            <ns1:t>v</ns1:t>
          </ns1:r>
          <ns1:r>
            <ns1:t> </ns1:t>
          </ns1:r>
          <ns1:r>
            <ns1:t>d</ns1:t>
          </ns1:r>
          <ns1:r>
            <ns1:t>S</ns1:t>
          </ns1:r>
          <ns1:r>
            <ns1:rPr>
              <ns1:sty ns1:val="p"/>
            </ns1:rPr>
            <ns1:t>+</ns1:t>
          </ns1:r>
          <ns1:sSubSup>
            <ns1:e>
              <ns1:r>
                <ns1:rPr>
                  <ns1:sty ns1:val="b"/>
                </ns1:rPr>
                <ns1:t>v</ns1:t>
              </ns1:r>
            </ns1:e>
            <ns1:sub>
              <ns1:r>
                <ns1:t>h</ns1:t>
              </ns1:r>
            </ns1:sub>
            <ns1:sup>
              <ns1:r>
                <ns1:t>T</ns1:t>
              </ns1:r>
            </ns1:sup>
          </ns1:sSubSup>
          <ns1:sSub>
            <ns1:e>
              <ns1:r>
                <ns1:rPr>
                  <ns1:sty ns1:val="b"/>
                </ns1:rPr>
                <ns1:t>f</ns1:t>
              </ns1:r>
            </ns1:e>
            <ns1:sub>
              <ns1:r>
                <ns1:t>p</ns1:t>
              </ns1:r>
              <ns1:r>
                <ns1:t>r</ns1:t>
              </ns1:r>
              <ns1:r>
                <ns1:t>e</ns1:t>
              </ns1:r>
              <ns1:r>
                <ns1:rPr>
                  <ns1:sty ns1:val="p"/>
                </ns1:rPr>
                <ns1:t>,</ns1:t>
              </ns1:r>
              <ns1:r>
                <ns1:t>i</ns1:t>
              </ns1:r>
            </ns1:sub>
          </ns1:sSub>
          <ns1:r>
            <ns1:rPr>
              <ns1:sty ns1:val="p"/>
            </ns1:rPr>
            <ns1:t>.</ns1:t>
          </ns1:r>
        </ns1:oMath>
      </ns1:oMathPara>
    </ns0:p>
    <ns0:p>
      <ns0:pPr>
        <ns0:pStyle ns0:val="FirstParagraph"/>
      </ns0:pPr>
      <ns0:r>
        <ns0:t xml:space="preserve">Here</ns0:t>
      </ns0:r>
      <ns0:r>
        <ns0:t xml:space="preserve"> </ns0:t>
      </ns0:r>
      <ns1:oMath>
        <ns1:sSub>
          <ns1:e>
            <ns1:r>
              <ns1:rPr>
                <ns1:sty ns1:val="b"/>
              </ns1:rPr>
              <ns1:t>C</ns1:t>
            </ns1:r>
          </ns1:e>
          <ns1:sub>
            <ns1:r>
              <ns1:t>i</ns1:t>
            </ns1:r>
          </ns1:sub>
        </ns1:sSub>
      </ns1:oMath>
      <ns0:r>
        <ns0:t xml:space="preserve"> </ns0:t>
      </ns0:r>
      <ns0:r>
        <ns0:t xml:space="preserve">is the isotropic elasticity tensor,</ns0:t>
      </ns0:r>
      <ns0:r>
        <ns0:t xml:space="preserve"> </ns0:t>
      </ns0:r>
      <ns1:oMath>
        <ns1:r>
          <ns1:rPr>
            <ns1:sty ns1:val="b"/>
          </ns1:rPr>
          <ns1:t>t</ns1:t>
        </ns1:r>
      </ns1:oMath>
      <ns0:r>
        <ns0:t xml:space="preserve"> </ns0:t>
      </ns0:r>
      <ns0:r>
        <ns0:t xml:space="preserve">is the prescribed surface traction, and</ns0:t>
      </ns0:r>
      <ns0:r>
        <ns0:t xml:space="preserve"> </ns0:t>
      </ns0:r>
      <ns1:oMath>
        <ns1:sSub>
          <ns1:e>
            <ns1:r>
              <ns1:rPr>
                <ns1:sty ns1:val="b"/>
              </ns1:rPr>
              <ns1:t>u</ns1:t>
            </ns1:r>
          </ns1:e>
          <ns1:sub>
            <ns1:r>
              <ns1:t>h</ns1:t>
            </ns1:r>
          </ns1:sub>
        </ns1:sSub>
        <ns1:r>
          <ns1:rPr>
            <ns1:sty ns1:val="p"/>
          </ns1:rPr>
          <ns1:t>,</ns1:t>
        </ns1:r>
        <ns1:sSub>
          <ns1:e>
            <ns1:r>
              <ns1:rPr>
                <ns1:sty ns1:val="b"/>
              </ns1:rPr>
              <ns1:t>v</ns1:t>
            </ns1:r>
          </ns1:e>
          <ns1:sub>
            <ns1:r>
              <ns1:t>h</ns1:t>
            </ns1:r>
          </ns1:sub>
        </ns1:sSub>
      </ns1:oMath>
      <ns0:r>
        <ns0:t xml:space="preserve"> </ns0:t>
      </ns0:r>
      <ns0:r>
        <ns0:t xml:space="preserve">are nodal coefficient vectors in the spring terms. In each tissue,</ns0:t>
      </ns0:r>
      <ns0:r>
        <ns0:t xml:space="preserve"> </ns0:t>
      </ns0:r>
      <ns1:oMath>
        <ns1:r>
          <ns1:rPr>
            <ns1:sty ns1:val="b"/>
          </ns1:rPr>
          <ns1:t>σ</ns1:t>
        </ns1:r>
        <ns1:r>
          <ns1:rPr>
            <ns1:sty ns1:val="p"/>
          </ns1:rPr>
          <ns1:t>=</ns1:t>
        </ns1:r>
        <ns1:r>
          <ns1:t>2</ns1:t>
        </ns1:r>
        <ns1:r>
          <ns1:t>μ</ns1:t>
        </ns1:r>
        <ns1:r>
          <ns1:rPr>
            <ns1:sty ns1:val="b"/>
          </ns1:rPr>
          <ns1:t>ε</ns1:t>
        </ns1:r>
        <ns1:r>
          <ns1:rPr>
            <ns1:sty ns1:val="p"/>
          </ns1:rPr>
          <ns1:t>+</ns1:t>
        </ns1:r>
        <ns1:r>
          <ns1:t>λ</ns1:t>
        </ns1:r>
        <ns1:r>
          <ns1:rPr>
            <ns1:nor/>
            <ns1:sty ns1:val="p"/>
          </ns1:rPr>
          <ns1:t>tr</ns1:t>
        </ns1:r>
        <ns1:r>
          <ns1:rPr>
            <ns1:sty ns1:val="p"/>
          </ns1:rPr>
          <ns1:t>(</ns1:t>
        </ns1:r>
        <ns1:r>
          <ns1:rPr>
            <ns1:sty ns1:val="b"/>
          </ns1:rPr>
          <ns1:t>ε</ns1:t>
        </ns1:r>
        <ns1:r>
          <ns1:rPr>
            <ns1:sty ns1:val="p"/>
          </ns1:rPr>
          <ns1:t>)</ns1:t>
        </ns1:r>
        <ns1:r>
          <ns1:rPr>
            <ns1:sty ns1:val="b"/>
          </ns1:rPr>
          <ns1:t>I</ns1:t>
        </ns1:r>
      </ns1:oMath>
      <ns0:r>
        <ns0:t xml:space="preserve">, with</ns0:t>
      </ns0:r>
      <ns0:r>
        <ns0:t xml:space="preserve"> </ns0:t>
      </ns0:r>
      <ns1:oMath>
        <ns1:r>
          <ns1:t>μ</ns1:t>
        </ns1:r>
        <ns1:r>
          <ns1:rPr>
            <ns1:sty ns1:val="p"/>
          </ns1:rPr>
          <ns1:t>=</ns1:t>
        </ns1:r>
        <ns1:r>
          <ns1:t>E</ns1:t>
        </ns1:r>
        <ns1:r>
          <ns1:rPr>
            <ns1:sty ns1:val="p"/>
          </ns1:rPr>
          <ns1:t>/</ns1:t>
        </ns1:r>
        <ns1:r>
          <ns1:rPr>
            <ns1:sty ns1:val="p"/>
          </ns1:rPr>
          <ns1:t>[</ns1:t>
        </ns1:r>
        <ns1:r>
          <ns1:t>2</ns1:t>
        </ns1:r>
        <ns1:r>
          <ns1:rPr>
            <ns1:sty ns1:val="p"/>
          </ns1:rPr>
          <ns1:t>(</ns1:t>
        </ns1:r>
        <ns1:r>
          <ns1:t>1</ns1:t>
        </ns1:r>
        <ns1:r>
          <ns1:rPr>
            <ns1:sty ns1:val="p"/>
          </ns1:rPr>
          <ns1:t>+</ns1:t>
        </ns1:r>
        <ns1:r>
          <ns1:t>ν</ns1:t>
        </ns1:r>
        <ns1:r>
          <ns1:rPr>
            <ns1:sty ns1:val="p"/>
          </ns1:rPr>
          <ns1:t>)</ns1:t>
        </ns1:r>
        <ns1:r>
          <ns1:rPr>
            <ns1:sty ns1:val="p"/>
          </ns1:rPr>
          <ns1:t>]</ns1:t>
        </ns1:r>
      </ns1:oMath>
      <ns0:r>
        <ns0:t xml:space="preserve"> </ns0:t>
      </ns0:r>
      <ns0:r>
        <ns0:t xml:space="preserve">and</ns0:t>
      </ns0:r>
      <ns0:r>
        <ns0:t xml:space="preserve"> </ns0:t>
      </ns0:r>
      <ns1:oMath>
        <ns1:r>
          <ns1:t>λ</ns1:t>
        </ns1:r>
        <ns1:r>
          <ns1:rPr>
            <ns1:sty ns1:val="p"/>
          </ns1:rPr>
          <ns1:t>=</ns1:t>
        </ns1:r>
        <ns1:r>
          <ns1:t>E</ns1:t>
        </ns1:r>
        <ns1:r>
          <ns1:t>ν</ns1:t>
        </ns1:r>
        <ns1:r>
          <ns1:rPr>
            <ns1:sty ns1:val="p"/>
          </ns1:rPr>
          <ns1:t>/</ns1:t>
        </ns1:r>
        <ns1:r>
          <ns1:rPr>
            <ns1:sty ns1:val="p"/>
          </ns1:rPr>
          <ns1:t>[</ns1:t>
        </ns1:r>
        <ns1:r>
          <ns1:rPr>
            <ns1:sty ns1:val="p"/>
          </ns1:rPr>
          <ns1:t>(</ns1:t>
        </ns1:r>
        <ns1:r>
          <ns1:t>1</ns1:t>
        </ns1:r>
        <ns1:r>
          <ns1:rPr>
            <ns1:sty ns1:val="p"/>
          </ns1:rPr>
          <ns1:t>+</ns1:t>
        </ns1:r>
        <ns1:r>
          <ns1:t>ν</ns1:t>
        </ns1:r>
        <ns1:r>
          <ns1:rPr>
            <ns1:sty ns1:val="p"/>
          </ns1:rPr>
          <ns1:t>)</ns1:t>
        </ns1:r>
        <ns1:r>
          <ns1:rPr>
            <ns1:sty ns1:val="p"/>
          </ns1:rPr>
          <ns1:t>(</ns1:t>
        </ns1:r>
        <ns1:r>
          <ns1:t>1</ns1:t>
        </ns1:r>
        <ns1:r>
          <ns1:rPr>
            <ns1:sty ns1:val="p"/>
          </ns1:rPr>
          <ns1:t>−</ns1:t>
        </ns1:r>
        <ns1:r>
          <ns1:t>2</ns1:t>
        </ns1:r>
        <ns1:r>
          <ns1:t>ν</ns1:t>
        </ns1:r>
        <ns1:r>
          <ns1:rPr>
            <ns1:sty ns1:val="p"/>
          </ns1:rPr>
          <ns1:t>)</ns1:t>
        </ns1:r>
        <ns1:r>
          <ns1:rPr>
            <ns1:sty ns1:val="p"/>
          </ns1:rPr>
          <ns1:t>]</ns1:t>
        </ns1:r>
      </ns1:oMath>
      <ns0:r>
        <ns0:t xml:space="preserve">. The surface penalty has units N/mm</ns0:t>
      </ns0:r>
      <ns1:oMath>
        <ns1:sSup>
          <ns1:e>
            <ns1:r>
              <ns1:t>​</ns1:t>
            </ns1:r>
          </ns1:e>
          <ns1:sup>
            <ns1:r>
              <ns1:t>3</ns1:t>
            </ns1:r>
          </ns1:sup>
        </ns1:sSup>
      </ns1:oMath>
      <ns0:r>
        <ns0:t xml:space="preserve">, because its associated traction is</ns0:t>
      </ns0:r>
      <ns0:r>
        <ns0:t xml:space="preserve"> </ns0:t>
      </ns0:r>
      <ns1:oMath>
        <ns1:r>
          <ns1:t>γ</ns1:t>
        </ns1:r>
        <ns1:r>
          <ns1:rPr>
            <ns1:sty ns1:val="b"/>
          </ns1:rPr>
          <ns1:t>u</ns1:t>
        </ns1:r>
      </ns1:oMath>
      <ns0:r>
        <ns0:t xml:space="preserve"> </ns0:t>
      </ns0:r>
      <ns0:r>
        <ns0:t xml:space="preserve">in N/mm</ns0:t>
      </ns0:r>
      <ns1:oMath>
        <ns1:sSup>
          <ns1:e>
            <ns1:r>
              <ns1:t>​</ns1:t>
            </ns1:r>
          </ns1:e>
          <ns1:sup>
            <ns1:r>
              <ns1:t>2</ns1:t>
            </ns1:r>
          </ns1:sup>
        </ns1:sSup>
      </ns1:oMath>
      <ns0:r>
        <ns0:t xml:space="preserve">. It imposes an approximate fixed boundary, not exact</ns0:t>
      </ns0:r>
      <ns0:r>
        <ns0:t xml:space="preserve"> </ns0:t>
      </ns0:r>
      <ns1:oMath>
        <ns1:r>
          <ns1:rPr>
            <ns1:sty ns1:val="b"/>
          </ns1:rPr>
          <ns1:t>u</ns1:t>
        </ns1:r>
        <ns1:r>
          <ns1:rPr>
            <ns1:sty ns1:val="p"/>
          </ns1:rPr>
          <ns1:t>=</ns1:t>
        </ns1:r>
        <ns1:r>
          <ns1:t>0</ns1:t>
        </ns1:r>
      </ns1:oMath>
      <ns0:r>
        <ns0:t xml:space="preserve">. The ligament stiffness and pretension terms are required for consistency with the assembled solver. For one spring segment of length</ns0:t>
      </ns0:r>
      <ns0:r>
        <ns0:t xml:space="preserve"> </ns0:t>
      </ns0:r>
      <ns1:oMath>
        <ns1:r>
          <ns1:t>L</ns1:t>
        </ns1:r>
      </ns1:oMath>
      <ns0:r>
        <ns0:t xml:space="preserve">, direction</ns0:t>
      </ns0:r>
      <ns0:r>
        <ns0:t xml:space="preserve"> </ns0:t>
      </ns0:r>
      <ns1:oMath>
        <ns1:r>
          <ns1:rPr>
            <ns1:sty ns1:val="b"/>
          </ns1:rPr>
          <ns1:t>e</ns1:t>
        </ns1:r>
      </ns1:oMath>
      <ns0:r>
        <ns0:t xml:space="preserve">, assigned stiffness</ns0:t>
      </ns0:r>
      <ns0:r>
        <ns0:t xml:space="preserve"> </ns0:t>
      </ns0:r>
      <ns1:oMath>
        <ns1:r>
          <ns1:t>k</ns1:t>
        </ns1:r>
      </ns1:oMath>
      <ns0:r>
        <ns0:t xml:space="preserve"> </ns0:t>
      </ns0:r>
      <ns0:r>
        <ns0:t xml:space="preserve">and pretension</ns0:t>
      </ns0:r>
      <ns0:r>
        <ns0:t xml:space="preserve"> </ns0:t>
      </ns0:r>
      <ns1:oMath>
        <ns1:r>
          <ns1:t>T</ns1:t>
        </ns1:r>
      </ns1:oMath>
      <ns0:r>
        <ns0:t xml:space="preserve">, its directional stiffness is</ns0:t>
      </ns0:r>
    </ns0:p>
    <ns0:p>
      <ns0:pPr>
        <ns0:pStyle ns0:val="BodyText"/>
      </ns0:pPr>
      <ns1:oMathPara>
        <ns1:oMathParaPr>
          <ns1:jc ns1:val="center"/>
        </ns1:oMathParaPr>
        <ns1:oMath>
          <ns1:r>
            <ns1:rPr>
              <ns1:sty ns1:val="b"/>
            </ns1:rPr>
            <ns1:t>W</ns1:t>
          </ns1:r>
          <ns1:r>
            <ns1:rPr>
              <ns1:sty ns1:val="p"/>
            </ns1:rPr>
            <ns1:t>=</ns1:t>
          </ns1:r>
          <ns1:r>
            <ns1:t>k</ns1:t>
          </ns1:r>
          <ns1:r>
            <ns1:rPr>
              <ns1:sty ns1:val="b"/>
            </ns1:rPr>
            <ns1:t>e</ns1:t>
          </ns1:r>
          <ns1:sSup>
            <ns1:e>
              <ns1:r>
                <ns1:rPr>
                  <ns1:sty ns1:val="b"/>
                </ns1:rPr>
                <ns1:t>e</ns1:t>
              </ns1:r>
            </ns1:e>
            <ns1:sup>
              <ns1:r>
                <ns1:t>T</ns1:t>
              </ns1:r>
            </ns1:sup>
          </ns1:sSup>
          <ns1:r>
            <ns1:rPr>
              <ns1:sty ns1:val="p"/>
            </ns1:rPr>
            <ns1:t>+</ns1:t>
          </ns1:r>
          <ns1:r>
            <ns1:rPr>
              <ns1:sty ns1:val="p"/>
            </ns1:rPr>
            <ns1:t>(</ns1:t>
          </ns1:r>
          <ns1:r>
            <ns1:t>T</ns1:t>
          </ns1:r>
          <ns1:r>
            <ns1:rPr>
              <ns1:sty ns1:val="p"/>
            </ns1:rPr>
            <ns1:t>/</ns1:t>
          </ns1:r>
          <ns1:r>
            <ns1:t>L</ns1:t>
          </ns1:r>
          <ns1:r>
            <ns1:rPr>
              <ns1:sty ns1:val="p"/>
            </ns1:rPr>
            <ns1:t>)</ns1:t>
          </ns1:r>
          <ns1:r>
            <ns1:rPr>
              <ns1:sty ns1:val="p"/>
            </ns1:rPr>
            <ns1:t>(</ns1:t>
          </ns1:r>
          <ns1:r>
            <ns1:rPr>
              <ns1:sty ns1:val="b"/>
            </ns1:rPr>
            <ns1:t>I</ns1:t>
          </ns1:r>
          <ns1:r>
            <ns1:rPr>
              <ns1:sty ns1:val="p"/>
            </ns1:rPr>
            <ns1:t>−</ns1:t>
          </ns1:r>
          <ns1:r>
            <ns1:rPr>
              <ns1:sty ns1:val="b"/>
            </ns1:rPr>
            <ns1:t>e</ns1:t>
          </ns1:r>
          <ns1:sSup>
            <ns1:e>
              <ns1:r>
                <ns1:rPr>
                  <ns1:sty ns1:val="b"/>
                </ns1:rPr>
                <ns1:t>e</ns1:t>
              </ns1:r>
            </ns1:e>
            <ns1:sup>
              <ns1:r>
                <ns1:t>T</ns1:t>
              </ns1:r>
            </ns1:sup>
          </ns1:sSup>
          <ns1:r>
            <ns1:rPr>
              <ns1:sty ns1:val="p"/>
            </ns1:rPr>
            <ns1:t>)</ns1:t>
          </ns1:r>
          <ns1:r>
            <ns1:rPr>
              <ns1:sty ns1:val="p"/>
            </ns1:rPr>
            <ns1:t>.</ns1:t>
          </ns1:r>
        </ns1:oMath>
      </ns1:oMathPara>
    </ns0:p>
    <ns0:p>
      <ns0:pPr>
        <ns0:pStyle ns0:val="FirstParagraph"/>
      </ns0:pPr>
      <ns0:r>
        <ns0:t xml:space="preserve">This matrix is assembled with opposite off-diagonal blocks at its two endpoints. It is a linearized spring representation without tension-only switching.</ns0:t>
      </ns0:r>
    </ns0:p>
    <ns0:p>
      <ns0:pPr>
        <ns0:pStyle ns0:val="BodyText"/>
      </ns0:pPr>
      <ns0:r>
        <ns0:t xml:space="preserve">The surface measure obeys</ns0:t>
      </ns0:r>
      <ns0:r>
        <ns0:t xml:space="preserve"> </ns0:t>
      </ns0:r>
      <ns1:oMath>
        <ns1:r>
          <ns1:t>d</ns1:t>
        </ns1:r>
        <ns1:sSub>
          <ns1:e>
            <ns1:r>
              <ns1:t>S</ns1:t>
            </ns1:r>
          </ns1:e>
          <ns1:sub>
            <ns1:r>
              <ns1:t>i</ns1:t>
            </ns1:r>
          </ns1:sub>
        </ns1:sSub>
        <ns1:r>
          <ns1:rPr>
            <ns1:sty ns1:val="p"/>
          </ns1:rPr>
          <ns1:t>=</ns1:t>
        </ns1:r>
        <ns1:sSub>
          <ns1:e>
            <ns1:r>
              <ns1:t>J</ns1:t>
            </ns1:r>
          </ns1:e>
          <ns1:sub>
            <ns1:r>
              <ns1:t>s</ns1:t>
            </ns1:r>
            <ns1:r>
              <ns1:t>u</ns1:t>
            </ns1:r>
            <ns1:r>
              <ns1:t>r</ns1:t>
            </ns1:r>
            <ns1:r>
              <ns1:t>f</ns1:t>
            </ns1:r>
            <ns1:r>
              <ns1:rPr>
                <ns1:sty ns1:val="p"/>
              </ns1:rPr>
              <ns1:t>,</ns1:t>
            </ns1:r>
            <ns1:r>
              <ns1:t>i</ns1:t>
            </ns1:r>
          </ns1:sub>
        </ns1:sSub>
        <ns1:r>
          <ns1:t>d</ns1:t>
        </ns1:r>
        <ns1:sSub>
          <ns1:e>
            <ns1:r>
              <ns1:t>S</ns1:t>
            </ns1:r>
          </ns1:e>
          <ns1:sub>
            <ns1:r>
              <ns1:t>0</ns1:t>
            </ns1:r>
          </ns1:sub>
        </ns1:sSub>
      </ns1:oMath>
      <ns0:r>
        <ns0:t xml:space="preserve">, where</ns0:t>
      </ns0:r>
    </ns0:p>
    <ns0:p>
      <ns0:pPr>
        <ns0:pStyle ns0:val="BodyText"/>
      </ns0:pPr>
      <ns1:oMathPara>
        <ns1:oMathParaPr>
          <ns1:jc ns1:val="center"/>
        </ns1:oMathParaPr>
        <ns1:oMath>
          <ns1:sSub>
            <ns1:e>
              <ns1:r>
                <ns1:t>J</ns1:t>
              </ns1:r>
            </ns1:e>
            <ns1:sub>
              <ns1:r>
                <ns1:t>s</ns1:t>
              </ns1:r>
              <ns1:r>
                <ns1:t>u</ns1:t>
              </ns1:r>
              <ns1:r>
                <ns1:t>r</ns1:t>
              </ns1:r>
              <ns1:r>
                <ns1:t>f</ns1:t>
              </ns1:r>
              <ns1:r>
                <ns1:rPr>
                  <ns1:sty ns1:val="p"/>
                </ns1:rPr>
                <ns1:t>,</ns1:t>
              </ns1:r>
              <ns1:r>
                <ns1:t>i</ns1:t>
              </ns1:r>
            </ns1:sub>
          </ns1:sSub>
          <ns1:r>
            <ns1:rPr>
              <ns1:sty ns1:val="p"/>
            </ns1:rPr>
            <ns1:t>=</ns1:t>
          </ns1:r>
          <ns1:sSub>
            <ns1:e>
              <ns1:r>
                <ns1:t>J</ns1:t>
              </ns1:r>
            </ns1:e>
            <ns1:sub>
              <ns1:r>
                <ns1:t>i</ns1:t>
              </ns1:r>
            </ns1:sub>
          </ns1:sSub>
          <ns1:r>
            <ns1:rPr>
              <ns1:sty ns1:val="p"/>
            </ns1:rPr>
            <ns1:t>∥</ns1:t>
          </ns1:r>
          <ns1:sSubSup>
            <ns1:e>
              <ns1:r>
                <ns1:rPr>
                  <ns1:sty ns1:val="b"/>
                </ns1:rPr>
                <ns1:t>F</ns1:t>
              </ns1:r>
            </ns1:e>
            <ns1:sub>
              <ns1:r>
                <ns1:t>i</ns1:t>
              </ns1:r>
            </ns1:sub>
            <ns1:sup>
              <ns1:r>
                <ns1:rPr>
                  <ns1:sty ns1:val="p"/>
                </ns1:rPr>
                <ns1:t>−</ns1:t>
              </ns1:r>
              <ns1:r>
                <ns1:t>T</ns1:t>
              </ns1:r>
            </ns1:sup>
          </ns1:sSubSup>
          <ns1:sSub>
            <ns1:e>
              <ns1:r>
                <ns1:rPr>
                  <ns1:sty ns1:val="b"/>
                </ns1:rPr>
                <ns1:t>n</ns1:t>
              </ns1:r>
            </ns1:e>
            <ns1:sub>
              <ns1:r>
                <ns1:t>0</ns1:t>
              </ns1:r>
            </ns1:sub>
          </ns1:sSub>
          <ns1:r>
            <ns1:rPr>
              <ns1:sty ns1:val="p"/>
            </ns1:rPr>
            <ns1:t>∥</ns1:t>
          </ns1:r>
          <ns1:r>
            <ns1:rPr>
              <ns1:sty ns1:val="p"/>
            </ns1:rPr>
            <ns1:t>,</ns1:t>
          </ns1:r>
          <ns1:r>
            <ns1:t>  </ns1:t>
          </ns1:r>
          <ns1:r>
            <ns1:rPr>
              <ns1:sty ns1:val="b"/>
            </ns1:rPr>
            <ns1:t>t</ns1:t>
          </ns1:r>
          <ns1:r>
            <ns1:rPr>
              <ns1:sty ns1:val="p"/>
            </ns1:rPr>
            <ns1:t>=</ns1:t>
          </ns1:r>
          <ns1:f>
            <ns1:fPr>
              <ns1:type ns1:val="bar"/>
            </ns1:fPr>
            <ns1:num>
              <ns1:sSup>
                <ns1:e>
                  <ns1:r>
                    <ns1:rPr>
                      <ns1:sty ns1:val="b"/>
                    </ns1:rPr>
                    <ns1:t>F</ns1:t>
                  </ns1:r>
                </ns1:e>
                <ns1:sup>
                  <ns1:r>
                    <ns1:t>t</ns1:t>
                  </ns1:r>
                  <ns1:r>
                    <ns1:t>o</ns1:t>
                  </ns1:r>
                  <ns1:r>
                    <ns1:t>t</ns1:t>
                  </ns1:r>
                </ns1:sup>
              </ns1:sSup>
            </ns1:num>
            <ns1:den>
              <ns1:nary>
                <ns1:naryPr>
                  <ns1:chr ns1:val="∫"/>
                  <ns1:limLoc ns1:val="subSup"/>
                  <ns1:subHide ns1:val="0"/>
                  <ns1:supHide ns1:val="1"/>
                </ns1:naryPr>
                <ns1:sub>
                  <ns1:sSub>
                    <ns1:e>
                      <ns1:r>
                        <ns1:t>Γ</ns1:t>
                      </ns1:r>
                    </ns1:e>
                    <ns1:sub>
                      <ns1:r>
                        <ns1:t>l</ns1:t>
                      </ns1:r>
                      <ns1:r>
                        <ns1:t>o</ns1:t>
                      </ns1:r>
                      <ns1:r>
                        <ns1:t>a</ns1:t>
                      </ns1:r>
                      <ns1:r>
                        <ns1:t>d</ns1:t>
                      </ns1:r>
                      <ns1:r>
                        <ns1:rPr>
                          <ns1:sty ns1:val="p"/>
                        </ns1:rPr>
                        <ns1:t>,</ns1:t>
                      </ns1:r>
                      <ns1:r>
                        <ns1:t>0</ns1:t>
                      </ns1:r>
                    </ns1:sub>
                  </ns1:sSub>
                </ns1:sub>
                <ns1:sup>
                  <ns1:r>
                    <ns1:t>​</ns1:t>
                  </ns1:r>
                </ns1:sup>
                <ns1:e>
                  <ns1:sSub>
                    <ns1:e>
                      <ns1:r>
                        <ns1:t>J</ns1:t>
                      </ns1:r>
                    </ns1:e>
                    <ns1:sub>
                      <ns1:r>
                        <ns1:t>s</ns1:t>
                      </ns1:r>
                      <ns1:r>
                        <ns1:t>u</ns1:t>
                      </ns1:r>
                      <ns1:r>
                        <ns1:t>r</ns1:t>
                      </ns1:r>
                      <ns1:r>
                        <ns1:t>f</ns1:t>
                      </ns1:r>
                      <ns1:r>
                        <ns1:rPr>
                          <ns1:sty ns1:val="p"/>
                        </ns1:rPr>
                        <ns1:t>,</ns1:t>
                      </ns1:r>
                      <ns1:r>
                        <ns1:t>i</ns1:t>
                      </ns1:r>
                    </ns1:sub>
                  </ns1:sSub>
                </ns1:e>
              </ns1:nary>
              <ns1:r>
                <ns1:t> </ns1:t>
              </ns1:r>
              <ns1:r>
                <ns1:t>d</ns1:t>
              </ns1:r>
              <ns1:sSub>
                <ns1:e>
                  <ns1:r>
                    <ns1:t>S</ns1:t>
                  </ns1:r>
                </ns1:e>
                <ns1:sub>
                  <ns1:r>
                    <ns1:t>0</ns1:t>
                  </ns1:r>
                </ns1:sub>
              </ns1:sSub>
            </ns1:den>
          </ns1:f>
          <ns1:r>
            <ns1:rPr>
              <ns1:sty ns1:val="p"/>
            </ns1:rPr>
            <ns1:t>.</ns1:t>
          </ns1:r>
        </ns1:oMath>
      </ns1:oMathPara>
    </ns0:p>
    <ns0:p>
      <ns0:pPr>
        <ns0:pStyle ns0:val="FirstParagraph"/>
      </ns0:pPr>
      <ns0:r>
        <ns0:t xml:space="preserve">Thus the applied physical force integral equals</ns0:t>
      </ns0:r>
      <ns0:r>
        <ns0:t xml:space="preserve"> </ns0:t>
      </ns0:r>
      <ns1:oMath>
        <ns1:sSup>
          <ns1:e>
            <ns1:r>
              <ns1:rPr>
                <ns1:sty ns1:val="b"/>
              </ns1:rPr>
              <ns1:t>F</ns1:t>
            </ns1:r>
          </ns1:e>
          <ns1:sup>
            <ns1:r>
              <ns1:t>t</ns1:t>
            </ns1:r>
            <ns1:r>
              <ns1:t>o</ns1:t>
            </ns1:r>
            <ns1:r>
              <ns1:t>t</ns1:t>
            </ns1:r>
          </ns1:sup>
        </ns1:sSup>
      </ns1:oMath>
      <ns0:r>
        <ns0:t xml:space="preserve">. The penalty and load integrals use the corresponding mapped surface measures. The force vectors are listed in Table 2; their global axes are not assumed identical to the PCA reporting axes below.</ns0:t>
      </ns0:r>
    </ns0:p>
    <ns0:bookmarkEnd ns0:id="64"/>
    <ns0:bookmarkStart ns0:id="65" ns0:name="a.3.-unloaded-and-loaded-surfaces"/>
    <ns0:p>
      <ns0:pPr>
        <ns0:pStyle ns0:val="Heading2"/>
      </ns0:pPr>
      <ns0:r>
        <ns0:t xml:space="preserve">A.3. Unloaded and loaded surfaces</ns0:t>
      </ns0:r>
    </ns0:p>
    <ns0:p>
      <ns0:pPr>
        <ns0:pStyle ns0:val="FirstParagraph"/>
      </ns0:pPr>
      <ns0:r>
        <ns0:t xml:space="preserve">Let</ns0:t>
      </ns0:r>
      <ns0:r>
        <ns0:t xml:space="preserve"> </ns0:t>
      </ns0:r>
      <ns1:oMath>
        <ns1:sSub>
          <ns1:e>
            <ns1:r>
              <ns1:rPr>
                <ns1:sty ns1:val="b"/>
              </ns1:rPr>
              <ns1:t>X</ns1:t>
            </ns1:r>
          </ns1:e>
          <ns1:sub>
            <ns1:r>
              <ns1:t>j</ns1:t>
            </ns1:r>
          </ns1:sub>
        </ns1:sSub>
      </ns1:oMath>
      <ns0:r>
        <ns0:t xml:space="preserve"> </ns0:t>
      </ns0:r>
      <ns0:r>
        <ns0:t xml:space="preserve">be surface template nodes. The two point clouds used for kinematics are</ns0:t>
      </ns0:r>
    </ns0:p>
    <ns0:p>
      <ns0:pPr>
        <ns0:pStyle ns0:val="BodyText"/>
      </ns0:pPr>
      <ns1:oMathPara>
        <ns1:oMathParaPr>
          <ns1:jc ns1:val="center"/>
        </ns1:oMathParaPr>
        <ns1:oMath>
          <ns1:sSubSup>
            <ns1:e>
              <ns1:r>
                <ns1:rPr>
                  <ns1:sty ns1:val="b"/>
                </ns1:rPr>
                <ns1:t>p</ns1:t>
              </ns1:r>
            </ns1:e>
            <ns1:sub>
              <ns1:r>
                <ns1:t>i</ns1:t>
              </ns1:r>
              <ns1:r>
                <ns1:t>j</ns1:t>
              </ns1:r>
            </ns1:sub>
            <ns1:sup>
              <ns1:r>
                <ns1:t>0</ns1:t>
              </ns1:r>
            </ns1:sup>
          </ns1:sSubSup>
          <ns1:r>
            <ns1:rPr>
              <ns1:sty ns1:val="p"/>
            </ns1:rPr>
            <ns1:t>=</ns1:t>
          </ns1:r>
          <ns1:sSub>
            <ns1:e>
              <ns1:r>
                <ns1:rPr>
                  <ns1:sty ns1:val="b"/>
                </ns1:rPr>
                <ns1:t>X</ns1:t>
              </ns1:r>
            </ns1:e>
            <ns1:sub>
              <ns1:r>
                <ns1:t>j</ns1:t>
              </ns1:r>
            </ns1:sub>
          </ns1:sSub>
          <ns1:r>
            <ns1:rPr>
              <ns1:sty ns1:val="p"/>
            </ns1:rPr>
            <ns1:t>+</ns1:t>
          </ns1:r>
          <ns1:sSub>
            <ns1:e>
              <ns1:r>
                <ns1:rPr>
                  <ns1:sty ns1:val="b"/>
                </ns1:rPr>
                <ns1:t>ϕ</ns1:t>
              </ns1:r>
            </ns1:e>
            <ns1:sub>
              <ns1:r>
                <ns1:t>i</ns1:t>
              </ns1:r>
            </ns1:sub>
          </ns1:sSub>
          <ns1:r>
            <ns1:rPr>
              <ns1:sty ns1:val="p"/>
            </ns1:rPr>
            <ns1:t>(</ns1:t>
          </ns1:r>
          <ns1:sSub>
            <ns1:e>
              <ns1:r>
                <ns1:rPr>
                  <ns1:sty ns1:val="b"/>
                </ns1:rPr>
                <ns1:t>X</ns1:t>
              </ns1:r>
            </ns1:e>
            <ns1:sub>
              <ns1:r>
                <ns1:t>j</ns1:t>
              </ns1:r>
            </ns1:sub>
          </ns1:sSub>
          <ns1:r>
            <ns1:rPr>
              <ns1:sty ns1:val="p"/>
            </ns1:rPr>
            <ns1:t>)</ns1:t>
          </ns1:r>
          <ns1:r>
            <ns1:rPr>
              <ns1:sty ns1:val="p"/>
            </ns1:rPr>
            <ns1:t>,</ns1:t>
          </ns1:r>
          <ns1:r>
            <ns1:t>  </ns1:t>
          </ns1:r>
          <ns1:sSubSup>
            <ns1:e>
              <ns1:r>
                <ns1:rPr>
                  <ns1:sty ns1:val="b"/>
                </ns1:rPr>
                <ns1:t>p</ns1:t>
              </ns1:r>
            </ns1:e>
            <ns1:sub>
              <ns1:r>
                <ns1:t>i</ns1:t>
              </ns1:r>
              <ns1:r>
                <ns1:rPr>
                  <ns1:sty ns1:val="p"/>
                </ns1:rPr>
                <ns1:t>ℓ</ns1:t>
              </ns1:r>
              <ns1:r>
                <ns1:t>j</ns1:t>
              </ns1:r>
            </ns1:sub>
            <ns1:sup>
              <ns1:r>
                <ns1:t>1</ns1:t>
              </ns1:r>
            </ns1:sup>
          </ns1:sSubSup>
          <ns1:r>
            <ns1:rPr>
              <ns1:sty ns1:val="p"/>
            </ns1:rPr>
            <ns1:t>=</ns1:t>
          </ns1:r>
          <ns1:sSubSup>
            <ns1:e>
              <ns1:r>
                <ns1:rPr>
                  <ns1:sty ns1:val="b"/>
                </ns1:rPr>
                <ns1:t>p</ns1:t>
              </ns1:r>
            </ns1:e>
            <ns1:sub>
              <ns1:r>
                <ns1:t>i</ns1:t>
              </ns1:r>
              <ns1:r>
                <ns1:t>j</ns1:t>
              </ns1:r>
            </ns1:sub>
            <ns1:sup>
              <ns1:r>
                <ns1:t>0</ns1:t>
              </ns1:r>
            </ns1:sup>
          </ns1:sSubSup>
          <ns1:r>
            <ns1:rPr>
              <ns1:sty ns1:val="p"/>
            </ns1:rPr>
            <ns1:t>+</ns1:t>
          </ns1:r>
          <ns1:sSub>
            <ns1:e>
              <ns1:r>
                <ns1:rPr>
                  <ns1:sty ns1:val="b"/>
                </ns1:rPr>
                <ns1:t>u</ns1:t>
              </ns1:r>
            </ns1:e>
            <ns1:sub>
              <ns1:r>
                <ns1:t>i</ns1:t>
              </ns1:r>
              <ns1:r>
                <ns1:rPr>
                  <ns1:sty ns1:val="p"/>
                </ns1:rPr>
                <ns1:t>ℓ</ns1:t>
              </ns1:r>
            </ns1:sub>
          </ns1:sSub>
          <ns1:r>
            <ns1:rPr>
              <ns1:sty ns1:val="p"/>
            </ns1:rPr>
            <ns1:t>(</ns1:t>
          </ns1:r>
          <ns1:sSub>
            <ns1:e>
              <ns1:r>
                <ns1:rPr>
                  <ns1:sty ns1:val="b"/>
                </ns1:rPr>
                <ns1:t>X</ns1:t>
              </ns1:r>
            </ns1:e>
            <ns1:sub>
              <ns1:r>
                <ns1:t>j</ns1:t>
              </ns1:r>
            </ns1:sub>
          </ns1:sSub>
          <ns1:r>
            <ns1:rPr>
              <ns1:sty ns1:val="p"/>
            </ns1:rPr>
            <ns1:t>)</ns1:t>
          </ns1:r>
          <ns1:r>
            <ns1:rPr>
              <ns1:sty ns1:val="p"/>
            </ns1:rPr>
            <ns1:t>.</ns1:t>
          </ns1:r>
        </ns1:oMath>
      </ns1:oMathPara>
    </ns0:p>
    <ns0:p>
      <ns0:pPr>
        <ns0:pStyle ns0:val="FirstParagraph"/>
      </ns0:pPr>
      <ns0:r>
        <ns0:t xml:space="preserve">Both use identical topology and point correspondence. Here</ns0:t>
      </ns0:r>
      <ns0:r>
        <ns0:t xml:space="preserve"> </ns0:t>
      </ns0:r>
      <ns0:r>
        <ns0:t xml:space="preserve">“</ns0:t>
      </ns0:r>
      <ns0:r>
        <ns0:t xml:space="preserve">unloaded</ns0:t>
      </ns0:r>
      <ns0:r>
        <ns0:t xml:space="preserve">”</ns0:t>
      </ns0:r>
      <ns0:r>
        <ns0:t xml:space="preserve"> </ns0:t>
      </ns0:r>
      <ns0:r>
        <ns0:t xml:space="preserve">denotes the geometric reference with zero elastic displacement, not a separately equilibrated pretension-only state. The loaded field includes both the prescribed external load and the ligament pretension right-hand side. Comparing</ns0:t>
      </ns0:r>
      <ns0:r>
        <ns0:t xml:space="preserve"> </ns0:t>
      </ns0:r>
      <ns1:oMath>
        <ns1:sSub>
          <ns1:e>
            <ns1:r>
              <ns1:rPr>
                <ns1:sty ns1:val="b"/>
              </ns1:rPr>
              <ns1:t>X</ns1:t>
            </ns1:r>
          </ns1:e>
          <ns1:sub>
            <ns1:r>
              <ns1:t>j</ns1:t>
            </ns1:r>
          </ns1:sub>
        </ns1:sSub>
      </ns1:oMath>
      <ns0:r>
        <ns0:t xml:space="preserve"> </ns0:t>
      </ns0:r>
      <ns0:r>
        <ns0:t xml:space="preserve">with</ns0:t>
      </ns0:r>
      <ns0:r>
        <ns0:t xml:space="preserve"> </ns0:t>
      </ns0:r>
      <ns1:oMath>
        <ns1:sSubSup>
          <ns1:e>
            <ns1:r>
              <ns1:rPr>
                <ns1:sty ns1:val="b"/>
              </ns1:rPr>
              <ns1:t>p</ns1:t>
            </ns1:r>
          </ns1:e>
          <ns1:sub>
            <ns1:r>
              <ns1:t>i</ns1:t>
            </ns1:r>
            <ns1:r>
              <ns1:rPr>
                <ns1:sty ns1:val="p"/>
              </ns1:rPr>
              <ns1:t>ℓ</ns1:t>
            </ns1:r>
            <ns1:r>
              <ns1:t>j</ns1:t>
            </ns1:r>
          </ns1:sub>
          <ns1:sup>
            <ns1:r>
              <ns1:t>1</ns1:t>
            </ns1:r>
          </ns1:sup>
        </ns1:sSubSup>
      </ns1:oMath>
      <ns0:r>
        <ns0:t xml:space="preserve"> </ns0:t>
      </ns0:r>
      <ns0:r>
        <ns0:t xml:space="preserve">would incorrectly include subject morphology in the measured motion. Geometry was reconstructed with two-stage interpolation: template-to-FE mapping (10 neighbors, smoothing 50) followed by FE-to-surface mapping (10 neighbors, zero smoothing). Elastic displacement fields use the latter interpolation. Cached sparse interpolation weights implement the same linear RBF evaluation; numerical comparisons against direct RBF evaluation check this equivalence.</ns0:t>
      </ns0:r>
    </ns0:p>
    <ns0:bookmarkEnd ns0:id="65"/>
    <ns0:bookmarkStart ns0:id="66" ns0:name="a.4.-pelvis-aligned-reporting-frame"/>
    <ns0:p>
      <ns0:pPr>
        <ns0:pStyle ns0:val="Heading2"/>
      </ns0:pPr>
      <ns0:r>
        <ns0:t xml:space="preserve">A.4. Pelvis-aligned reporting frame</ns0:t>
      </ns0:r>
    </ns0:p>
    <ns0:p>
      <ns0:pPr>
        <ns0:pStyle ns0:val="FirstParagraph"/>
      </ns0:pPr>
      <ns0:r>
        <ns0:t xml:space="preserve">The origin</ns0:t>
      </ns0:r>
      <ns0:r>
        <ns0:t xml:space="preserve"> </ns0:t>
      </ns0:r>
      <ns1:oMath>
        <ns1:r>
          <ns1:rPr>
            <ns1:sty ns1:val="b"/>
          </ns1:rPr>
          <ns1:t>o</ns1:t>
        </ns1:r>
      </ns1:oMath>
      <ns0:r>
        <ns0:t xml:space="preserve"> </ns0:t>
      </ns0:r>
      <ns0:r>
        <ns0:t xml:space="preserve">is the centroid of the unloaded surface. The initial ML axis is the dominant eigenvector of the point-cloud covariance, with deterministic sign. The symmetry-plane routine uses this PCA approximation; it does not optimize reflection symmetry. Project the centered points onto its orthogonal plane and take the leading in-plane singular vector. Orthogonalization gives</ns0:t>
      </ns0:r>
      <ns0:r>
        <ns0:t xml:space="preserve"> </ns0:t>
      </ns0:r>
      <ns1:oMath>
        <ns1:acc>
          <ns1:accPr>
            <ns1:chr ns1:val="̂"/>
          </ns1:accPr>
          <ns1:e>
            <ns1:r>
              <ns1:rPr>
                <ns1:sty ns1:val="b"/>
              </ns1:rPr>
              <ns1:t>z</ns1:t>
            </ns1:r>
          </ns1:e>
        </ns1:acc>
      </ns1:oMath>
      <ns0:r>
        <ns0:t xml:space="preserve">, followed by</ns0:t>
      </ns0:r>
    </ns0:p>
    <ns0:p>
      <ns0:pPr>
        <ns0:pStyle ns0:val="BodyText"/>
      </ns0:pPr>
      <ns1:oMathPara>
        <ns1:oMathParaPr>
          <ns1:jc ns1:val="center"/>
        </ns1:oMathParaPr>
        <ns1:oMath>
          <ns1:acc>
            <ns1:accPr>
              <ns1:chr ns1:val="̂"/>
            </ns1:accPr>
            <ns1:e>
              <ns1:r>
                <ns1:rPr>
                  <ns1:sty ns1:val="b"/>
                </ns1:rPr>
                <ns1:t>y</ns1:t>
              </ns1:r>
            </ns1:e>
          </ns1:acc>
          <ns1:r>
            <ns1:rPr>
              <ns1:sty ns1:val="p"/>
            </ns1:rPr>
            <ns1:t>=</ns1:t>
          </ns1:r>
          <ns1:f>
            <ns1:fPr>
              <ns1:type ns1:val="bar"/>
            </ns1:fPr>
            <ns1:num>
              <ns1:acc>
                <ns1:accPr>
                  <ns1:chr ns1:val="̂"/>
                </ns1:accPr>
                <ns1:e>
                  <ns1:r>
                    <ns1:rPr>
                      <ns1:sty ns1:val="b"/>
                    </ns1:rPr>
                    <ns1:t>z</ns1:t>
                  </ns1:r>
                </ns1:e>
              </ns1:acc>
              <ns1:r>
                <ns1:rPr>
                  <ns1:sty ns1:val="p"/>
                </ns1:rPr>
                <ns1:t>×</ns1:t>
              </ns1:r>
              <ns1:acc>
                <ns1:accPr>
                  <ns1:chr ns1:val="̂"/>
                </ns1:accPr>
                <ns1:e>
                  <ns1:r>
                    <ns1:rPr>
                      <ns1:sty ns1:val="b"/>
                    </ns1:rPr>
                    <ns1:t>x</ns1:t>
                  </ns1:r>
                </ns1:e>
              </ns1:acc>
            </ns1:num>
            <ns1:den>
              <ns1:r>
                <ns1:rPr>
                  <ns1:sty ns1:val="p"/>
                </ns1:rPr>
                <ns1:t>∥</ns1:t>
              </ns1:r>
              <ns1:acc>
                <ns1:accPr>
                  <ns1:chr ns1:val="̂"/>
                </ns1:accPr>
                <ns1:e>
                  <ns1:r>
                    <ns1:rPr>
                      <ns1:sty ns1:val="b"/>
                    </ns1:rPr>
                    <ns1:t>z</ns1:t>
                  </ns1:r>
                </ns1:e>
              </ns1:acc>
              <ns1:r>
                <ns1:rPr>
                  <ns1:sty ns1:val="p"/>
                </ns1:rPr>
                <ns1:t>×</ns1:t>
              </ns1:r>
              <ns1:acc>
                <ns1:accPr>
                  <ns1:chr ns1:val="̂"/>
                </ns1:accPr>
                <ns1:e>
                  <ns1:r>
                    <ns1:rPr>
                      <ns1:sty ns1:val="b"/>
                    </ns1:rPr>
                    <ns1:t>x</ns1:t>
                  </ns1:r>
                </ns1:e>
              </ns1:acc>
              <ns1:r>
                <ns1:rPr>
                  <ns1:sty ns1:val="p"/>
                </ns1:rPr>
                <ns1:t>∥</ns1:t>
              </ns1:r>
            </ns1:den>
          </ns1:f>
          <ns1:r>
            <ns1:rPr>
              <ns1:sty ns1:val="p"/>
            </ns1:rPr>
            <ns1:t>,</ns1:t>
          </ns1:r>
          <ns1:r>
            <ns1:t>  </ns1:t>
          </ns1:r>
          <ns1:acc>
            <ns1:accPr>
              <ns1:chr ns1:val="̂"/>
            </ns1:accPr>
            <ns1:e>
              <ns1:r>
                <ns1:rPr>
                  <ns1:sty ns1:val="b"/>
                </ns1:rPr>
                <ns1:t>z</ns1:t>
              </ns1:r>
            </ns1:e>
          </ns1:acc>
          <ns1:r>
            <ns1:rPr>
              <ns1:sty ns1:val="p"/>
            </ns1:rPr>
            <ns1:t>=</ns1:t>
          </ns1:r>
          <ns1:acc>
            <ns1:accPr>
              <ns1:chr ns1:val="̂"/>
            </ns1:accPr>
            <ns1:e>
              <ns1:r>
                <ns1:rPr>
                  <ns1:sty ns1:val="b"/>
                </ns1:rPr>
                <ns1:t>x</ns1:t>
              </ns1:r>
            </ns1:e>
          </ns1:acc>
          <ns1:r>
            <ns1:rPr>
              <ns1:sty ns1:val="p"/>
            </ns1:rPr>
            <ns1:t>×</ns1:t>
          </ns1:r>
          <ns1:acc>
            <ns1:accPr>
              <ns1:chr ns1:val="̂"/>
            </ns1:accPr>
            <ns1:e>
              <ns1:r>
                <ns1:rPr>
                  <ns1:sty ns1:val="b"/>
                </ns1:rPr>
                <ns1:t>y</ns1:t>
              </ns1:r>
            </ns1:e>
          </ns1:acc>
          <ns1:r>
            <ns1:rPr>
              <ns1:sty ns1:val="p"/>
            </ns1:rPr>
            <ns1:t>,</ns1:t>
          </ns1:r>
          <ns1:r>
            <ns1:t>  </ns1:t>
          </ns1:r>
          <ns1:r>
            <ns1:rPr>
              <ns1:sty ns1:val="b"/>
            </ns1:rPr>
            <ns1:t>P</ns1:t>
          </ns1:r>
          <ns1:r>
            <ns1:rPr>
              <ns1:sty ns1:val="p"/>
            </ns1:rPr>
            <ns1:t>=</ns1:t>
          </ns1:r>
          <ns1:r>
            <ns1:rPr>
              <ns1:sty ns1:val="p"/>
            </ns1:rPr>
            <ns1:t>[</ns1:t>
          </ns1:r>
          <ns1:acc>
            <ns1:accPr>
              <ns1:chr ns1:val="̂"/>
            </ns1:accPr>
            <ns1:e>
              <ns1:r>
                <ns1:rPr>
                  <ns1:sty ns1:val="b"/>
                </ns1:rPr>
                <ns1:t>x</ns1:t>
              </ns1:r>
            </ns1:e>
          </ns1:acc>
          <ns1:r>
            <ns1:rPr>
              <ns1:sty ns1:val="p"/>
            </ns1:rPr>
            <ns1:t>,</ns1:t>
          </ns1:r>
          <ns1:acc>
            <ns1:accPr>
              <ns1:chr ns1:val="̂"/>
            </ns1:accPr>
            <ns1:e>
              <ns1:r>
                <ns1:rPr>
                  <ns1:sty ns1:val="b"/>
                </ns1:rPr>
                <ns1:t>y</ns1:t>
              </ns1:r>
            </ns1:e>
          </ns1:acc>
          <ns1:r>
            <ns1:rPr>
              <ns1:sty ns1:val="p"/>
            </ns1:rPr>
            <ns1:t>,</ns1:t>
          </ns1:r>
          <ns1:acc>
            <ns1:accPr>
              <ns1:chr ns1:val="̂"/>
            </ns1:accPr>
            <ns1:e>
              <ns1:r>
                <ns1:rPr>
                  <ns1:sty ns1:val="b"/>
                </ns1:rPr>
                <ns1:t>z</ns1:t>
              </ns1:r>
            </ns1:e>
          </ns1:acc>
          <ns1:r>
            <ns1:rPr>
              <ns1:sty ns1:val="p"/>
            </ns1:rPr>
            <ns1:t>]</ns1:t>
          </ns1:r>
          <ns1:r>
            <ns1:rPr>
              <ns1:sty ns1:val="p"/>
            </ns1:rPr>
            <ns1:t>.</ns1:t>
          </ns1:r>
        </ns1:oMath>
      </ns1:oMathPara>
    </ns0:p>
    <ns0:p>
      <ns0:pPr>
        <ns0:pStyle ns0:val="FirstParagraph"/>
      </ns0:pPr>
      <ns0:r>
        <ns0:t xml:space="preserve">The ML and AP axes are simultaneously reversed if needed so that ML points from the left to right ilium centroids. This construction is orthonormal and right-handed but does not independently anchor the AP/CC signs to anatomical landmarks. Absolute components are therefore used for comparisons. No clinical nutation sign is inferred from the stored</ns0:t>
      </ns0:r>
      <ns0:r>
        <ns0:t xml:space="preserve"> </ns0:t>
      </ns0:r>
      <ns1:oMath>
        <ns1:sSub>
          <ns1:e>
            <ns1:r>
              <ns1:t>α</ns1:t>
            </ns1:r>
          </ns1:e>
          <ns1:sub>
            <ns1:r>
              <ns1:t>x</ns1:t>
            </ns1:r>
          </ns1:sub>
        </ns1:sSub>
      </ns1:oMath>
      <ns0:r>
        <ns0:t xml:space="preserve"> </ns0:t>
      </ns0:r>
      <ns0:r>
        <ns0:t xml:space="preserve">sign.</ns0:t>
      </ns0:r>
    </ns0:p>
    <ns0:bookmarkEnd ns0:id="66"/>
    <ns0:bookmarkStart ns0:id="67" ns0:name="X8a815f754a8667174a0bb1593fcd89d67de5cd4"/>
    <ns0:p>
      <ns0:pPr>
        <ns0:pStyle ns0:val="Heading2"/>
      </ns0:pPr>
      <ns0:r>
        <ns0:t xml:space="preserve">A.5. Affine correction, regions and rigid fits</ns0:t>
      </ns0:r>
    </ns0:p>
    <ns0:p>
      <ns0:pPr>
        <ns0:pStyle ns0:val="FirstParagraph"/>
      </ns0:pPr>
      <ns0:r>
        <ns0:t xml:space="preserve">Fit the sacral point correspondence by ordinary least squares,</ns0:t>
      </ns0:r>
    </ns0:p>
    <ns0:p>
      <ns0:pPr>
        <ns0:pStyle ns0:val="BodyText"/>
      </ns0:pPr>
      <ns1:oMathPara>
        <ns1:oMathParaPr>
          <ns1:jc ns1:val="center"/>
        </ns1:oMathParaPr>
        <ns1:oMath>
          <ns1:r>
            <ns1:rPr>
              <ns1:sty ns1:val="p"/>
            </ns1:rPr>
            <ns1:t>(</ns1:t>
          </ns1:r>
          <ns1:sSub>
            <ns1:e>
              <ns1:r>
                <ns1:rPr>
                  <ns1:sty ns1:val="b"/>
                </ns1:rPr>
                <ns1:t>A</ns1:t>
              </ns1:r>
            </ns1:e>
            <ns1:sub>
              <ns1:r>
                <ns1:t>S</ns1:t>
              </ns1:r>
            </ns1:sub>
          </ns1:sSub>
          <ns1:r>
            <ns1:rPr>
              <ns1:sty ns1:val="p"/>
            </ns1:rPr>
            <ns1:t>,</ns1:t>
          </ns1:r>
          <ns1:sSub>
            <ns1:e>
              <ns1:r>
                <ns1:rPr>
                  <ns1:sty ns1:val="b"/>
                </ns1:rPr>
                <ns1:t>b</ns1:t>
              </ns1:r>
            </ns1:e>
            <ns1:sub>
              <ns1:r>
                <ns1:t>S</ns1:t>
              </ns1:r>
            </ns1:sub>
          </ns1:sSub>
          <ns1:r>
            <ns1:rPr>
              <ns1:sty ns1:val="p"/>
            </ns1:rPr>
            <ns1:t>)</ns1:t>
          </ns1:r>
          <ns1:r>
            <ns1:rPr>
              <ns1:sty ns1:val="p"/>
            </ns1:rPr>
            <ns1:t>=</ns1:t>
          </ns1:r>
          <ns1:r>
            <ns1:rPr>
              <ns1:nor/>
              <ns1:sty ns1:val="p"/>
            </ns1:rPr>
            <ns1:t>arg</ns1:t>
          </ns1:r>
          <ns1:limLow>
            <ns1:e>
              <ns1:r>
                <ns1:rPr>
                  <ns1:nor/>
                  <ns1:sty ns1:val="p"/>
                </ns1:rPr>
                <ns1:t>min</ns1:t>
              </ns1:r>
            </ns1:e>
            <ns1:lim>
              <ns1:r>
                <ns1:rPr>
                  <ns1:sty ns1:val="b"/>
                </ns1:rPr>
                <ns1:t>A</ns1:t>
              </ns1:r>
              <ns1:r>
                <ns1:rPr>
                  <ns1:sty ns1:val="p"/>
                </ns1:rPr>
                <ns1:t>,</ns1:t>
              </ns1:r>
              <ns1:r>
                <ns1:rPr>
                  <ns1:sty ns1:val="b"/>
                </ns1:rPr>
                <ns1:t>b</ns1:t>
              </ns1:r>
            </ns1:lim>
          </ns1:limLow>
          <ns1:nary>
            <ns1:naryPr>
              <ns1:chr ns1:val="∑"/>
              <ns1:limLoc ns1:val="undOvr"/>
              <ns1:subHide ns1:val="0"/>
              <ns1:supHide ns1:val="1"/>
            </ns1:naryPr>
            <ns1:sub>
              <ns1:r>
                <ns1:t>j</ns1:t>
              </ns1:r>
              <ns1:r>
                <ns1:rPr>
                  <ns1:sty ns1:val="p"/>
                </ns1:rPr>
                <ns1:t>∈</ns1:t>
              </ns1:r>
              <ns1:r>
                <ns1:t>S</ns1:t>
              </ns1:r>
            </ns1:sub>
            <ns1:sup>
              <ns1:r>
                <ns1:t>​</ns1:t>
              </ns1:r>
            </ns1:sup>
            <ns1:e>
              <ns1:r>
                <ns1:rPr>
                  <ns1:sty ns1:val="p"/>
                </ns1:rPr>
                <ns1:t>∥</ns1:t>
              </ns1:r>
            </ns1:e>
          </ns1:nary>
          <ns1:sSubSup>
            <ns1:e>
              <ns1:r>
                <ns1:rPr>
                  <ns1:sty ns1:val="b"/>
                </ns1:rPr>
                <ns1:t>p</ns1:t>
              </ns1:r>
            </ns1:e>
            <ns1:sub>
              <ns1:r>
                <ns1:t>j</ns1:t>
              </ns1:r>
            </ns1:sub>
            <ns1:sup>
              <ns1:r>
                <ns1:t>1</ns1:t>
              </ns1:r>
            </ns1:sup>
          </ns1:sSubSup>
          <ns1:r>
            <ns1:rPr>
              <ns1:sty ns1:val="p"/>
            </ns1:rPr>
            <ns1:t>−</ns1:t>
          </ns1:r>
          <ns1:r>
            <ns1:rPr>
              <ns1:sty ns1:val="b"/>
            </ns1:rPr>
            <ns1:t>A</ns1:t>
          </ns1:r>
          <ns1:sSubSup>
            <ns1:e>
              <ns1:r>
                <ns1:rPr>
                  <ns1:sty ns1:val="b"/>
                </ns1:rPr>
                <ns1:t>p</ns1:t>
              </ns1:r>
            </ns1:e>
            <ns1:sub>
              <ns1:r>
                <ns1:t>j</ns1:t>
              </ns1:r>
            </ns1:sub>
            <ns1:sup>
              <ns1:r>
                <ns1:t>0</ns1:t>
              </ns1:r>
            </ns1:sup>
          </ns1:sSubSup>
          <ns1:r>
            <ns1:rPr>
              <ns1:sty ns1:val="p"/>
            </ns1:rPr>
            <ns1:t>−</ns1:t>
          </ns1:r>
          <ns1:r>
            <ns1:rPr>
              <ns1:sty ns1:val="b"/>
            </ns1:rPr>
            <ns1:t>b</ns1:t>
          </ns1:r>
          <ns1:sSup>
            <ns1:e>
              <ns1:r>
                <ns1:rPr>
                  <ns1:sty ns1:val="p"/>
                </ns1:rPr>
                <ns1:t>∥</ns1:t>
              </ns1:r>
            </ns1:e>
            <ns1:sup>
              <ns1:r>
                <ns1:t>2</ns1:t>
              </ns1:r>
            </ns1:sup>
          </ns1:sSup>
          <ns1:r>
            <ns1:rPr>
              <ns1:sty ns1:val="p"/>
            </ns1:rPr>
            <ns1:t>,</ns1:t>
          </ns1:r>
          <ns1:r>
            <ns1:t>  </ns1:t>
          </ns1:r>
          <ns1:sSub>
            <ns1:e>
              <ns1:r>
                <ns1:rPr>
                  <ns1:sty ns1:val="b"/>
                </ns1:rPr>
                <ns1:t>q</ns1:t>
              </ns1:r>
            </ns1:e>
            <ns1:sub>
              <ns1:r>
                <ns1:t>j</ns1:t>
              </ns1:r>
            </ns1:sub>
          </ns1:sSub>
          <ns1:r>
            <ns1:rPr>
              <ns1:sty ns1:val="p"/>
            </ns1:rPr>
            <ns1:t>=</ns1:t>
          </ns1:r>
          <ns1:sSubSup>
            <ns1:e>
              <ns1:r>
                <ns1:rPr>
                  <ns1:sty ns1:val="b"/>
                </ns1:rPr>
                <ns1:t>A</ns1:t>
              </ns1:r>
            </ns1:e>
            <ns1:sub>
              <ns1:r>
                <ns1:t>S</ns1:t>
              </ns1:r>
            </ns1:sub>
            <ns1:sup>
              <ns1:r>
                <ns1:rPr>
                  <ns1:sty ns1:val="p"/>
                </ns1:rPr>
                <ns1:t>+</ns1:t>
              </ns1:r>
            </ns1:sup>
          </ns1:sSubSup>
          <ns1:r>
            <ns1:rPr>
              <ns1:sty ns1:val="p"/>
            </ns1:rPr>
            <ns1:t>(</ns1:t>
          </ns1:r>
          <ns1:sSubSup>
            <ns1:e>
              <ns1:r>
                <ns1:rPr>
                  <ns1:sty ns1:val="b"/>
                </ns1:rPr>
                <ns1:t>p</ns1:t>
              </ns1:r>
            </ns1:e>
            <ns1:sub>
              <ns1:r>
                <ns1:t>j</ns1:t>
              </ns1:r>
            </ns1:sub>
            <ns1:sup>
              <ns1:r>
                <ns1:t>1</ns1:t>
              </ns1:r>
            </ns1:sup>
          </ns1:sSubSup>
          <ns1:r>
            <ns1:rPr>
              <ns1:sty ns1:val="p"/>
            </ns1:rPr>
            <ns1:t>−</ns1:t>
          </ns1:r>
          <ns1:sSub>
            <ns1:e>
              <ns1:r>
                <ns1:rPr>
                  <ns1:sty ns1:val="b"/>
                </ns1:rPr>
                <ns1:t>b</ns1:t>
              </ns1:r>
            </ns1:e>
            <ns1:sub>
              <ns1:r>
                <ns1:t>S</ns1:t>
              </ns1:r>
            </ns1:sub>
          </ns1:sSub>
          <ns1:r>
            <ns1:rPr>
              <ns1:sty ns1:val="p"/>
            </ns1:rPr>
            <ns1:t>)</ns1:t>
          </ns1:r>
          <ns1:r>
            <ns1:rPr>
              <ns1:sty ns1:val="p"/>
            </ns1:rPr>
            <ns1:t>,</ns1:t>
          </ns1:r>
        </ns1:oMath>
      </ns1:oMathPara>
    </ns0:p>
    <ns0:p>
      <ns0:pPr>
        <ns0:pStyle ns0:val="FirstParagraph"/>
      </ns0:pPr>
      <ns0:r>
        <ns0:t xml:space="preserve">where</ns0:t>
      </ns0:r>
      <ns0:r>
        <ns0:t xml:space="preserve"> </ns0:t>
      </ns0:r>
      <ns1:oMath>
        <ns1:r>
          <ns1:rPr>
            <ns1:sty ns1:val="p"/>
          </ns1:rPr>
          <ns1:t>+</ns1:t>
        </ns1:r>
      </ns1:oMath>
      <ns0:r>
        <ns0:t xml:space="preserve"> </ns0:t>
      </ns0:r>
      <ns0:r>
        <ns0:t xml:space="preserve">denotes the Moore–Penrose pseudoinverse. This removes fitted affine sacral deformation, including stretch and shear; it is not only a change of rigid observer frame.</ns0:t>
      </ns0:r>
    </ns0:p>
    <ns0:p>
      <ns0:pPr>
        <ns0:pStyle ns0:val="BodyText"/>
      </ns0:pPr>
      <ns0:r>
        <ns0:t xml:space="preserve">For each side, first restrict both point clouds to that side of the reporting-frame midplane (falling back to the entire bone if this set is empty). Select sacral and iliac points within 5 mm of the opposing restricted point cloud. If fewer than 80 points qualify, use up to the nearest 80 available points. Distances are between discrete points rather than continuous articular surfaces. For each bone ROI, the rigid fit maps</ns0:t>
      </ns0:r>
      <ns0:r>
        <ns0:t xml:space="preserve"> </ns0:t>
      </ns0:r>
      <ns1:oMath>
        <ns1:sSup>
          <ns1:e>
            <ns1:r>
              <ns1:rPr>
                <ns1:sty ns1:val="b"/>
              </ns1:rPr>
              <ns1:t>p</ns1:t>
            </ns1:r>
          </ns1:e>
          <ns1:sup>
            <ns1:r>
              <ns1:t>0</ns1:t>
            </ns1:r>
          </ns1:sup>
        </ns1:sSup>
      </ns1:oMath>
      <ns0:r>
        <ns0:t xml:space="preserve"> </ns0:t>
      </ns0:r>
      <ns0:r>
        <ns0:t xml:space="preserve">to</ns0:t>
      </ns0:r>
      <ns0:r>
        <ns0:t xml:space="preserve"> </ns0:t>
      </ns0:r>
      <ns1:oMath>
        <ns1:r>
          <ns1:rPr>
            <ns1:sty ns1:val="b"/>
          </ns1:rPr>
          <ns1:t>q</ns1:t>
        </ns1:r>
      </ns1:oMath>
      <ns0:r>
        <ns0:t xml:space="preserve">. With centered row matrices</ns0:t>
      </ns0:r>
      <ns0:r>
        <ns0:t xml:space="preserve"> </ns0:t>
      </ns0:r>
      <ns1:oMath>
        <ns1:sSub>
          <ns1:e>
            <ns1:acc>
              <ns1:accPr>
                <ns1:chr ns1:val="̃"/>
              </ns1:accPr>
              <ns1:e>
                <ns1:r>
                  <ns1:rPr>
                    <ns1:sty ns1:val="b"/>
                  </ns1:rPr>
                  <ns1:t>P</ns1:t>
                </ns1:r>
              </ns1:e>
            </ns1:acc>
          </ns1:e>
          <ns1:sub>
            <ns1:r>
              <ns1:t>B</ns1:t>
            </ns1:r>
          </ns1:sub>
        </ns1:sSub>
        <ns1:r>
          <ns1:rPr>
            <ns1:sty ns1:val="p"/>
          </ns1:rPr>
          <ns1:t>,</ns1:t>
        </ns1:r>
        <ns1:sSub>
          <ns1:e>
            <ns1:acc>
              <ns1:accPr>
                <ns1:chr ns1:val="̃"/>
              </ns1:accPr>
              <ns1:e>
                <ns1:r>
                  <ns1:rPr>
                    <ns1:sty ns1:val="b"/>
                  </ns1:rPr>
                  <ns1:t>Q</ns1:t>
                </ns1:r>
              </ns1:e>
            </ns1:acc>
          </ns1:e>
          <ns1:sub>
            <ns1:r>
              <ns1:t>B</ns1:t>
            </ns1:r>
          </ns1:sub>
        </ns1:sSub>
      </ns1:oMath>
      <ns0:r>
        <ns0:t xml:space="preserve">,</ns0:t>
      </ns0:r>
    </ns0:p>
    <ns0:p>
      <ns0:pPr>
        <ns0:pStyle ns0:val="BodyText"/>
      </ns0:pPr>
      <ns1:oMathPara>
        <ns1:oMathParaPr>
          <ns1:jc ns1:val="center"/>
        </ns1:oMathParaPr>
        <ns1:oMath>
          <ns1:sSubSup>
            <ns1:e>
              <ns1:acc>
                <ns1:accPr>
                  <ns1:chr ns1:val="̃"/>
                </ns1:accPr>
                <ns1:e>
                  <ns1:r>
                    <ns1:rPr>
                      <ns1:sty ns1:val="b"/>
                    </ns1:rPr>
                    <ns1:t>P</ns1:t>
                  </ns1:r>
                </ns1:e>
              </ns1:acc>
            </ns1:e>
            <ns1:sub>
              <ns1:r>
                <ns1:t>B</ns1:t>
              </ns1:r>
            </ns1:sub>
            <ns1:sup>
              <ns1:r>
                <ns1:t>T</ns1:t>
              </ns1:r>
            </ns1:sup>
          </ns1:sSubSup>
          <ns1:sSub>
            <ns1:e>
              <ns1:acc>
                <ns1:accPr>
                  <ns1:chr ns1:val="̃"/>
                </ns1:accPr>
                <ns1:e>
                  <ns1:r>
                    <ns1:rPr>
                      <ns1:sty ns1:val="b"/>
                    </ns1:rPr>
                    <ns1:t>Q</ns1:t>
                  </ns1:r>
                </ns1:e>
              </ns1:acc>
            </ns1:e>
            <ns1:sub>
              <ns1:r>
                <ns1:t>B</ns1:t>
              </ns1:r>
            </ns1:sub>
          </ns1:sSub>
          <ns1:r>
            <ns1:rPr>
              <ns1:sty ns1:val="p"/>
            </ns1:rPr>
            <ns1:t>=</ns1:t>
          </ns1:r>
          <ns1:r>
            <ns1:rPr>
              <ns1:sty ns1:val="b"/>
            </ns1:rPr>
            <ns1:t>U</ns1:t>
          </ns1:r>
          <ns1:r>
            <ns1:rPr>
              <ns1:sty ns1:val="b"/>
            </ns1:rPr>
            <ns1:t>Σ</ns1:t>
          </ns1:r>
          <ns1:sSup>
            <ns1:e>
              <ns1:r>
                <ns1:rPr>
                  <ns1:sty ns1:val="b"/>
                </ns1:rPr>
                <ns1:t>V</ns1:t>
              </ns1:r>
            </ns1:e>
            <ns1:sup>
              <ns1:r>
                <ns1:t>T</ns1:t>
              </ns1:r>
            </ns1:sup>
          </ns1:sSup>
          <ns1:r>
            <ns1:rPr>
              <ns1:sty ns1:val="p"/>
            </ns1:rPr>
            <ns1:t>,</ns1:t>
          </ns1:r>
          <ns1:r>
            <ns1:t> </ns1:t>
          </ns1:r>
          <ns1:sSub>
            <ns1:e>
              <ns1:r>
                <ns1:rPr>
                  <ns1:sty ns1:val="b"/>
                </ns1:rPr>
                <ns1:t>R</ns1:t>
              </ns1:r>
            </ns1:e>
            <ns1:sub>
              <ns1:r>
                <ns1:t>B</ns1:t>
              </ns1:r>
            </ns1:sub>
          </ns1:sSub>
          <ns1:r>
            <ns1:rPr>
              <ns1:sty ns1:val="p"/>
            </ns1:rPr>
            <ns1:t>=</ns1:t>
          </ns1:r>
          <ns1:r>
            <ns1:rPr>
              <ns1:sty ns1:val="b"/>
            </ns1:rPr>
            <ns1:t>V</ns1:t>
          </ns1:r>
          <ns1:r>
            <ns1:rPr>
              <ns1:nor/>
              <ns1:sty ns1:val="p"/>
            </ns1:rPr>
            <ns1:t>diag</ns1:t>
          </ns1:r>
          <ns1:r>
            <ns1:rPr>
              <ns1:sty ns1:val="p"/>
            </ns1:rPr>
            <ns1:t>(</ns1:t>
          </ns1:r>
          <ns1:r>
            <ns1:t>1</ns1:t>
          </ns1:r>
          <ns1:r>
            <ns1:rPr>
              <ns1:sty ns1:val="p"/>
            </ns1:rPr>
            <ns1:t>,</ns1:t>
          </ns1:r>
          <ns1:r>
            <ns1:t>1</ns1:t>
          </ns1:r>
          <ns1:r>
            <ns1:rPr>
              <ns1:sty ns1:val="p"/>
            </ns1:rPr>
            <ns1:t>,</ns1:t>
          </ns1:r>
          <ns1:r>
            <ns1:rPr>
              <ns1:nor/>
              <ns1:sty ns1:val="p"/>
            </ns1:rPr>
            <ns1:t>det</ns1:t>
          </ns1:r>
          <ns1:r>
            <ns1:rPr>
              <ns1:sty ns1:val="p"/>
            </ns1:rPr>
            <ns1:t>(</ns1:t>
          </ns1:r>
          <ns1:r>
            <ns1:rPr>
              <ns1:sty ns1:val="b"/>
            </ns1:rPr>
            <ns1:t>V</ns1:t>
          </ns1:r>
          <ns1:sSup>
            <ns1:e>
              <ns1:r>
                <ns1:rPr>
                  <ns1:sty ns1:val="b"/>
                </ns1:rPr>
                <ns1:t>U</ns1:t>
              </ns1:r>
            </ns1:e>
            <ns1:sup>
              <ns1:r>
                <ns1:t>T</ns1:t>
              </ns1:r>
            </ns1:sup>
          </ns1:sSup>
          <ns1:r>
            <ns1:rPr>
              <ns1:sty ns1:val="p"/>
            </ns1:rPr>
            <ns1:t>)</ns1:t>
          </ns1:r>
          <ns1:r>
            <ns1:rPr>
              <ns1:sty ns1:val="p"/>
            </ns1:rPr>
            <ns1:t>)</ns1:t>
          </ns1:r>
          <ns1:sSup>
            <ns1:e>
              <ns1:r>
                <ns1:rPr>
                  <ns1:sty ns1:val="b"/>
                </ns1:rPr>
                <ns1:t>U</ns1:t>
              </ns1:r>
            </ns1:e>
            <ns1:sup>
              <ns1:r>
                <ns1:t>T</ns1:t>
              </ns1:r>
            </ns1:sup>
          </ns1:sSup>
          <ns1:r>
            <ns1:rPr>
              <ns1:sty ns1:val="p"/>
            </ns1:rPr>
            <ns1:t>,</ns1:t>
          </ns1:r>
          <ns1:r>
            <ns1:t> </ns1:t>
          </ns1:r>
          <ns1:sSub>
            <ns1:e>
              <ns1:r>
                <ns1:rPr>
                  <ns1:sty ns1:val="b"/>
                </ns1:rPr>
                <ns1:t>t</ns1:t>
              </ns1:r>
            </ns1:e>
            <ns1:sub>
              <ns1:r>
                <ns1:t>B</ns1:t>
              </ns1:r>
            </ns1:sub>
          </ns1:sSub>
          <ns1:r>
            <ns1:rPr>
              <ns1:sty ns1:val="p"/>
            </ns1:rPr>
            <ns1:t>=</ns1:t>
          </ns1:r>
          <ns1:sSub>
            <ns1:e>
              <ns1:acc>
                <ns1:accPr>
                  <ns1:chr ns1:val="‾"/>
                </ns1:accPr>
                <ns1:e>
                  <ns1:r>
                    <ns1:rPr>
                      <ns1:sty ns1:val="b"/>
                    </ns1:rPr>
                    <ns1:t>q</ns1:t>
                  </ns1:r>
                </ns1:e>
              </ns1:acc>
            </ns1:e>
            <ns1:sub>
              <ns1:r>
                <ns1:t>B</ns1:t>
              </ns1:r>
            </ns1:sub>
          </ns1:sSub>
          <ns1:r>
            <ns1:rPr>
              <ns1:sty ns1:val="p"/>
            </ns1:rPr>
            <ns1:t>−</ns1:t>
          </ns1:r>
          <ns1:sSub>
            <ns1:e>
              <ns1:r>
                <ns1:rPr>
                  <ns1:sty ns1:val="b"/>
                </ns1:rPr>
                <ns1:t>R</ns1:t>
              </ns1:r>
            </ns1:e>
            <ns1:sub>
              <ns1:r>
                <ns1:t>B</ns1:t>
              </ns1:r>
            </ns1:sub>
          </ns1:sSub>
          <ns1:sSubSup>
            <ns1:e>
              <ns1:acc>
                <ns1:accPr>
                  <ns1:chr ns1:val="‾"/>
                </ns1:accPr>
                <ns1:e>
                  <ns1:r>
                    <ns1:rPr>
                      <ns1:sty ns1:val="b"/>
                    </ns1:rPr>
                    <ns1:t>p</ns1:t>
                  </ns1:r>
                </ns1:e>
              </ns1:acc>
            </ns1:e>
            <ns1:sub>
              <ns1:r>
                <ns1:t>B</ns1:t>
              </ns1:r>
            </ns1:sub>
            <ns1:sup>
              <ns1:r>
                <ns1:t>0</ns1:t>
              </ns1:r>
            </ns1:sup>
          </ns1:sSubSup>
          <ns1:r>
            <ns1:rPr>
              <ns1:sty ns1:val="p"/>
            </ns1:rPr>
            <ns1:t>.</ns1:t>
          </ns1:r>
        </ns1:oMath>
      </ns1:oMathPara>
    </ns0:p>
    <ns0:p>
      <ns0:pPr>
        <ns0:pStyle ns0:val="FirstParagraph"/>
      </ns0:pPr>
      <ns0:r>
        <ns0:t xml:space="preserve">The fit is repeated after excluding the largest 10% residuals, using two trimming iterations. Trimming reduces outlier influence but does not validate the ROI as a physical contact patch.</ns0:t>
      </ns0:r>
    </ns0:p>
    <ns0:bookmarkEnd ns0:id="67"/>
    <ns0:bookmarkStart ns0:id="68" ns0:name="a.6.-relative-rotation-and-translation"/>
    <ns0:p>
      <ns0:pPr>
        <ns0:pStyle ns0:val="Heading2"/>
      </ns0:pPr>
      <ns0:r>
        <ns0:t xml:space="preserve">A.6. Relative rotation and translation</ns0:t>
      </ns0:r>
    </ns0:p>
    <ns0:p>
      <ns0:pPr>
        <ns0:pStyle ns0:val="FirstParagraph"/>
      </ns0:pPr>
      <ns0:r>
        <ns0:t xml:space="preserve">For sacral and iliac fits</ns0:t>
      </ns0:r>
      <ns0:r>
        <ns0:t xml:space="preserve"> </ns0:t>
      </ns0:r>
      <ns1:oMath>
        <ns1:r>
          <ns1:t>S</ns1:t>
        </ns1:r>
        <ns1:r>
          <ns1:rPr>
            <ns1:sty ns1:val="p"/>
          </ns1:rPr>
          <ns1:t>,</ns1:t>
        </ns1:r>
        <ns1:r>
          <ns1:t>I</ns1:t>
        </ns1:r>
      </ns1:oMath>
      <ns0:r>
        <ns0:t xml:space="preserve">,</ns0:t>
      </ns0:r>
    </ns0:p>
    <ns0:p>
      <ns0:pPr>
        <ns0:pStyle ns0:val="BodyText"/>
      </ns0:pPr>
      <ns1:oMathPara>
        <ns1:oMathParaPr>
          <ns1:jc ns1:val="center"/>
        </ns1:oMathParaPr>
        <ns1:oMath>
          <ns1:sSub>
            <ns1:e>
              <ns1:r>
                <ns1:rPr>
                  <ns1:sty ns1:val="b"/>
                </ns1:rPr>
                <ns1:t>R</ns1:t>
              </ns1:r>
            </ns1:e>
            <ns1:sub>
              <ns1:r>
                <ns1:t>r</ns1:t>
              </ns1:r>
              <ns1:r>
                <ns1:t>e</ns1:t>
              </ns1:r>
              <ns1:r>
                <ns1:t>l</ns1:t>
              </ns1:r>
            </ns1:sub>
          </ns1:sSub>
          <ns1:r>
            <ns1:rPr>
              <ns1:sty ns1:val="p"/>
            </ns1:rPr>
            <ns1:t>=</ns1:t>
          </ns1:r>
          <ns1:sSubSup>
            <ns1:e>
              <ns1:r>
                <ns1:rPr>
                  <ns1:sty ns1:val="b"/>
                </ns1:rPr>
                <ns1:t>R</ns1:t>
              </ns1:r>
            </ns1:e>
            <ns1:sub>
              <ns1:r>
                <ns1:t>S</ns1:t>
              </ns1:r>
            </ns1:sub>
            <ns1:sup>
              <ns1:r>
                <ns1:t>T</ns1:t>
              </ns1:r>
            </ns1:sup>
          </ns1:sSubSup>
          <ns1:sSub>
            <ns1:e>
              <ns1:r>
                <ns1:rPr>
                  <ns1:sty ns1:val="b"/>
                </ns1:rPr>
                <ns1:t>R</ns1:t>
              </ns1:r>
            </ns1:e>
            <ns1:sub>
              <ns1:r>
                <ns1:t>I</ns1:t>
              </ns1:r>
            </ns1:sub>
          </ns1:sSub>
          <ns1:r>
            <ns1:rPr>
              <ns1:sty ns1:val="p"/>
            </ns1:rPr>
            <ns1:t>,</ns1:t>
          </ns1:r>
          <ns1:r>
            <ns1:t>  </ns1:t>
          </ns1:r>
          <ns1:sSub>
            <ns1:e>
              <ns1:r>
                <ns1:rPr>
                  <ns1:sty ns1:val="b"/>
                </ns1:rPr>
                <ns1:t>R</ns1:t>
              </ns1:r>
            </ns1:e>
            <ns1:sub>
              <ns1:r>
                <ns1:t>l</ns1:t>
              </ns1:r>
              <ns1:r>
                <ns1:t>o</ns1:t>
              </ns1:r>
              <ns1:r>
                <ns1:t>c</ns1:t>
              </ns1:r>
            </ns1:sub>
          </ns1:sSub>
          <ns1:r>
            <ns1:rPr>
              <ns1:sty ns1:val="p"/>
            </ns1:rPr>
            <ns1:t>=</ns1:t>
          </ns1:r>
          <ns1:sSup>
            <ns1:e>
              <ns1:r>
                <ns1:rPr>
                  <ns1:sty ns1:val="b"/>
                </ns1:rPr>
                <ns1:t>P</ns1:t>
              </ns1:r>
            </ns1:e>
            <ns1:sup>
              <ns1:r>
                <ns1:t>T</ns1:t>
              </ns1:r>
            </ns1:sup>
          </ns1:sSup>
          <ns1:sSub>
            <ns1:e>
              <ns1:r>
                <ns1:rPr>
                  <ns1:sty ns1:val="b"/>
                </ns1:rPr>
                <ns1:t>R</ns1:t>
              </ns1:r>
            </ns1:e>
            <ns1:sub>
              <ns1:r>
                <ns1:t>r</ns1:t>
              </ns1:r>
              <ns1:r>
                <ns1:t>e</ns1:t>
              </ns1:r>
              <ns1:r>
                <ns1:t>l</ns1:t>
              </ns1:r>
            </ns1:sub>
          </ns1:sSub>
          <ns1:r>
            <ns1:rPr>
              <ns1:sty ns1:val="b"/>
            </ns1:rPr>
            <ns1:t>P</ns1:t>
          </ns1:r>
          <ns1:r>
            <ns1:rPr>
              <ns1:sty ns1:val="p"/>
            </ns1:rPr>
            <ns1:t>=</ns1:t>
          </ns1:r>
          <ns1:sSub>
            <ns1:e>
              <ns1:r>
                <ns1:rPr>
                  <ns1:sty ns1:val="b"/>
                </ns1:rPr>
                <ns1:t>R</ns1:t>
              </ns1:r>
            </ns1:e>
            <ns1:sub>
              <ns1:r>
                <ns1:t>z</ns1:t>
              </ns1:r>
            </ns1:sub>
          </ns1:sSub>
          <ns1:r>
            <ns1:rPr>
              <ns1:sty ns1:val="p"/>
            </ns1:rPr>
            <ns1:t>(</ns1:t>
          </ns1:r>
          <ns1:sSub>
            <ns1:e>
              <ns1:r>
                <ns1:t>γ</ns1:t>
              </ns1:r>
            </ns1:e>
            <ns1:sub>
              <ns1:r>
                <ns1:t>z</ns1:t>
              </ns1:r>
            </ns1:sub>
          </ns1:sSub>
          <ns1:r>
            <ns1:rPr>
              <ns1:sty ns1:val="p"/>
            </ns1:rPr>
            <ns1:t>)</ns1:t>
          </ns1:r>
          <ns1:sSub>
            <ns1:e>
              <ns1:r>
                <ns1:rPr>
                  <ns1:sty ns1:val="b"/>
                </ns1:rPr>
                <ns1:t>R</ns1:t>
              </ns1:r>
            </ns1:e>
            <ns1:sub>
              <ns1:r>
                <ns1:t>y</ns1:t>
              </ns1:r>
            </ns1:sub>
          </ns1:sSub>
          <ns1:r>
            <ns1:rPr>
              <ns1:sty ns1:val="p"/>
            </ns1:rPr>
            <ns1:t>(</ns1:t>
          </ns1:r>
          <ns1:sSub>
            <ns1:e>
              <ns1:r>
                <ns1:t>β</ns1:t>
              </ns1:r>
            </ns1:e>
            <ns1:sub>
              <ns1:r>
                <ns1:t>y</ns1:t>
              </ns1:r>
            </ns1:sub>
          </ns1:sSub>
          <ns1:r>
            <ns1:rPr>
              <ns1:sty ns1:val="p"/>
            </ns1:rPr>
            <ns1:t>)</ns1:t>
          </ns1:r>
          <ns1:sSub>
            <ns1:e>
              <ns1:r>
                <ns1:rPr>
                  <ns1:sty ns1:val="b"/>
                </ns1:rPr>
                <ns1:t>R</ns1:t>
              </ns1:r>
            </ns1:e>
            <ns1:sub>
              <ns1:r>
                <ns1:t>x</ns1:t>
              </ns1:r>
            </ns1:sub>
          </ns1:sSub>
          <ns1:r>
            <ns1:rPr>
              <ns1:sty ns1:val="p"/>
            </ns1:rPr>
            <ns1:t>(</ns1:t>
          </ns1:r>
          <ns1:sSub>
            <ns1:e>
              <ns1:r>
                <ns1:t>α</ns1:t>
              </ns1:r>
            </ns1:e>
            <ns1:sub>
              <ns1:r>
                <ns1:t>x</ns1:t>
              </ns1:r>
            </ns1:sub>
          </ns1:sSub>
          <ns1:r>
            <ns1:rPr>
              <ns1:sty ns1:val="p"/>
            </ns1:rPr>
            <ns1:t>)</ns1:t>
          </ns1:r>
          <ns1:r>
            <ns1:rPr>
              <ns1:sty ns1:val="p"/>
            </ns1:rPr>
            <ns1:t>.</ns1:t>
          </ns1:r>
        </ns1:oMath>
      </ns1:oMathPara>
    </ns0:p>
    <ns0:p>
      <ns0:pPr>
        <ns0:pStyle ns0:val="FirstParagraph"/>
      </ns0:pPr>
      <ns0:r>
        <ns0:t xml:space="preserve">The fixed-axis</ns0:t>
      </ns0:r>
      <ns0:r>
        <ns0:t xml:space="preserve"> </ns0:t>
      </ns0:r>
      <ns1:oMath>
        <ns1:r>
          <ns1:t>x</ns1:t>
        </ns1:r>
        <ns1:r>
          <ns1:t>y</ns1:t>
        </ns1:r>
        <ns1:r>
          <ns1:t>z</ns1:t>
        </ns1:r>
      </ns1:oMath>
      <ns0:r>
        <ns0:t xml:space="preserve"> </ns0:t>
      </ns0:r>
      <ns0:r>
        <ns0:t xml:space="preserve">extraction, for zero-based matrix indices away from gimbal lock, is</ns0:t>
      </ns0:r>
    </ns0:p>
    <ns0:p>
      <ns0:pPr>
        <ns0:pStyle ns0:val="BodyText"/>
      </ns0:pPr>
      <ns1:oMathPara>
        <ns1:oMathParaPr>
          <ns1:jc ns1:val="center"/>
        </ns1:oMathParaPr>
        <ns1:oMath>
          <ns1:sSub>
            <ns1:e>
              <ns1:r>
                <ns1:t>α</ns1:t>
              </ns1:r>
            </ns1:e>
            <ns1:sub>
              <ns1:r>
                <ns1:t>x</ns1:t>
              </ns1:r>
            </ns1:sub>
          </ns1:sSub>
          <ns1:r>
            <ns1:rPr>
              <ns1:sty ns1:val="p"/>
            </ns1:rPr>
            <ns1:t>=</ns1:t>
          </ns1:r>
          <ns1:r>
            <ns1:rPr>
              <ns1:nor/>
              <ns1:sty ns1:val="p"/>
            </ns1:rPr>
            <ns1:t>atan2</ns1:t>
          </ns1:r>
          <ns1:r>
            <ns1:rPr>
              <ns1:sty ns1:val="p"/>
            </ns1:rPr>
            <ns1:t>(</ns1:t>
          </ns1:r>
          <ns1:sSub>
            <ns1:e>
              <ns1:r>
                <ns1:t>R</ns1:t>
              </ns1:r>
            </ns1:e>
            <ns1:sub>
              <ns1:r>
                <ns1:t>21</ns1:t>
              </ns1:r>
            </ns1:sub>
          </ns1:sSub>
          <ns1:r>
            <ns1:rPr>
              <ns1:sty ns1:val="p"/>
            </ns1:rPr>
            <ns1:t>,</ns1:t>
          </ns1:r>
          <ns1:sSub>
            <ns1:e>
              <ns1:r>
                <ns1:t>R</ns1:t>
              </ns1:r>
            </ns1:e>
            <ns1:sub>
              <ns1:r>
                <ns1:t>22</ns1:t>
              </ns1:r>
            </ns1:sub>
          </ns1:sSub>
          <ns1:r>
            <ns1:rPr>
              <ns1:sty ns1:val="p"/>
            </ns1:rPr>
            <ns1:t>)</ns1:t>
          </ns1:r>
          <ns1:r>
            <ns1:rPr>
              <ns1:sty ns1:val="p"/>
            </ns1:rPr>
            <ns1:t>,</ns1:t>
          </ns1:r>
          <ns1:r>
            <ns1:t> </ns1:t>
          </ns1:r>
          <ns1:sSub>
            <ns1:e>
              <ns1:r>
                <ns1:t>β</ns1:t>
              </ns1:r>
            </ns1:e>
            <ns1:sub>
              <ns1:r>
                <ns1:t>y</ns1:t>
              </ns1:r>
            </ns1:sub>
          </ns1:sSub>
          <ns1:r>
            <ns1:rPr>
              <ns1:sty ns1:val="p"/>
            </ns1:rPr>
            <ns1:t>=</ns1:t>
          </ns1:r>
          <ns1:r>
            <ns1:rPr>
              <ns1:nor/>
              <ns1:sty ns1:val="p"/>
            </ns1:rPr>
            <ns1:t>arcsin</ns1:t>
          </ns1:r>
          <ns1:r>
            <ns1:rPr>
              <ns1:sty ns1:val="p"/>
            </ns1:rPr>
            <ns1:t>[</ns1:t>
          </ns1:r>
          <ns1:r>
            <ns1:rPr>
              <ns1:sty ns1:val="p"/>
            </ns1:rPr>
            <ns1:t>−</ns1:t>
          </ns1:r>
          <ns1:r>
            <ns1:rPr>
              <ns1:nor/>
              <ns1:sty ns1:val="p"/>
            </ns1:rPr>
            <ns1:t>clip</ns1:t>
          </ns1:r>
          <ns1:r>
            <ns1:rPr>
              <ns1:sty ns1:val="p"/>
            </ns1:rPr>
            <ns1:t>(</ns1:t>
          </ns1:r>
          <ns1:sSub>
            <ns1:e>
              <ns1:r>
                <ns1:t>R</ns1:t>
              </ns1:r>
            </ns1:e>
            <ns1:sub>
              <ns1:r>
                <ns1:t>20</ns1:t>
              </ns1:r>
            </ns1:sub>
          </ns1:sSub>
          <ns1:r>
            <ns1:rPr>
              <ns1:sty ns1:val="p"/>
            </ns1:rPr>
            <ns1:t>,</ns1:t>
          </ns1:r>
          <ns1:r>
            <ns1:rPr>
              <ns1:sty ns1:val="p"/>
            </ns1:rPr>
            <ns1:t>−</ns1:t>
          </ns1:r>
          <ns1:r>
            <ns1:t>1</ns1:t>
          </ns1:r>
          <ns1:r>
            <ns1:rPr>
              <ns1:sty ns1:val="p"/>
            </ns1:rPr>
            <ns1:t>,</ns1:t>
          </ns1:r>
          <ns1:r>
            <ns1:t>1</ns1:t>
          </ns1:r>
          <ns1:r>
            <ns1:rPr>
              <ns1:sty ns1:val="p"/>
            </ns1:rPr>
            <ns1:t>)</ns1:t>
          </ns1:r>
          <ns1:r>
            <ns1:rPr>
              <ns1:sty ns1:val="p"/>
            </ns1:rPr>
            <ns1:t>]</ns1:t>
          </ns1:r>
          <ns1:r>
            <ns1:rPr>
              <ns1:sty ns1:val="p"/>
            </ns1:rPr>
            <ns1:t>,</ns1:t>
          </ns1:r>
          <ns1:r>
            <ns1:t> </ns1:t>
          </ns1:r>
          <ns1:sSub>
            <ns1:e>
              <ns1:r>
                <ns1:t>γ</ns1:t>
              </ns1:r>
            </ns1:e>
            <ns1:sub>
              <ns1:r>
                <ns1:t>z</ns1:t>
              </ns1:r>
            </ns1:sub>
          </ns1:sSub>
          <ns1:r>
            <ns1:rPr>
              <ns1:sty ns1:val="p"/>
            </ns1:rPr>
            <ns1:t>=</ns1:t>
          </ns1:r>
          <ns1:r>
            <ns1:rPr>
              <ns1:nor/>
              <ns1:sty ns1:val="p"/>
            </ns1:rPr>
            <ns1:t>atan2</ns1:t>
          </ns1:r>
          <ns1:r>
            <ns1:rPr>
              <ns1:sty ns1:val="p"/>
            </ns1:rPr>
            <ns1:t>(</ns1:t>
          </ns1:r>
          <ns1:sSub>
            <ns1:e>
              <ns1:r>
                <ns1:t>R</ns1:t>
              </ns1:r>
            </ns1:e>
            <ns1:sub>
              <ns1:r>
                <ns1:t>10</ns1:t>
              </ns1:r>
            </ns1:sub>
          </ns1:sSub>
          <ns1:r>
            <ns1:rPr>
              <ns1:sty ns1:val="p"/>
            </ns1:rPr>
            <ns1:t>,</ns1:t>
          </ns1:r>
          <ns1:sSub>
            <ns1:e>
              <ns1:r>
                <ns1:t>R</ns1:t>
              </ns1:r>
            </ns1:e>
            <ns1:sub>
              <ns1:r>
                <ns1:t>00</ns1:t>
              </ns1:r>
            </ns1:sub>
          </ns1:sSub>
          <ns1:r>
            <ns1:rPr>
              <ns1:sty ns1:val="p"/>
            </ns1:rPr>
            <ns1:t>)</ns1:t>
          </ns1:r>
          <ns1:r>
            <ns1:rPr>
              <ns1:sty ns1:val="p"/>
            </ns1:rPr>
            <ns1:t>.</ns1:t>
          </ns1:r>
        </ns1:oMath>
      </ns1:oMathPara>
    </ns0:p>
    <ns0:p>
      <ns0:pPr>
        <ns0:pStyle ns0:val="FirstParagraph"/>
      </ns0:pPr>
      <ns0:r>
        <ns0:t xml:space="preserve">At</ns0:t>
      </ns0:r>
      <ns0:r>
        <ns0:t xml:space="preserve"> </ns0:t>
      </ns0:r>
      <ns1:oMath>
        <ns1:sSub>
          <ns1:e>
            <ns1:r>
              <ns1:t>β</ns1:t>
            </ns1:r>
          </ns1:e>
          <ns1:sub>
            <ns1:r>
              <ns1:t>y</ns1:t>
            </ns1:r>
          </ns1:sub>
        </ns1:sSub>
        <ns1:r>
          <ns1:rPr>
            <ns1:sty ns1:val="p"/>
          </ns1:rPr>
          <ns1:t>=</ns1:t>
        </ns1:r>
        <ns1:r>
          <ns1:rPr>
            <ns1:sty ns1:val="p"/>
          </ns1:rPr>
          <ns1:t>±</ns1:t>
        </ns1:r>
        <ns1:r>
          <ns1:t>π</ns1:t>
        </ns1:r>
        <ns1:r>
          <ns1:rPr>
            <ns1:sty ns1:val="p"/>
          </ns1:rPr>
          <ns1:t>/</ns1:t>
        </ns1:r>
        <ns1:r>
          <ns1:t>2</ns1:t>
        </ns1:r>
      </ns1:oMath>
      <ns0:r>
        <ns0:t xml:space="preserve">, choose</ns0:t>
      </ns0:r>
      <ns0:r>
        <ns0:t xml:space="preserve"> </ns0:t>
      </ns0:r>
      <ns1:oMath>
        <ns1:sSub>
          <ns1:e>
            <ns1:r>
              <ns1:t>γ</ns1:t>
            </ns1:r>
          </ns1:e>
          <ns1:sub>
            <ns1:r>
              <ns1:t>z</ns1:t>
            </ns1:r>
          </ns1:sub>
        </ns1:sSub>
        <ns1:r>
          <ns1:rPr>
            <ns1:sty ns1:val="p"/>
          </ns1:rPr>
          <ns1:t>=</ns1:t>
        </ns1:r>
        <ns1:r>
          <ns1:t>0</ns1:t>
        </ns1:r>
      </ns1:oMath>
      <ns0:r>
        <ns0:t xml:space="preserve"> </ns0:t>
      </ns0:r>
      <ns0:r>
        <ns0:t xml:space="preserve">and</ns0:t>
      </ns0:r>
      <ns0:r>
        <ns0:t xml:space="preserve"> </ns0:t>
      </ns0:r>
      <ns1:oMath>
        <ns1:sSub>
          <ns1:e>
            <ns1:r>
              <ns1:t>α</ns1:t>
            </ns1:r>
          </ns1:e>
          <ns1:sub>
            <ns1:r>
              <ns1:t>x</ns1:t>
            </ns1:r>
          </ns1:sub>
        </ns1:sSub>
        <ns1:r>
          <ns1:rPr>
            <ns1:sty ns1:val="p"/>
          </ns1:rPr>
          <ns1:t>=</ns1:t>
        </ns1:r>
        <ns1:r>
          <ns1:rPr>
            <ns1:nor/>
            <ns1:sty ns1:val="p"/>
          </ns1:rPr>
          <ns1:t>atan2</ns1:t>
        </ns1:r>
        <ns1:r>
          <ns1:rPr>
            <ns1:sty ns1:val="p"/>
          </ns1:rPr>
          <ns1:t>[</ns1:t>
        </ns1:r>
        <ns1:r>
          <ns1:rPr>
            <ns1:sty ns1:val="p"/>
          </ns1:rPr>
          <ns1:t>−</ns1:t>
        </ns1:r>
        <ns1:r>
          <ns1:rPr>
            <ns1:nor/>
            <ns1:sty ns1:val="p"/>
          </ns1:rPr>
          <ns1:t>sign</ns1:t>
        </ns1:r>
        <ns1:r>
          <ns1:rPr>
            <ns1:sty ns1:val="p"/>
          </ns1:rPr>
          <ns1:t>(</ns1:t>
        </ns1:r>
        <ns1:sSub>
          <ns1:e>
            <ns1:r>
              <ns1:t>R</ns1:t>
            </ns1:r>
          </ns1:e>
          <ns1:sub>
            <ns1:r>
              <ns1:t>20</ns1:t>
            </ns1:r>
          </ns1:sub>
        </ns1:sSub>
        <ns1:r>
          <ns1:rPr>
            <ns1:sty ns1:val="p"/>
          </ns1:rPr>
          <ns1:t>)</ns1:t>
        </ns1:r>
        <ns1:sSub>
          <ns1:e>
            <ns1:r>
              <ns1:t>R</ns1:t>
            </ns1:r>
          </ns1:e>
          <ns1:sub>
            <ns1:r>
              <ns1:t>01</ns1:t>
            </ns1:r>
          </ns1:sub>
        </ns1:sSub>
        <ns1:r>
          <ns1:rPr>
            <ns1:sty ns1:val="p"/>
          </ns1:rPr>
          <ns1:t>,</ns1:t>
        </ns1:r>
        <ns1:sSub>
          <ns1:e>
            <ns1:r>
              <ns1:t>R</ns1:t>
            </ns1:r>
          </ns1:e>
          <ns1:sub>
            <ns1:r>
              <ns1:t>11</ns1:t>
            </ns1:r>
          </ns1:sub>
        </ns1:sSub>
        <ns1:r>
          <ns1:rPr>
            <ns1:sty ns1:val="p"/>
          </ns1:rPr>
          <ns1:t>]</ns1:t>
        </ns1:r>
      </ns1:oMath>
      <ns0:r>
        <ns0:t xml:space="preserve">.</ns0:t>
      </ns0:r>
      <ns0:r>
        <ns0:t xml:space="preserve"> </ns0:t>
      </ns0:r>
      <ns0:r>
        <ns0:t xml:space="preserve">In implementation, the equivalent stable expression</ns0:t>
      </ns0:r>
      <ns0:r>
        <ns0:t xml:space="preserve"> </ns0:t>
      </ns0:r>
      <ns1:oMath>
        <ns1:sSub>
          <ns1:e>
            <ns1:r>
              <ns1:t>β</ns1:t>
            </ns1:r>
          </ns1:e>
          <ns1:sub>
            <ns1:r>
              <ns1:t>y</ns1:t>
            </ns1:r>
          </ns1:sub>
        </ns1:sSub>
        <ns1:r>
          <ns1:rPr>
            <ns1:sty ns1:val="p"/>
          </ns1:rPr>
          <ns1:t>=</ns1:t>
        </ns1:r>
        <ns1:r>
          <ns1:rPr>
            <ns1:nor/>
            <ns1:sty ns1:val="p"/>
          </ns1:rPr>
          <ns1:t>atan2</ns1:t>
        </ns1:r>
        <ns1:r>
          <ns1:rPr>
            <ns1:sty ns1:val="p"/>
          </ns1:rPr>
          <ns1:t>(</ns1:t>
        </ns1:r>
        <ns1:r>
          <ns1:rPr>
            <ns1:sty ns1:val="p"/>
          </ns1:rPr>
          <ns1:t>−</ns1:t>
        </ns1:r>
        <ns1:sSub>
          <ns1:e>
            <ns1:r>
              <ns1:t>R</ns1:t>
            </ns1:r>
          </ns1:e>
          <ns1:sub>
            <ns1:r>
              <ns1:t>20</ns1:t>
            </ns1:r>
          </ns1:sub>
        </ns1:sSub>
        <ns1:r>
          <ns1:rPr>
            <ns1:sty ns1:val="p"/>
          </ns1:rPr>
          <ns1:t>,</ns1:t>
        </ns1:r>
        <ns1:rad>
          <ns1:radPr>
            <ns1:degHide ns1:val="1"/>
          </ns1:radPr>
          <ns1:deg/>
          <ns1:e>
            <ns1:sSubSup>
              <ns1:e>
                <ns1:r>
                  <ns1:t>R</ns1:t>
                </ns1:r>
              </ns1:e>
              <ns1:sub>
                <ns1:r>
                  <ns1:t>00</ns1:t>
                </ns1:r>
              </ns1:sub>
              <ns1:sup>
                <ns1:r>
                  <ns1:t>2</ns1:t>
                </ns1:r>
              </ns1:sup>
            </ns1:sSubSup>
            <ns1:r>
              <ns1:rPr>
                <ns1:sty ns1:val="p"/>
              </ns1:rPr>
              <ns1:t>+</ns1:t>
            </ns1:r>
            <ns1:sSubSup>
              <ns1:e>
                <ns1:r>
                  <ns1:t>R</ns1:t>
                </ns1:r>
              </ns1:e>
              <ns1:sub>
                <ns1:r>
                  <ns1:t>10</ns1:t>
                </ns1:r>
              </ns1:sub>
              <ns1:sup>
                <ns1:r>
                  <ns1:t>2</ns1:t>
                </ns1:r>
              </ns1:sup>
            </ns1:sSubSup>
          </ns1:e>
        </ns1:rad>
        <ns1:r>
          <ns1:rPr>
            <ns1:sty ns1:val="p"/>
          </ns1:rPr>
          <ns1:t>)</ns1:t>
        </ns1:r>
      </ns1:oMath>
      <ns0:r>
        <ns0:t xml:space="preserve"> </ns0:t>
      </ns0:r>
      <ns0:r>
        <ns0:t xml:space="preserve">is used, with the singular branch restricted to vanishing cosine. The singular branch is included for completeness; physiological small-angle outputs should remain far from it. Matrix reconstruction tests cover both branches.</ns0:t>
      </ns0:r>
    </ns0:p>
    <ns0:p>
      <ns0:pPr>
        <ns0:pStyle ns0:val="BodyText"/>
      </ns0:pPr>
      <ns0:r>
        <ns0:t xml:space="preserve">For the unloaded sacral ROI centroid</ns0:t>
      </ns0:r>
      <ns0:r>
        <ns0:t xml:space="preserve"> </ns0:t>
      </ns0:r>
      <ns1:oMath>
        <ns1:sSub>
          <ns1:e>
            <ns1:r>
              <ns1:rPr>
                <ns1:sty ns1:val="b"/>
              </ns1:rPr>
              <ns1:t>p</ns1:t>
            </ns1:r>
          </ns1:e>
          <ns1:sub>
            <ns1:r>
              <ns1:t>c</ns1:t>
            </ns1:r>
          </ns1:sub>
        </ns1:sSub>
      </ns1:oMath>
      <ns0:r>
        <ns0:t xml:space="preserve">, the reported displacement is</ns0:t>
      </ns0:r>
    </ns0:p>
    <ns0:p>
      <ns0:pPr>
        <ns0:pStyle ns0:val="BodyText"/>
      </ns0:pPr>
      <ns1:oMathPara>
        <ns1:oMathParaPr>
          <ns1:jc ns1:val="center"/>
        </ns1:oMathParaPr>
        <ns1:oMath>
          <ns1:r>
            <ns1:rPr>
              <ns1:sty ns1:val="b"/>
            </ns1:rPr>
            <ns1:t>d</ns1:t>
          </ns1:r>
          <ns1:r>
            <ns1:rPr>
              <ns1:sty ns1:val="p"/>
            </ns1:rPr>
            <ns1:t>=</ns1:t>
          </ns1:r>
          <ns1:sSup>
            <ns1:e>
              <ns1:r>
                <ns1:rPr>
                  <ns1:sty ns1:val="b"/>
                </ns1:rPr>
                <ns1:t>P</ns1:t>
              </ns1:r>
            </ns1:e>
            <ns1:sup>
              <ns1:r>
                <ns1:t>T</ns1:t>
              </ns1:r>
            </ns1:sup>
          </ns1:sSup>
          <ns1:r>
            <ns1:rPr>
              <ns1:sty ns1:val="p"/>
            </ns1:rPr>
            <ns1:t>[</ns1:t>
          </ns1:r>
          <ns1:r>
            <ns1:rPr>
              <ns1:sty ns1:val="p"/>
            </ns1:rPr>
            <ns1:t>(</ns1:t>
          </ns1:r>
          <ns1:sSub>
            <ns1:e>
              <ns1:r>
                <ns1:rPr>
                  <ns1:sty ns1:val="b"/>
                </ns1:rPr>
                <ns1:t>R</ns1:t>
              </ns1:r>
            </ns1:e>
            <ns1:sub>
              <ns1:r>
                <ns1:t>I</ns1:t>
              </ns1:r>
            </ns1:sub>
          </ns1:sSub>
          <ns1:r>
            <ns1:rPr>
              <ns1:sty ns1:val="p"/>
            </ns1:rPr>
            <ns1:t>−</ns1:t>
          </ns1:r>
          <ns1:sSub>
            <ns1:e>
              <ns1:r>
                <ns1:rPr>
                  <ns1:sty ns1:val="b"/>
                </ns1:rPr>
                <ns1:t>R</ns1:t>
              </ns1:r>
            </ns1:e>
            <ns1:sub>
              <ns1:r>
                <ns1:t>S</ns1:t>
              </ns1:r>
            </ns1:sub>
          </ns1:sSub>
          <ns1:r>
            <ns1:rPr>
              <ns1:sty ns1:val="p"/>
            </ns1:rPr>
            <ns1:t>)</ns1:t>
          </ns1:r>
          <ns1:sSub>
            <ns1:e>
              <ns1:r>
                <ns1:rPr>
                  <ns1:sty ns1:val="b"/>
                </ns1:rPr>
                <ns1:t>p</ns1:t>
              </ns1:r>
            </ns1:e>
            <ns1:sub>
              <ns1:r>
                <ns1:t>c</ns1:t>
              </ns1:r>
            </ns1:sub>
          </ns1:sSub>
          <ns1:r>
            <ns1:rPr>
              <ns1:sty ns1:val="p"/>
            </ns1:rPr>
            <ns1:t>+</ns1:t>
          </ns1:r>
          <ns1:sSub>
            <ns1:e>
              <ns1:r>
                <ns1:rPr>
                  <ns1:sty ns1:val="b"/>
                </ns1:rPr>
                <ns1:t>t</ns1:t>
              </ns1:r>
            </ns1:e>
            <ns1:sub>
              <ns1:r>
                <ns1:t>I</ns1:t>
              </ns1:r>
            </ns1:sub>
          </ns1:sSub>
          <ns1:r>
            <ns1:rPr>
              <ns1:sty ns1:val="p"/>
            </ns1:rPr>
            <ns1:t>−</ns1:t>
          </ns1:r>
          <ns1:sSub>
            <ns1:e>
              <ns1:r>
                <ns1:rPr>
                  <ns1:sty ns1:val="b"/>
                </ns1:rPr>
                <ns1:t>t</ns1:t>
              </ns1:r>
            </ns1:e>
            <ns1:sub>
              <ns1:r>
                <ns1:t>S</ns1:t>
              </ns1:r>
            </ns1:sub>
          </ns1:sSub>
          <ns1:r>
            <ns1:rPr>
              <ns1:sty ns1:val="p"/>
            </ns1:rPr>
            <ns1:t>]</ns1:t>
          </ns1:r>
          <ns1:r>
            <ns1:rPr>
              <ns1:sty ns1:val="p"/>
            </ns1:rPr>
            <ns1:t>.</ns1:t>
          </ns1:r>
        </ns1:oMath>
      </ns1:oMathPara>
    </ns0:p>
    <ns0:p>
      <ns0:pPr>
        <ns0:pStyle ns0:val="FirstParagraph"/>
      </ns0:pPr>
      <ns0:r>
        <ns0:t xml:space="preserve">It evaluates the difference of two fitted maps at a common reference point, expressed in the unloaded pelvic axes after affine correction. It is not the translational parameter of</ns0:t>
      </ns0:r>
      <ns0:r>
        <ns0:t xml:space="preserve"> </ns0:t>
      </ns0:r>
      <ns1:oMath>
        <ns1:sSubSup>
          <ns1:e>
            <ns1:r>
              <ns1:t>T</ns1:t>
            </ns1:r>
          </ns1:e>
          <ns1:sub>
            <ns1:r>
              <ns1:t>S</ns1:t>
            </ns1:r>
          </ns1:sub>
          <ns1:sup>
            <ns1:r>
              <ns1:rPr>
                <ns1:sty ns1:val="p"/>
              </ns1:rPr>
              <ns1:t>−</ns1:t>
            </ns1:r>
            <ns1:r>
              <ns1:t>1</ns1:t>
            </ns1:r>
          </ns1:sup>
        </ns1:sSubSup>
        <ns1:sSub>
          <ns1:e>
            <ns1:r>
              <ns1:t>T</ns1:t>
            </ns1:r>
          </ns1:e>
          <ns1:sub>
            <ns1:r>
              <ns1:t>I</ns1:t>
            </ns1:r>
          </ns1:sub>
        </ns1:sSub>
      </ns1:oMath>
      <ns0:r>
        <ns0:t xml:space="preserve">. In fact, with</ns0:t>
      </ns0:r>
      <ns0:r>
        <ns0:t xml:space="preserve"> </ns0:t>
      </ns0:r>
      <ns1:oMath>
        <ns1:sSub>
          <ns1:e>
            <ns1:r>
              <ns1:rPr>
                <ns1:sty ns1:val="b"/>
              </ns1:rPr>
              <ns1:t>t</ns1:t>
            </ns1:r>
          </ns1:e>
          <ns1:sub>
            <ns1:r>
              <ns1:t>r</ns1:t>
            </ns1:r>
            <ns1:r>
              <ns1:t>e</ns1:t>
            </ns1:r>
            <ns1:r>
              <ns1:t>l</ns1:t>
            </ns1:r>
          </ns1:sub>
        </ns1:sSub>
        <ns1:r>
          <ns1:rPr>
            <ns1:sty ns1:val="p"/>
          </ns1:rPr>
          <ns1:t>=</ns1:t>
        </ns1:r>
        <ns1:sSubSup>
          <ns1:e>
            <ns1:r>
              <ns1:rPr>
                <ns1:sty ns1:val="b"/>
              </ns1:rPr>
              <ns1:t>R</ns1:t>
            </ns1:r>
          </ns1:e>
          <ns1:sub>
            <ns1:r>
              <ns1:t>S</ns1:t>
            </ns1:r>
          </ns1:sub>
          <ns1:sup>
            <ns1:r>
              <ns1:t>T</ns1:t>
            </ns1:r>
          </ns1:sup>
        </ns1:sSubSup>
        <ns1:r>
          <ns1:rPr>
            <ns1:sty ns1:val="p"/>
          </ns1:rPr>
          <ns1:t>(</ns1:t>
        </ns1:r>
        <ns1:sSub>
          <ns1:e>
            <ns1:r>
              <ns1:rPr>
                <ns1:sty ns1:val="b"/>
              </ns1:rPr>
              <ns1:t>t</ns1:t>
            </ns1:r>
          </ns1:e>
          <ns1:sub>
            <ns1:r>
              <ns1:t>I</ns1:t>
            </ns1:r>
          </ns1:sub>
        </ns1:sSub>
        <ns1:r>
          <ns1:rPr>
            <ns1:sty ns1:val="p"/>
          </ns1:rPr>
          <ns1:t>−</ns1:t>
        </ns1:r>
        <ns1:sSub>
          <ns1:e>
            <ns1:r>
              <ns1:rPr>
                <ns1:sty ns1:val="b"/>
              </ns1:rPr>
              <ns1:t>t</ns1:t>
            </ns1:r>
          </ns1:e>
          <ns1:sub>
            <ns1:r>
              <ns1:t>S</ns1:t>
            </ns1:r>
          </ns1:sub>
        </ns1:sSub>
        <ns1:r>
          <ns1:rPr>
            <ns1:sty ns1:val="p"/>
          </ns1:rPr>
          <ns1:t>)</ns1:t>
        </ns1:r>
      </ns1:oMath>
      <ns0:r>
        <ns0:t xml:space="preserve">,</ns0:t>
      </ns0:r>
    </ns0:p>
    <ns0:p>
      <ns0:pPr>
        <ns0:pStyle ns0:val="BodyText"/>
      </ns0:pPr>
      <ns1:oMathPara>
        <ns1:oMathParaPr>
          <ns1:jc ns1:val="center"/>
        </ns1:oMathParaPr>
        <ns1:oMath>
          <ns1:r>
            <ns1:rPr>
              <ns1:sty ns1:val="b"/>
            </ns1:rPr>
            <ns1:t>d</ns1:t>
          </ns1:r>
          <ns1:r>
            <ns1:rPr>
              <ns1:sty ns1:val="p"/>
            </ns1:rPr>
            <ns1:t>=</ns1:t>
          </ns1:r>
          <ns1:sSup>
            <ns1:e>
              <ns1:r>
                <ns1:rPr>
                  <ns1:sty ns1:val="b"/>
                </ns1:rPr>
                <ns1:t>P</ns1:t>
              </ns1:r>
            </ns1:e>
            <ns1:sup>
              <ns1:r>
                <ns1:t>T</ns1:t>
              </ns1:r>
            </ns1:sup>
          </ns1:sSup>
          <ns1:sSub>
            <ns1:e>
              <ns1:r>
                <ns1:rPr>
                  <ns1:sty ns1:val="b"/>
                </ns1:rPr>
                <ns1:t>R</ns1:t>
              </ns1:r>
            </ns1:e>
            <ns1:sub>
              <ns1:r>
                <ns1:t>S</ns1:t>
              </ns1:r>
            </ns1:sub>
          </ns1:sSub>
          <ns1:r>
            <ns1:rPr>
              <ns1:sty ns1:val="p"/>
            </ns1:rPr>
            <ns1:t>[</ns1:t>
          </ns1:r>
          <ns1:r>
            <ns1:rPr>
              <ns1:sty ns1:val="p"/>
            </ns1:rPr>
            <ns1:t>(</ns1:t>
          </ns1:r>
          <ns1:sSub>
            <ns1:e>
              <ns1:r>
                <ns1:rPr>
                  <ns1:sty ns1:val="b"/>
                </ns1:rPr>
                <ns1:t>R</ns1:t>
              </ns1:r>
            </ns1:e>
            <ns1:sub>
              <ns1:r>
                <ns1:t>r</ns1:t>
              </ns1:r>
              <ns1:r>
                <ns1:t>e</ns1:t>
              </ns1:r>
              <ns1:r>
                <ns1:t>l</ns1:t>
              </ns1:r>
            </ns1:sub>
          </ns1:sSub>
          <ns1:r>
            <ns1:rPr>
              <ns1:sty ns1:val="p"/>
            </ns1:rPr>
            <ns1:t>−</ns1:t>
          </ns1:r>
          <ns1:r>
            <ns1:rPr>
              <ns1:sty ns1:val="b"/>
            </ns1:rPr>
            <ns1:t>I</ns1:t>
          </ns1:r>
          <ns1:r>
            <ns1:rPr>
              <ns1:sty ns1:val="p"/>
            </ns1:rPr>
            <ns1:t>)</ns1:t>
          </ns1:r>
          <ns1:sSub>
            <ns1:e>
              <ns1:r>
                <ns1:rPr>
                  <ns1:sty ns1:val="b"/>
                </ns1:rPr>
                <ns1:t>p</ns1:t>
              </ns1:r>
            </ns1:e>
            <ns1:sub>
              <ns1:r>
                <ns1:t>c</ns1:t>
              </ns1:r>
            </ns1:sub>
          </ns1:sSub>
          <ns1:r>
            <ns1:rPr>
              <ns1:sty ns1:val="p"/>
            </ns1:rPr>
            <ns1:t>+</ns1:t>
          </ns1:r>
          <ns1:sSub>
            <ns1:e>
              <ns1:r>
                <ns1:rPr>
                  <ns1:sty ns1:val="b"/>
                </ns1:rPr>
                <ns1:t>t</ns1:t>
              </ns1:r>
            </ns1:e>
            <ns1:sub>
              <ns1:r>
                <ns1:t>r</ns1:t>
              </ns1:r>
              <ns1:r>
                <ns1:t>e</ns1:t>
              </ns1:r>
              <ns1:r>
                <ns1:t>l</ns1:t>
              </ns1:r>
            </ns1:sub>
          </ns1:sSub>
          <ns1:r>
            <ns1:rPr>
              <ns1:sty ns1:val="p"/>
            </ns1:rPr>
            <ns1:t>]</ns1:t>
          </ns1:r>
          <ns1:r>
            <ns1:rPr>
              <ns1:sty ns1:val="p"/>
            </ns1:rPr>
            <ns1:t>.</ns1:t>
          </ns1:r>
        </ns1:oMath>
      </ns1:oMathPara>
    </ns0:p>
    <ns0:p>
      <ns0:pPr>
        <ns0:pStyle ns0:val="FirstParagraph"/>
      </ns0:pPr>
      <ns0:r>
        <ns0:t xml:space="preserve">This identity makes explicit the distinction between the relative rigid transform and the reported point-displacement difference. It is neither the distance between opposing articular surfaces nor a displacement along a surface normal. The bilateral summaries are</ns0:t>
      </ns0:r>
    </ns0:p>
    <ns0:p>
      <ns0:pPr>
        <ns0:pStyle ns0:val="BodyText"/>
      </ns0:pPr>
      <ns1:oMathPara>
        <ns1:oMathParaPr>
          <ns1:jc ns1:val="center"/>
        </ns1:oMathParaPr>
        <ns1:oMath>
          <ns1:m>
            <ns1:mPr>
              <ns1:baseJc ns1:val="center"/>
              <ns1:plcHide ns1:val="1"/>
              <ns1:mcs>
                <ns1:mc>
                  <ns1:mcPr>
                    <ns1:mcJc ns1:val="right"/>
                    <ns1:count ns1:val="1"/>
                  </ns1:mcPr>
                </ns1:mc>
                <ns1:mc>
                  <ns1:mcPr>
                    <ns1:mcJc ns1:val="left"/>
                    <ns1:count ns1:val="1"/>
                  </ns1:mcPr>
                </ns1:mc>
                <ns1:mc>
                  <ns1:mcPr>
                    <ns1:mcJc ns1:val="right"/>
                    <ns1:count ns1:val="1"/>
                  </ns1:mcPr>
                </ns1:mc>
                <ns1:mc>
                  <ns1:mcPr>
                    <ns1:mcJc ns1:val="left"/>
                    <ns1:count ns1:val="1"/>
                  </ns1:mcPr>
                </ns1:mc>
              </ns1:mcs>
            </ns1:mPr>
            <ns1:mr>
              <ns1:e>
                <ns1:r>
                  <ns1:rPr>
                    <ns1:sty ns1:val="p"/>
                  </ns1:rPr>
                  <ns1:t>|</ns1:t>
                </ns1:r>
                <ns1:r>
                  <ns1:rPr>
                    <ns1:sty ns1:val="b"/>
                  </ns1:rPr>
                  <ns1:t>θ</ns1:t>
                </ns1:r>
                <ns1:r>
                  <ns1:rPr>
                    <ns1:sty ns1:val="p"/>
                  </ns1:rPr>
                  <ns1:t>|</ns1:t>
                </ns1:r>
              </ns1:e>
              <ns1:e>
                <ns1:r>
                  <ns1:rPr>
                    <ns1:sty ns1:val="p"/>
                  </ns1:rPr>
                  <ns1:t>=</ns1:t>
                </ns1:r>
                <ns1:f>
                  <ns1:fPr>
                    <ns1:type ns1:val="lin"/>
                  </ns1:fPr>
                  <ns1:num>
                    <ns1:r>
                      <ns1:t>1</ns1:t>
                    </ns1:r>
                  </ns1:num>
                  <ns1:den>
                    <ns1:r>
                      <ns1:t>2</ns1:t>
                    </ns1:r>
                  </ns1:den>
                </ns1:f>
                <ns1:nary>
                  <ns1:naryPr>
                    <ns1:chr ns1:val="∑"/>
                    <ns1:limLoc ns1:val="undOvr"/>
                    <ns1:subHide ns1:val="0"/>
                    <ns1:supHide ns1:val="1"/>
                  </ns1:naryPr>
                  <ns1:sub>
                    <ns1:r>
                      <ns1:t>s</ns1:t>
                    </ns1:r>
                    <ns1:r>
                      <ns1:rPr>
                        <ns1:sty ns1:val="p"/>
                      </ns1:rPr>
                      <ns1:t>=</ns1:t>
                    </ns1:r>
                    <ns1:r>
                      <ns1:t>L</ns1:t>
                    </ns1:r>
                    <ns1:r>
                      <ns1:rPr>
                        <ns1:sty ns1:val="p"/>
                      </ns1:rPr>
                      <ns1:t>,</ns1:t>
                    </ns1:r>
                    <ns1:r>
                      <ns1:t>R</ns1:t>
                    </ns1:r>
                  </ns1:sub>
                  <ns1:sup>
                    <ns1:r>
                      <ns1:t>​</ns1:t>
                    </ns1:r>
                  </ns1:sup>
                  <ns1:e>
                    <ns1:r>
                      <ns1:rPr>
                        <ns1:sty ns1:val="p"/>
                      </ns1:rPr>
                      <ns1:t>(</ns1:t>
                    </ns1:r>
                  </ns1:e>
                </ns1:nary>
                <ns1:sSubSup>
                  <ns1:e>
                    <ns1:r>
                      <ns1:t>α</ns1:t>
                    </ns1:r>
                  </ns1:e>
                  <ns1:sub>
                    <ns1:r>
                      <ns1:t>x</ns1:t>
                    </ns1:r>
                    <ns1:r>
                      <ns1:rPr>
                        <ns1:sty ns1:val="p"/>
                      </ns1:rPr>
                      <ns1:t>,</ns1:t>
                    </ns1:r>
                    <ns1:r>
                      <ns1:t>s</ns1:t>
                    </ns1:r>
                  </ns1:sub>
                  <ns1:sup>
                    <ns1:r>
                      <ns1:t>2</ns1:t>
                    </ns1:r>
                  </ns1:sup>
                </ns1:sSubSup>
                <ns1:r>
                  <ns1:rPr>
                    <ns1:sty ns1:val="p"/>
                  </ns1:rPr>
                  <ns1:t>+</ns1:t>
                </ns1:r>
                <ns1:sSubSup>
                  <ns1:e>
                    <ns1:r>
                      <ns1:t>β</ns1:t>
                    </ns1:r>
                  </ns1:e>
                  <ns1:sub>
                    <ns1:r>
                      <ns1:t>y</ns1:t>
                    </ns1:r>
                    <ns1:r>
                      <ns1:rPr>
                        <ns1:sty ns1:val="p"/>
                      </ns1:rPr>
                      <ns1:t>,</ns1:t>
                    </ns1:r>
                    <ns1:r>
                      <ns1:t>s</ns1:t>
                    </ns1:r>
                  </ns1:sub>
                  <ns1:sup>
                    <ns1:r>
                      <ns1:t>2</ns1:t>
                    </ns1:r>
                  </ns1:sup>
                </ns1:sSubSup>
                <ns1:r>
                  <ns1:rPr>
                    <ns1:sty ns1:val="p"/>
                  </ns1:rPr>
                  <ns1:t>+</ns1:t>
                </ns1:r>
                <ns1:sSubSup>
                  <ns1:e>
                    <ns1:r>
                      <ns1:t>γ</ns1:t>
                    </ns1:r>
                  </ns1:e>
                  <ns1:sub>
                    <ns1:r>
                      <ns1:t>z</ns1:t>
                    </ns1:r>
                    <ns1:r>
                      <ns1:rPr>
                        <ns1:sty ns1:val="p"/>
                      </ns1:rPr>
                      <ns1:t>,</ns1:t>
                    </ns1:r>
                    <ns1:r>
                      <ns1:t>s</ns1:t>
                    </ns1:r>
                  </ns1:sub>
                  <ns1:sup>
                    <ns1:r>
                      <ns1:t>2</ns1:t>
                    </ns1:r>
                  </ns1:sup>
                </ns1:sSubSup>
                <ns1:sSup>
                  <ns1:e>
                    <ns1:r>
                      <ns1:rPr>
                        <ns1:sty ns1:val="p"/>
                      </ns1:rPr>
                      <ns1:t>)</ns1:t>
                    </ns1:r>
                  </ns1:e>
                  <ns1:sup>
                    <ns1:r>
                      <ns1:t>1</ns1:t>
                    </ns1:r>
                    <ns1:r>
                      <ns1:rPr>
                        <ns1:sty ns1:val="p"/>
                      </ns1:rPr>
                      <ns1:t>/</ns1:t>
                    </ns1:r>
                    <ns1:r>
                      <ns1:t>2</ns1:t>
                    </ns1:r>
                  </ns1:sup>
                </ns1:sSup>
                <ns1:r>
                  <ns1:rPr>
                    <ns1:sty ns1:val="p"/>
                  </ns1:rPr>
                  <ns1:t>,</ns1:t>
                </ns1:r>
              </ns1:e>
              <ns1:e>
                <ns1:r>
                  <ns1:rPr>
                    <ns1:sty ns1:val="p"/>
                  </ns1:rPr>
                  <ns1:t>|</ns1:t>
                </ns1:r>
                <ns1:r>
                  <ns1:rPr>
                    <ns1:sty ns1:val="b"/>
                  </ns1:rPr>
                  <ns1:t>d</ns1:t>
                </ns1:r>
                <ns1:r>
                  <ns1:rPr>
                    <ns1:sty ns1:val="p"/>
                  </ns1:rPr>
                  <ns1:t>|</ns1:t>
                </ns1:r>
              </ns1:e>
              <ns1:e>
                <ns1:r>
                  <ns1:rPr>
                    <ns1:sty ns1:val="p"/>
                  </ns1:rPr>
                  <ns1:t>=</ns1:t>
                </ns1:r>
                <ns1:f>
                  <ns1:fPr>
                    <ns1:type ns1:val="lin"/>
                  </ns1:fPr>
                  <ns1:num>
                    <ns1:r>
                      <ns1:t>1</ns1:t>
                    </ns1:r>
                  </ns1:num>
                  <ns1:den>
                    <ns1:r>
                      <ns1:t>2</ns1:t>
                    </ns1:r>
                  </ns1:den>
                </ns1:f>
                <ns1:nary>
                  <ns1:naryPr>
                    <ns1:chr ns1:val="∑"/>
                    <ns1:limLoc ns1:val="undOvr"/>
                    <ns1:subHide ns1:val="0"/>
                    <ns1:supHide ns1:val="1"/>
                  </ns1:naryPr>
                  <ns1:sub>
                    <ns1:r>
                      <ns1:t>s</ns1:t>
                    </ns1:r>
                    <ns1:r>
                      <ns1:rPr>
                        <ns1:sty ns1:val="p"/>
                      </ns1:rPr>
                      <ns1:t>=</ns1:t>
                    </ns1:r>
                    <ns1:r>
                      <ns1:t>L</ns1:t>
                    </ns1:r>
                    <ns1:r>
                      <ns1:rPr>
                        <ns1:sty ns1:val="p"/>
                      </ns1:rPr>
                      <ns1:t>,</ns1:t>
                    </ns1:r>
                    <ns1:r>
                      <ns1:t>R</ns1:t>
                    </ns1:r>
                  </ns1:sub>
                  <ns1:sup>
                    <ns1:r>
                      <ns1:t>​</ns1:t>
                    </ns1:r>
                  </ns1:sup>
                  <ns1:e>
                    <ns1:r>
                      <ns1:rPr>
                        <ns1:sty ns1:val="p"/>
                      </ns1:rPr>
                      <ns1:t>∥</ns1:t>
                    </ns1:r>
                  </ns1:e>
                </ns1:nary>
                <ns1:sSub>
                  <ns1:e>
                    <ns1:r>
                      <ns1:rPr>
                        <ns1:sty ns1:val="b"/>
                      </ns1:rPr>
                      <ns1:t>d</ns1:t>
                    </ns1:r>
                  </ns1:e>
                  <ns1:sub>
                    <ns1:r>
                      <ns1:t>s</ns1:t>
                    </ns1:r>
                  </ns1:sub>
                </ns1:sSub>
                <ns1:r>
                  <ns1:rPr>
                    <ns1:sty ns1:val="p"/>
                  </ns1:rPr>
                  <ns1:t>∥</ns1:t>
                </ns1:r>
                <ns1:r>
                  <ns1:rPr>
                    <ns1:sty ns1:val="p"/>
                  </ns1:rPr>
                  <ns1:t>,</ns1:t>
                </ns1:r>
              </ns1:e>
            </ns1:mr>
            <ns1:mr>
              <ns1:e>
                <ns1:r>
                  <ns1:rPr>
                    <ns1:sty ns1:val="p"/>
                  </ns1:rPr>
                  <ns1:t>|</ns1:t>
                </ns1:r>
                <ns1:sSub>
                  <ns1:e>
                    <ns1:r>
                      <ns1:t>d</ns1:t>
                    </ns1:r>
                  </ns1:e>
                  <ns1:sub>
                    <ns1:r>
                      <ns1:t>k</ns1:t>
                    </ns1:r>
                  </ns1:sub>
                </ns1:sSub>
                <ns1:r>
                  <ns1:rPr>
                    <ns1:sty ns1:val="p"/>
                  </ns1:rPr>
                  <ns1:t>|</ns1:t>
                </ns1:r>
              </ns1:e>
              <ns1:e>
                <ns1:r>
                  <ns1:rPr>
                    <ns1:sty ns1:val="p"/>
                  </ns1:rPr>
                  <ns1:t>=</ns1:t>
                </ns1:r>
                <ns1:f>
                  <ns1:fPr>
                    <ns1:type ns1:val="lin"/>
                  </ns1:fPr>
                  <ns1:num>
                    <ns1:r>
                      <ns1:t>1</ns1:t>
                    </ns1:r>
                  </ns1:num>
                  <ns1:den>
                    <ns1:r>
                      <ns1:t>2</ns1:t>
                    </ns1:r>
                  </ns1:den>
                </ns1:f>
                <ns1:r>
                  <ns1:rPr>
                    <ns1:sty ns1:val="p"/>
                  </ns1:rPr>
                  <ns1:t>(</ns1:t>
                </ns1:r>
                <ns1:r>
                  <ns1:rPr>
                    <ns1:sty ns1:val="p"/>
                  </ns1:rPr>
                  <ns1:t>|</ns1:t>
                </ns1:r>
                <ns1:sSub>
                  <ns1:e>
                    <ns1:r>
                      <ns1:t>d</ns1:t>
                    </ns1:r>
                  </ns1:e>
                  <ns1:sub>
                    <ns1:r>
                      <ns1:t>k</ns1:t>
                    </ns1:r>
                    <ns1:r>
                      <ns1:rPr>
                        <ns1:sty ns1:val="p"/>
                      </ns1:rPr>
                      <ns1:t>,</ns1:t>
                    </ns1:r>
                    <ns1:r>
                      <ns1:t>L</ns1:t>
                    </ns1:r>
                  </ns1:sub>
                </ns1:sSub>
                <ns1:r>
                  <ns1:rPr>
                    <ns1:sty ns1:val="p"/>
                  </ns1:rPr>
                  <ns1:t>|</ns1:t>
                </ns1:r>
                <ns1:r>
                  <ns1:rPr>
                    <ns1:sty ns1:val="p"/>
                  </ns1:rPr>
                  <ns1:t>+</ns1:t>
                </ns1:r>
                <ns1:r>
                  <ns1:rPr>
                    <ns1:sty ns1:val="p"/>
                  </ns1:rPr>
                  <ns1:t>|</ns1:t>
                </ns1:r>
                <ns1:sSub>
                  <ns1:e>
                    <ns1:r>
                      <ns1:t>d</ns1:t>
                    </ns1:r>
                  </ns1:e>
                  <ns1:sub>
                    <ns1:r>
                      <ns1:t>k</ns1:t>
                    </ns1:r>
                    <ns1:r>
                      <ns1:rPr>
                        <ns1:sty ns1:val="p"/>
                      </ns1:rPr>
                      <ns1:t>,</ns1:t>
                    </ns1:r>
                    <ns1:r>
                      <ns1:t>R</ns1:t>
                    </ns1:r>
                  </ns1:sub>
                </ns1:sSub>
                <ns1:r>
                  <ns1:rPr>
                    <ns1:sty ns1:val="p"/>
                  </ns1:rPr>
                  <ns1:t>|</ns1:t>
                </ns1:r>
                <ns1:r>
                  <ns1:rPr>
                    <ns1:sty ns1:val="p"/>
                  </ns1:rPr>
                  <ns1:t>)</ns1:t>
                </ns1:r>
                <ns1:r>
                  <ns1:rPr>
                    <ns1:sty ns1:val="p"/>
                  </ns1:rPr>
                  <ns1:t>,</ns1:t>
                </ns1:r>
              </ns1:e>
              <ns1:e>
                <ns1:sSub>
                  <ns1:e>
                    <ns1:r>
                      <ns1:t>A</ns1:t>
                    </ns1:r>
                  </ns1:e>
                  <ns1:sub>
                    <ns1:r>
                      <ns1:t>d</ns1:t>
                    </ns1:r>
                  </ns1:sub>
                </ns1:sSub>
              </ns1:e>
              <ns1:e>
                <ns1:r>
                  <ns1:rPr>
                    <ns1:sty ns1:val="p"/>
                  </ns1:rPr>
                  <ns1:t>=</ns1:t>
                </ns1:r>
                <ns1:r>
                  <ns1:rPr>
                    <ns1:sty ns1:val="p"/>
                  </ns1:rPr>
                  <ns1:t>|</ns1:t>
                </ns1:r>
                <ns1:r>
                  <ns1:rPr>
                    <ns1:sty ns1:val="p"/>
                  </ns1:rPr>
                  <ns1:t>∥</ns1:t>
                </ns1:r>
                <ns1:sSub>
                  <ns1:e>
                    <ns1:r>
                      <ns1:rPr>
                        <ns1:sty ns1:val="b"/>
                      </ns1:rPr>
                      <ns1:t>d</ns1:t>
                    </ns1:r>
                  </ns1:e>
                  <ns1:sub>
                    <ns1:r>
                      <ns1:t>L</ns1:t>
                    </ns1:r>
                  </ns1:sub>
                </ns1:sSub>
                <ns1:r>
                  <ns1:rPr>
                    <ns1:sty ns1:val="p"/>
                  </ns1:rPr>
                  <ns1:t>∥</ns1:t>
                </ns1:r>
                <ns1:r>
                  <ns1:rPr>
                    <ns1:sty ns1:val="p"/>
                  </ns1:rPr>
                  <ns1:t>−</ns1:t>
                </ns1:r>
                <ns1:r>
                  <ns1:rPr>
                    <ns1:sty ns1:val="p"/>
                  </ns1:rPr>
                  <ns1:t>∥</ns1:t>
                </ns1:r>
                <ns1:sSub>
                  <ns1:e>
                    <ns1:r>
                      <ns1:rPr>
                        <ns1:sty ns1:val="b"/>
                      </ns1:rPr>
                      <ns1:t>d</ns1:t>
                    </ns1:r>
                  </ns1:e>
                  <ns1:sub>
                    <ns1:r>
                      <ns1:t>R</ns1:t>
                    </ns1:r>
                  </ns1:sub>
                </ns1:sSub>
                <ns1:r>
                  <ns1:rPr>
                    <ns1:sty ns1:val="p"/>
                  </ns1:rPr>
                  <ns1:t>∥</ns1:t>
                </ns1:r>
                <ns1:r>
                  <ns1:rPr>
                    <ns1:sty ns1:val="p"/>
                  </ns1:rPr>
                  <ns1:t>|</ns1:t>
                </ns1:r>
                <ns1:r>
                  <ns1:rPr>
                    <ns1:sty ns1:val="p"/>
                  </ns1:rPr>
                  <ns1:t>.</ns1:t>
                </ns1:r>
              </ns1:e>
            </ns1:mr>
          </ns1:m>
        </ns1:oMath>
      </ns1:oMathPara>
    </ns0:p>
    <ns0:p>
      <ns0:pPr>
        <ns0:pStyle ns0:val="FirstParagraph"/>
      </ns0:pPr>
      <ns0:r>
        <ns0:t xml:space="preserve">Angles are converted to degrees before reporting. The exact principal rotation angle would instead be</ns0:t>
      </ns0:r>
      <ns0:r>
        <ns0:t xml:space="preserve"> </ns0:t>
      </ns0:r>
      <ns1:oMath>
        <ns1:r>
          <ns1:rPr>
            <ns1:nor/>
            <ns1:sty ns1:val="p"/>
          </ns1:rPr>
          <ns1:t>arccos</ns1:t>
        </ns1:r>
        <ns1:r>
          <ns1:rPr>
            <ns1:sty ns1:val="p"/>
          </ns1:rPr>
          <ns1:t>[</ns1:t>
        </ns1:r>
        <ns1:r>
          <ns1:rPr>
            <ns1:sty ns1:val="p"/>
          </ns1:rPr>
          <ns1:t>(</ns1:t>
        </ns1:r>
        <ns1:r>
          <ns1:rPr>
            <ns1:nor/>
            <ns1:sty ns1:val="p"/>
          </ns1:rPr>
          <ns1:t>tr</ns1:t>
        </ns1:r>
        <ns1:sSub>
          <ns1:e>
            <ns1:r>
              <ns1:rPr>
                <ns1:sty ns1:val="b"/>
              </ns1:rPr>
              <ns1:t>R</ns1:t>
            </ns1:r>
          </ns1:e>
          <ns1:sub>
            <ns1:r>
              <ns1:t>r</ns1:t>
            </ns1:r>
            <ns1:r>
              <ns1:t>e</ns1:t>
            </ns1:r>
            <ns1:r>
              <ns1:t>l</ns1:t>
            </ns1:r>
          </ns1:sub>
        </ns1:sSub>
        <ns1:r>
          <ns1:rPr>
            <ns1:sty ns1:val="p"/>
          </ns1:rPr>
          <ns1:t>−</ns1:t>
        </ns1:r>
        <ns1:r>
          <ns1:t>1</ns1:t>
        </ns1:r>
        <ns1:r>
          <ns1:rPr>
            <ns1:sty ns1:val="p"/>
          </ns1:rPr>
          <ns1:t>)</ns1:t>
        </ns1:r>
        <ns1:r>
          <ns1:rPr>
            <ns1:sty ns1:val="p"/>
          </ns1:rPr>
          <ns1:t>/</ns1:t>
        </ns1:r>
        <ns1:r>
          <ns1:t>2</ns1:t>
        </ns1:r>
        <ns1:r>
          <ns1:rPr>
            <ns1:sty ns1:val="p"/>
          </ns1:rPr>
          <ns1:t>]</ns1:t>
        </ns1:r>
      </ns1:oMath>
      <ns0:r>
        <ns0:t xml:space="preserve"> </ns0:t>
      </ns0:r>
      <ns0:r>
        <ns0:t xml:space="preserve">with numerical clipping. The Cardan norm approximates it at small angles and depends on the chosen axes and sequence.</ns0:t>
      </ns0:r>
    </ns0:p>
    <ns0:bookmarkEnd ns0:id="68"/>
    <ns0:bookmarkStart ns0:id="69" ns0:name="a.7.-conditional-size-scaling"/>
    <ns0:p>
      <ns0:pPr>
        <ns0:pStyle ns0:val="Heading2"/>
      </ns0:pPr>
      <ns0:r>
        <ns0:t xml:space="preserve">A.7. Conditional size scaling</ns0:t>
      </ns0:r>
    </ns0:p>
    <ns0:p>
      <ns0:pPr>
        <ns0:pStyle ns0:val="FirstParagraph"/>
      </ns0:pPr>
      <ns0:r>
        <ns0:t xml:space="preserve">Pelvic bone volume was calculated by summing the volumes of the selected left and right hip-bone bodies and sacrum, using mapped surface geometry and converting mm</ns0:t>
      </ns0:r>
      <ns1:oMath>
        <ns1:sSup>
          <ns1:e>
            <ns1:r>
              <ns1:t>​</ns1:t>
            </ns1:r>
          </ns1:e>
          <ns1:sup>
            <ns1:r>
              <ns1:t>3</ns1:t>
            </ns1:r>
          </ns1:sup>
        </ns1:sSup>
      </ns1:oMath>
      <ns0:r>
        <ns0:t xml:space="preserve"> </ns0:t>
      </ns0:r>
      <ns0:r>
        <ns0:t xml:space="preserve">to cm</ns0:t>
      </ns0:r>
      <ns1:oMath>
        <ns1:sSup>
          <ns1:e>
            <ns1:r>
              <ns1:t>​</ns1:t>
            </ns1:r>
          </ns1:e>
          <ns1:sup>
            <ns1:r>
              <ns1:t>3</ns1:t>
            </ns1:r>
          </ns1:sup>
        </ns1:sSup>
      </ns1:oMath>
      <ns0:r>
        <ns0:t xml:space="preserve">. These are whole-bone geometric volumes, not birth-canal volume or a direct integral of cortical tissue. The size factor is</ns0:t>
      </ns0:r>
      <ns0:r>
        <ns0:t xml:space="preserve"> </ns0:t>
      </ns0:r>
      <ns1:oMath>
        <ns1:sSub>
          <ns1:e>
            <ns1:r>
              <ns1:t>s</ns1:t>
            </ns1:r>
          </ns1:e>
          <ns1:sub>
            <ns1:r>
              <ns1:t>i</ns1:t>
            </ns1:r>
          </ns1:sub>
        </ns1:sSub>
        <ns1:r>
          <ns1:rPr>
            <ns1:sty ns1:val="p"/>
          </ns1:rPr>
          <ns1:t>=</ns1:t>
        </ns1:r>
        <ns1:r>
          <ns1:rPr>
            <ns1:sty ns1:val="p"/>
          </ns1:rPr>
          <ns1:t>(</ns1:t>
        </ns1:r>
        <ns1:sSub>
          <ns1:e>
            <ns1:r>
              <ns1:t>V</ns1:t>
            </ns1:r>
          </ns1:e>
          <ns1:sub>
            <ns1:r>
              <ns1:t>i</ns1:t>
            </ns1:r>
          </ns1:sub>
        </ns1:sSub>
        <ns1:r>
          <ns1:rPr>
            <ns1:sty ns1:val="p"/>
          </ns1:rPr>
          <ns1:t>/</ns1:t>
        </ns1:r>
        <ns1:sSub>
          <ns1:e>
            <ns1:r>
              <ns1:t>V</ns1:t>
            </ns1:r>
          </ns1:e>
          <ns1:sub>
            <ns1:r>
              <ns1:t>t</ns1:t>
            </ns1:r>
            <ns1:r>
              <ns1:t>e</ns1:t>
            </ns1:r>
            <ns1:r>
              <ns1:t>m</ns1:t>
            </ns1:r>
            <ns1:r>
              <ns1:t>p</ns1:t>
            </ns1:r>
            <ns1:r>
              <ns1:t>l</ns1:t>
            </ns1:r>
            <ns1:r>
              <ns1:t>a</ns1:t>
            </ns1:r>
            <ns1:r>
              <ns1:t>t</ns1:t>
            </ns1:r>
            <ns1:r>
              <ns1:t>e</ns1:t>
            </ns1:r>
          </ns1:sub>
        </ns1:sSub>
        <ns1:sSup>
          <ns1:e>
            <ns1:r>
              <ns1:rPr>
                <ns1:sty ns1:val="p"/>
              </ns1:rPr>
              <ns1:t>)</ns1:t>
            </ns1:r>
          </ns1:e>
          <ns1:sup>
            <ns1:r>
              <ns1:t>1</ns1:t>
            </ns1:r>
            <ns1:r>
              <ns1:rPr>
                <ns1:sty ns1:val="p"/>
              </ns1:rPr>
              <ns1:t>/</ns1:t>
            </ns1:r>
            <ns1:r>
              <ns1:t>3</ns1:t>
            </ns1:r>
          </ns1:sup>
        </ns1:sSup>
      </ns1:oMath>
      <ns0:r>
        <ns0:t xml:space="preserve">. Therefore a log-volume slope</ns0:t>
      </ns0:r>
      <ns0:r>
        <ns0:t xml:space="preserve"> </ns0:t>
      </ns0:r>
      <ns1:oMath>
        <ns1:r>
          <ns1:t>b</ns1:t>
        </ns1:r>
      </ns1:oMath>
      <ns0:r>
        <ns0:t xml:space="preserve"> </ns0:t>
      </ns0:r>
      <ns0:r>
        <ns0:t xml:space="preserve">becomes</ns0:t>
      </ns0:r>
      <ns0:r>
        <ns0:t xml:space="preserve"> </ns0:t>
      </ns0:r>
      <ns1:oMath>
        <ns1:r>
          <ns1:t>3</ns1:t>
        </ns1:r>
        <ns1:r>
          <ns1:t>b</ns1:t>
        </ns1:r>
      </ns1:oMath>
      <ns0:r>
        <ns0:t xml:space="preserve"> </ns0:t>
      </ns0:r>
      <ns0:r>
        <ns0:t xml:space="preserve">under log scale, with identical fitted responses and tests.</ns0:t>
      </ns0:r>
    </ns0:p>
    <ns0:p>
      <ns0:pPr>
        <ns0:pStyle ns0:val="BodyText"/>
      </ns0:pPr>
      <ns0:r>
        <ns0:t xml:space="preserve">For the sex-interaction log model,</ns0:t>
      </ns0:r>
      <ns0:r>
        <ns0:t xml:space="preserve"> </ns0:t>
      </ns0:r>
      <ns1:oMath>
        <ns1:sSub>
          <ns1:e>
            <ns1:r>
              <ns1:t>b</ns1:t>
            </ns1:r>
          </ns1:e>
          <ns1:sub>
            <ns1:r>
              <ns1:t>M</ns1:t>
            </ns1:r>
          </ns1:sub>
        </ns1:sSub>
        <ns1:r>
          <ns1:rPr>
            <ns1:sty ns1:val="p"/>
          </ns1:rPr>
          <ns1:t>=</ns1:t>
        </ns1:r>
        <ns1:sSub>
          <ns1:e>
            <ns1:r>
              <ns1:t>β</ns1:t>
            </ns1:r>
          </ns1:e>
          <ns1:sub>
            <ns1:r>
              <ns1:t>v</ns1:t>
            </ns1:r>
          </ns1:sub>
        </ns1:sSub>
      </ns1:oMath>
      <ns0:r>
        <ns0:t xml:space="preserve"> </ns0:t>
      </ns0:r>
      <ns0:r>
        <ns0:t xml:space="preserve">and</ns0:t>
      </ns0:r>
      <ns0:r>
        <ns0:t xml:space="preserve"> </ns0:t>
      </ns0:r>
      <ns1:oMath>
        <ns1:sSub>
          <ns1:e>
            <ns1:r>
              <ns1:t>b</ns1:t>
            </ns1:r>
          </ns1:e>
          <ns1:sub>
            <ns1:r>
              <ns1:t>F</ns1:t>
            </ns1:r>
          </ns1:sub>
        </ns1:sSub>
        <ns1:r>
          <ns1:rPr>
            <ns1:sty ns1:val="p"/>
          </ns1:rPr>
          <ns1:t>=</ns1:t>
        </ns1:r>
        <ns1:sSub>
          <ns1:e>
            <ns1:r>
              <ns1:t>β</ns1:t>
            </ns1:r>
          </ns1:e>
          <ns1:sub>
            <ns1:r>
              <ns1:t>v</ns1:t>
            </ns1:r>
          </ns1:sub>
        </ns1:sSub>
        <ns1:r>
          <ns1:rPr>
            <ns1:sty ns1:val="p"/>
          </ns1:rPr>
          <ns1:t>+</ns1:t>
        </ns1:r>
        <ns1:sSub>
          <ns1:e>
            <ns1:r>
              <ns1:t>β</ns1:t>
            </ns1:r>
          </ns1:e>
          <ns1:sub>
            <ns1:r>
              <ns1:t>v</ns1:t>
            </ns1:r>
            <ns1:r>
              <ns1:rPr>
                <ns1:sty ns1:val="p"/>
              </ns1:rPr>
              <ns1:t>:</ns1:t>
            </ns1:r>
            <ns1:r>
              <ns1:t>s</ns1:t>
            </ns1:r>
          </ns1:sub>
        </ns1:sSub>
      </ns1:oMath>
      <ns0:r>
        <ns0:t xml:space="preserve">. The female slope variance is</ns0:t>
      </ns0:r>
    </ns0:p>
    <ns0:p>
      <ns0:pPr>
        <ns0:pStyle ns0:val="BodyText"/>
      </ns0:pPr>
      <ns1:oMathPara>
        <ns1:oMathParaPr>
          <ns1:jc ns1:val="center"/>
        </ns1:oMathParaPr>
        <ns1:oMath>
          <ns1:r>
            <ns1:rPr>
              <ns1:nor/>
              <ns1:sty ns1:val="p"/>
            </ns1:rPr>
            <ns1:t>Var</ns1:t>
          </ns1:r>
          <ns1:r>
            <ns1:rPr>
              <ns1:sty ns1:val="p"/>
            </ns1:rPr>
            <ns1:t>(</ns1:t>
          </ns1:r>
          <ns1:sSub>
            <ns1:e>
              <ns1:r>
                <ns1:t>b</ns1:t>
              </ns1:r>
            </ns1:e>
            <ns1:sub>
              <ns1:r>
                <ns1:t>F</ns1:t>
              </ns1:r>
            </ns1:sub>
          </ns1:sSub>
          <ns1:r>
            <ns1:rPr>
              <ns1:sty ns1:val="p"/>
            </ns1:rPr>
            <ns1:t>)</ns1:t>
          </ns1:r>
          <ns1:r>
            <ns1:rPr>
              <ns1:sty ns1:val="p"/>
            </ns1:rPr>
            <ns1:t>=</ns1:t>
          </ns1:r>
          <ns1:r>
            <ns1:rPr>
              <ns1:nor/>
              <ns1:sty ns1:val="p"/>
            </ns1:rPr>
            <ns1:t>Var</ns1:t>
          </ns1:r>
          <ns1:r>
            <ns1:rPr>
              <ns1:sty ns1:val="p"/>
            </ns1:rPr>
            <ns1:t>(</ns1:t>
          </ns1:r>
          <ns1:sSub>
            <ns1:e>
              <ns1:r>
                <ns1:t>β</ns1:t>
              </ns1:r>
            </ns1:e>
            <ns1:sub>
              <ns1:r>
                <ns1:t>v</ns1:t>
              </ns1:r>
            </ns1:sub>
          </ns1:sSub>
          <ns1:r>
            <ns1:rPr>
              <ns1:sty ns1:val="p"/>
            </ns1:rPr>
            <ns1:t>)</ns1:t>
          </ns1:r>
          <ns1:r>
            <ns1:rPr>
              <ns1:sty ns1:val="p"/>
            </ns1:rPr>
            <ns1:t>+</ns1:t>
          </ns1:r>
          <ns1:r>
            <ns1:rPr>
              <ns1:nor/>
              <ns1:sty ns1:val="p"/>
            </ns1:rPr>
            <ns1:t>Var</ns1:t>
          </ns1:r>
          <ns1:r>
            <ns1:rPr>
              <ns1:sty ns1:val="p"/>
            </ns1:rPr>
            <ns1:t>(</ns1:t>
          </ns1:r>
          <ns1:sSub>
            <ns1:e>
              <ns1:r>
                <ns1:t>β</ns1:t>
              </ns1:r>
            </ns1:e>
            <ns1:sub>
              <ns1:r>
                <ns1:t>v</ns1:t>
              </ns1:r>
              <ns1:r>
                <ns1:rPr>
                  <ns1:sty ns1:val="p"/>
                </ns1:rPr>
                <ns1:t>:</ns1:t>
              </ns1:r>
              <ns1:r>
                <ns1:t>s</ns1:t>
              </ns1:r>
            </ns1:sub>
          </ns1:sSub>
          <ns1:r>
            <ns1:rPr>
              <ns1:sty ns1:val="p"/>
            </ns1:rPr>
            <ns1:t>)</ns1:t>
          </ns1:r>
          <ns1:r>
            <ns1:rPr>
              <ns1:sty ns1:val="p"/>
            </ns1:rPr>
            <ns1:t>+</ns1:t>
          </ns1:r>
          <ns1:r>
            <ns1:t>2</ns1:t>
          </ns1:r>
          <ns1:r>
            <ns1:rPr>
              <ns1:nor/>
              <ns1:sty ns1:val="p"/>
            </ns1:rPr>
            <ns1:t>Cov</ns1:t>
          </ns1:r>
          <ns1:r>
            <ns1:rPr>
              <ns1:sty ns1:val="p"/>
            </ns1:rPr>
            <ns1:t>(</ns1:t>
          </ns1:r>
          <ns1:sSub>
            <ns1:e>
              <ns1:r>
                <ns1:t>β</ns1:t>
              </ns1:r>
            </ns1:e>
            <ns1:sub>
              <ns1:r>
                <ns1:t>v</ns1:t>
              </ns1:r>
            </ns1:sub>
          </ns1:sSub>
          <ns1:r>
            <ns1:rPr>
              <ns1:sty ns1:val="p"/>
            </ns1:rPr>
            <ns1:t>,</ns1:t>
          </ns1:r>
          <ns1:sSub>
            <ns1:e>
              <ns1:r>
                <ns1:t>β</ns1:t>
              </ns1:r>
            </ns1:e>
            <ns1:sub>
              <ns1:r>
                <ns1:t>v</ns1:t>
              </ns1:r>
              <ns1:r>
                <ns1:rPr>
                  <ns1:sty ns1:val="p"/>
                </ns1:rPr>
                <ns1:t>:</ns1:t>
              </ns1:r>
              <ns1:r>
                <ns1:t>s</ns1:t>
              </ns1:r>
            </ns1:sub>
          </ns1:sSub>
          <ns1:r>
            <ns1:rPr>
              <ns1:sty ns1:val="p"/>
            </ns1:rPr>
            <ns1:t>)</ns1:t>
          </ns1:r>
          <ns1:r>
            <ns1:rPr>
              <ns1:sty ns1:val="p"/>
            </ns1:rPr>
            <ns1:t>.</ns1:t>
          </ns1:r>
        </ns1:oMath>
      </ns1:oMathPara>
    </ns0:p>
    <ns0:p>
      <ns0:pPr>
        <ns0:pStyle ns0:val="FirstParagraph"/>
      </ns0:pPr>
      <ns0:r>
        <ns0:t xml:space="preserve">Reported intervals use this full covariance. Exponentiating a fitted log response gives a conditional geometric mean, not an unbiased arithmetic mean. Figure 7 reports slopes from this model. Supplementary Figure S1 shows its conditional geometric-mean curves with age and the morphometric covariates set to their cohort means.</ns0:t>
      </ns0:r>
    </ns0:p>
    <ns0:bookmarkEnd ns0:id="69"/>
    <ns0:bookmarkStart ns0:id="70" ns0:name="X675c6686dc2701ae469a06b1143747568761250"/>
    <ns0:p>
      <ns0:pPr>
        <ns0:pStyle ns0:val="Heading2"/>
      </ns0:pPr>
      <ns0:r>
        <ns0:t xml:space="preserve">A.8. Statistical estimands and uncertainty</ns0:t>
      </ns0:r>
    </ns0:p>
    <ns0:p>
      <ns0:pPr>
        <ns0:pStyle ns0:val="FirstParagraph"/>
      </ns0:pPr>
      <ns0:r>
        <ns0:t xml:space="preserve">All logarithms are natural logarithms of numerical values in the stated units:</ns0:t>
      </ns0:r>
      <ns0:r>
        <ns0:t xml:space="preserve"> </ns0:t>
      </ns0:r>
      <ns1:oMath>
        <ns1:r>
          <ns1:rPr>
            <ns1:nor/>
            <ns1:sty ns1:val="p"/>
          </ns1:rPr>
          <ns1:t>log</ns1:t>
        </ns1:r>
        <ns1:r>
          <ns1:t>V</ns1:t>
        </ns1:r>
      </ns1:oMath>
      <ns0:r>
        <ns0:t xml:space="preserve"> </ns0:t>
      </ns0:r>
      <ns0:r>
        <ns0:t xml:space="preserve">abbreviates</ns0:t>
      </ns0:r>
      <ns0:r>
        <ns0:t xml:space="preserve"> </ns0:t>
      </ns0:r>
      <ns1:oMath>
        <ns1:r>
          <ns1:rPr>
            <ns1:nor/>
            <ns1:sty ns1:val="p"/>
          </ns1:rPr>
          <ns1:t>log</ns1:t>
        </ns1:r>
        <ns1:r>
          <ns1:rPr>
            <ns1:sty ns1:val="p"/>
          </ns1:rPr>
          <ns1:t>[</ns1:t>
        </ns1:r>
        <ns1:r>
          <ns1:t>V</ns1:t>
        </ns1:r>
        <ns1:r>
          <ns1:rPr>
            <ns1:sty ns1:val="p"/>
          </ns1:rPr>
          <ns1:t>/</ns1:t>
        </ns1:r>
        <ns1:r>
          <ns1:rPr>
            <ns1:sty ns1:val="p"/>
          </ns1:rPr>
          <ns1:t>(</ns1:t>
        </ns1:r>
        <ns1:r>
          <ns1:t>1</ns1:t>
        </ns1:r>
        <ns1:r>
          <ns1:t> </ns1:t>
        </ns1:r>
        <ns1:sSup>
          <ns1:e>
            <ns1:r>
              <ns1:rPr>
                <ns1:sty ns1:val="p"/>
              </ns1:rPr>
              <ns1:t>c</ns1:t>
            </ns1:r>
            <ns1:r>
              <ns1:rPr>
                <ns1:sty ns1:val="p"/>
              </ns1:rPr>
              <ns1:t>m</ns1:t>
            </ns1:r>
          </ns1:e>
          <ns1:sup>
            <ns1:r>
              <ns1:t>3</ns1:t>
            </ns1:r>
          </ns1:sup>
        </ns1:sSup>
        <ns1:r>
          <ns1:rPr>
            <ns1:sty ns1:val="p"/>
          </ns1:rPr>
          <ns1:t>)</ns1:t>
        </ns1:r>
        <ns1:r>
          <ns1:rPr>
            <ns1:sty ns1:val="p"/>
          </ns1:rPr>
          <ns1:t>]</ns1:t>
        </ns1:r>
      </ns1:oMath>
      <ns0:r>
        <ns0:t xml:space="preserve">, and</ns0:t>
      </ns0:r>
      <ns0:r>
        <ns0:t xml:space="preserve"> </ns0:t>
      </ns0:r>
      <ns1:oMath>
        <ns1:r>
          <ns1:rPr>
            <ns1:nor/>
            <ns1:sty ns1:val="p"/>
          </ns1:rPr>
          <ns1:t>log</ns1:t>
        </ns1:r>
        <ns1:r>
          <ns1:t>Y</ns1:t>
        </ns1:r>
      </ns1:oMath>
      <ns0:r>
        <ns0:t xml:space="preserve"> </ns0:t>
      </ns0:r>
      <ns0:r>
        <ns0:t xml:space="preserve">uses 1 mm or 1 degree as the reference unit. Changing these reference units changes intercepts, but not the sex-specific volume slopes. Standardized predictors are</ns0:t>
      </ns0:r>
      <ns0:r>
        <ns0:t xml:space="preserve"> </ns0:t>
      </ns0:r>
      <ns1:oMath>
        <ns1:sSub>
          <ns1:e>
            <ns1:r>
              <ns1:t>z</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acc>
          <ns1:accPr>
            <ns1:chr ns1:val="‾"/>
          </ns1:accPr>
          <ns1:e>
            <ns1:r>
              <ns1:t>x</ns1:t>
            </ns1:r>
          </ns1:e>
        </ns1:acc>
        <ns1:r>
          <ns1:rPr>
            <ns1:sty ns1:val="p"/>
          </ns1:rPr>
          <ns1:t>)</ns1:t>
        </ns1:r>
        <ns1:r>
          <ns1:rPr>
            <ns1:sty ns1:val="p"/>
          </ns1:rPr>
          <ns1:t>/</ns1:t>
        </ns1:r>
        <ns1:sSub>
          <ns1:e>
            <ns1:r>
              <ns1:t>s</ns1:t>
            </ns1:r>
          </ns1:e>
          <ns1:sub>
            <ns1:r>
              <ns1:t>x</ns1:t>
            </ns1:r>
          </ns1:sub>
        </ns1:sSub>
      </ns1:oMath>
      <ns0:r>
        <ns0:t xml:space="preserve">, where</ns0:t>
      </ns0:r>
      <ns0:r>
        <ns0:t xml:space="preserve"> </ns0:t>
      </ns0:r>
      <ns1:oMath>
        <ns1:sSub>
          <ns1:e>
            <ns1:r>
              <ns1:t>s</ns1:t>
            </ns1:r>
          </ns1:e>
          <ns1:sub>
            <ns1:r>
              <ns1:t>x</ns1:t>
            </ns1:r>
          </ns1:sub>
        </ns1:sSub>
      </ns1:oMath>
      <ns0:r>
        <ns0:t xml:space="preserve"> </ns0:t>
      </ns0:r>
      <ns0:r>
        <ns0:t xml:space="preserve">is the cohort sample standard deviation; for log volume, the logarithm is taken before standardization.</ns0:t>
      </ns0:r>
    </ns0:p>
    <ns0:p>
      <ns0:pPr>
        <ns0:pStyle ns0:val="BodyText"/>
      </ns0:pPr>
      <ns0:r>
        <ns0:t xml:space="preserve">For design matrix</ns0:t>
      </ns0:r>
      <ns0:r>
        <ns0:t xml:space="preserve"> </ns0:t>
      </ns0:r>
      <ns1:oMath>
        <ns1:r>
          <ns1:rPr>
            <ns1:sty ns1:val="b"/>
          </ns1:rPr>
          <ns1:t>Z</ns1:t>
        </ns1:r>
      </ns1:oMath>
      <ns0:r>
        <ns0:t xml:space="preserve">, OLS residuals</ns0:t>
      </ns0:r>
      <ns0:r>
        <ns0:t xml:space="preserve"> </ns0:t>
      </ns0:r>
      <ns1:oMath>
        <ns1:sSub>
          <ns1:e>
            <ns1:r>
              <ns1:t>e</ns1:t>
            </ns1:r>
          </ns1:e>
          <ns1:sub>
            <ns1:r>
              <ns1:t>i</ns1:t>
            </ns1:r>
          </ns1:sub>
        </ns1:sSub>
      </ns1:oMath>
      <ns0:r>
        <ns0:t xml:space="preserve"> </ns0:t>
      </ns0:r>
      <ns0:r>
        <ns0:t xml:space="preserve">and leverage</ns0:t>
      </ns0:r>
      <ns0:r>
        <ns0:t xml:space="preserve"> </ns0:t>
      </ns0:r>
      <ns1:oMath>
        <ns1:sSub>
          <ns1:e>
            <ns1:r>
              <ns1:t>h</ns1:t>
            </ns1:r>
          </ns1:e>
          <ns1:sub>
            <ns1:r>
              <ns1:t>i</ns1:t>
            </ns1:r>
            <ns1:r>
              <ns1:t>i</ns1:t>
            </ns1:r>
          </ns1:sub>
        </ns1:sSub>
      </ns1:oMath>
      <ns0:r>
        <ns0:t xml:space="preserve">, the HC3 covariance estimator is</ns0:t>
      </ns0:r>
    </ns0:p>
    <ns0:p>
      <ns0:pPr>
        <ns0:pStyle ns0:val="BodyText"/>
      </ns0:pPr>
      <ns1:oMathPara>
        <ns1:oMathParaPr>
          <ns1:jc ns1:val="center"/>
        </ns1:oMathParaPr>
        <ns1:oMath>
          <ns1:sSub>
            <ns1:e>
              <ns1:acc>
                <ns1:accPr>
                  <ns1:chr ns1:val="̂"/>
                </ns1:accPr>
                <ns1:e>
                  <ns1:r>
                    <ns1:rPr>
                      <ns1:nor/>
                      <ns1:sty ns1:val="p"/>
                    </ns1:rPr>
                    <ns1:t>Cov</ns1:t>
                  </ns1:r>
                </ns1:e>
              </ns1:acc>
            </ns1:e>
            <ns1:sub>
              <ns1:r>
                <ns1:t>H</ns1:t>
              </ns1:r>
              <ns1:r>
                <ns1:t>C</ns1:t>
              </ns1:r>
              <ns1:r>
                <ns1:t>3</ns1:t>
              </ns1:r>
            </ns1:sub>
          </ns1:sSub>
          <ns1:r>
            <ns1:rPr>
              <ns1:sty ns1:val="p"/>
            </ns1:rPr>
            <ns1:t>(</ns1:t>
          </ns1:r>
          <ns1:acc>
            <ns1:accPr>
              <ns1:chr ns1:val="̂"/>
            </ns1:accPr>
            <ns1:e>
              <ns1:r>
                <ns1:rPr>
                  <ns1:sty ns1:val="b"/>
                </ns1:rPr>
                <ns1:t>β</ns1:t>
              </ns1:r>
            </ns1:e>
          </ns1:acc>
          <ns1:r>
            <ns1:rPr>
              <ns1:sty ns1:val="p"/>
            </ns1:rPr>
            <ns1:t>)</ns1:t>
          </ns1:r>
          <ns1:r>
            <ns1:rPr>
              <ns1:sty ns1:val="p"/>
            </ns1:rPr>
            <ns1:t>=</ns1:t>
          </ns1:r>
          <ns1:r>
            <ns1:rPr>
              <ns1:sty ns1:val="p"/>
            </ns1:rPr>
            <ns1:t>(</ns1:t>
          </ns1:r>
          <ns1:sSup>
            <ns1:e>
              <ns1:r>
                <ns1:rPr>
                  <ns1:sty ns1:val="b"/>
                </ns1:rPr>
                <ns1:t>Z</ns1:t>
              </ns1:r>
            </ns1:e>
            <ns1:sup>
              <ns1:r>
                <ns1:t>T</ns1:t>
              </ns1:r>
            </ns1:sup>
          </ns1:sSup>
          <ns1:r>
            <ns1:rPr>
              <ns1:sty ns1:val="b"/>
            </ns1:rPr>
            <ns1:t>Z</ns1:t>
          </ns1:r>
          <ns1:sSup>
            <ns1:e>
              <ns1:r>
                <ns1:rPr>
                  <ns1:sty ns1:val="p"/>
                </ns1:rPr>
                <ns1:t>)</ns1:t>
              </ns1:r>
            </ns1:e>
            <ns1:sup>
              <ns1:r>
                <ns1:rPr>
                  <ns1:sty ns1:val="p"/>
                </ns1:rPr>
                <ns1:t>−</ns1:t>
              </ns1:r>
              <ns1:r>
                <ns1:t>1</ns1:t>
              </ns1:r>
            </ns1:sup>
          </ns1:sSup>
          <ns1:sSup>
            <ns1:e>
              <ns1:r>
                <ns1:rPr>
                  <ns1:sty ns1:val="b"/>
                </ns1:rPr>
                <ns1:t>Z</ns1:t>
              </ns1:r>
            </ns1:e>
            <ns1:sup>
              <ns1:r>
                <ns1:t>T</ns1:t>
              </ns1:r>
            </ns1:sup>
          </ns1:sSup>
          <ns1:r>
            <ns1:rPr>
              <ns1:nor/>
              <ns1:sty ns1:val="p"/>
            </ns1:rPr>
            <ns1:t>diag</ns1:t>
          </ns1:r>
          <ns1:r>
            <ns1:t>​</ns1:t>
          </ns1:r>
          <ns1:d>
            <ns1:dPr>
              <ns1:begChr ns1:val="["/>
              <ns1:endChr ns1:val="]"/>
              <ns1:grow/>
            </ns1:dPr>
            <ns1:e>
              <ns1:f>
                <ns1:fPr>
                  <ns1:type ns1:val="bar"/>
                </ns1:fPr>
                <ns1:num>
                  <ns1:sSubSup>
                    <ns1:e>
                      <ns1:r>
                        <ns1:t>e</ns1:t>
                      </ns1:r>
                    </ns1:e>
                    <ns1:sub>
                      <ns1:r>
                        <ns1:t>i</ns1:t>
                      </ns1:r>
                    </ns1:sub>
                    <ns1:sup>
                      <ns1:r>
                        <ns1:t>2</ns1:t>
                      </ns1:r>
                    </ns1:sup>
                  </ns1:sSubSup>
                </ns1:num>
                <ns1:den>
                  <ns1:r>
                    <ns1:rPr>
                      <ns1:sty ns1:val="p"/>
                    </ns1:rPr>
                    <ns1:t>(</ns1:t>
                  </ns1:r>
                  <ns1:r>
                    <ns1:t>1</ns1:t>
                  </ns1:r>
                  <ns1:r>
                    <ns1:rPr>
                      <ns1:sty ns1:val="p"/>
                    </ns1:rPr>
                    <ns1:t>−</ns1:t>
                  </ns1:r>
                  <ns1:sSub>
                    <ns1:e>
                      <ns1:r>
                        <ns1:t>h</ns1:t>
                      </ns1:r>
                    </ns1:e>
                    <ns1:sub>
                      <ns1:r>
                        <ns1:t>i</ns1:t>
                      </ns1:r>
                      <ns1:r>
                        <ns1:t>i</ns1:t>
                      </ns1:r>
                    </ns1:sub>
                  </ns1:sSub>
                  <ns1:sSup>
                    <ns1:e>
                      <ns1:r>
                        <ns1:rPr>
                          <ns1:sty ns1:val="p"/>
                        </ns1:rPr>
                        <ns1:t>)</ns1:t>
                      </ns1:r>
                    </ns1:e>
                    <ns1:sup>
                      <ns1:r>
                        <ns1:t>2</ns1:t>
                      </ns1:r>
                    </ns1:sup>
                  </ns1:sSup>
                </ns1:den>
              </ns1:f>
            </ns1:e>
          </ns1:d>
          <ns1:r>
            <ns1:rPr>
              <ns1:sty ns1:val="b"/>
            </ns1:rPr>
            <ns1:t>Z</ns1:t>
          </ns1:r>
          <ns1:r>
            <ns1:rPr>
              <ns1:sty ns1:val="p"/>
            </ns1:rPr>
            <ns1:t>(</ns1:t>
          </ns1:r>
          <ns1:sSup>
            <ns1:e>
              <ns1:r>
                <ns1:rPr>
                  <ns1:sty ns1:val="b"/>
                </ns1:rPr>
                <ns1:t>Z</ns1:t>
              </ns1:r>
            </ns1:e>
            <ns1:sup>
              <ns1:r>
                <ns1:t>T</ns1:t>
              </ns1:r>
            </ns1:sup>
          </ns1:sSup>
          <ns1:r>
            <ns1:rPr>
              <ns1:sty ns1:val="b"/>
            </ns1:rPr>
            <ns1:t>Z</ns1:t>
          </ns1:r>
          <ns1:sSup>
            <ns1:e>
              <ns1:r>
                <ns1:rPr>
                  <ns1:sty ns1:val="p"/>
                </ns1:rPr>
                <ns1:t>)</ns1:t>
              </ns1:r>
            </ns1:e>
            <ns1:sup>
              <ns1:r>
                <ns1:rPr>
                  <ns1:sty ns1:val="p"/>
                </ns1:rPr>
                <ns1:t>−</ns1:t>
              </ns1:r>
              <ns1:r>
                <ns1:t>1</ns1:t>
              </ns1:r>
            </ns1:sup>
          </ns1:sSup>
          <ns1:r>
            <ns1:rPr>
              <ns1:sty ns1:val="p"/>
            </ns1:rPr>
            <ns1:t>.</ns1:t>
          </ns1:r>
        </ns1:oMath>
      </ns1:oMathPara>
    </ns0:p>
    <ns0:p>
      <ns0:pPr>
        <ns0:pStyle ns0:val="FirstParagraph"/>
      </ns0:pPr>
      <ns0:r>
        <ns0:t xml:space="preserve">For any coefficient contrast</ns0:t>
      </ns0:r>
      <ns0:r>
        <ns0:t xml:space="preserve"> </ns0:t>
      </ns0:r>
      <ns1:oMath>
        <ns1:r>
          <ns1:rPr>
            <ns1:sty ns1:val="b"/>
          </ns1:rPr>
          <ns1:t>c</ns1:t>
        </ns1:r>
      </ns1:oMath>
      <ns0:r>
        <ns0:t xml:space="preserve">, its estimate is</ns0:t>
      </ns0:r>
      <ns0:r>
        <ns0:t xml:space="preserve"> </ns0:t>
      </ns0:r>
      <ns1:oMath>
        <ns1:sSup>
          <ns1:e>
            <ns1:r>
              <ns1:rPr>
                <ns1:sty ns1:val="b"/>
              </ns1:rPr>
              <ns1:t>c</ns1:t>
            </ns1:r>
          </ns1:e>
          <ns1:sup>
            <ns1:r>
              <ns1:t>T</ns1:t>
            </ns1:r>
          </ns1:sup>
        </ns1:sSup>
        <ns1:acc>
          <ns1:accPr>
            <ns1:chr ns1:val="̂"/>
          </ns1:accPr>
          <ns1:e>
            <ns1:r>
              <ns1:rPr>
                <ns1:sty ns1:val="b"/>
              </ns1:rPr>
              <ns1:t>β</ns1:t>
            </ns1:r>
          </ns1:e>
        </ns1:acc>
      </ns1:oMath>
      <ns0:r>
        <ns0:t xml:space="preserve"> </ns0:t>
      </ns0:r>
      <ns0:r>
        <ns0:t xml:space="preserve">and standard error is</ns0:t>
      </ns0:r>
      <ns0:r>
        <ns0:t xml:space="preserve"> </ns0:t>
      </ns0:r>
      <ns1:oMath>
        <ns1:r>
          <ns1:rPr>
            <ns1:sty ns1:val="p"/>
          </ns1:rPr>
          <ns1:t>[</ns1:t>
        </ns1:r>
        <ns1:sSup>
          <ns1:e>
            <ns1:r>
              <ns1:rPr>
                <ns1:sty ns1:val="b"/>
              </ns1:rPr>
              <ns1:t>c</ns1:t>
            </ns1:r>
          </ns1:e>
          <ns1:sup>
            <ns1:r>
              <ns1:t>T</ns1:t>
            </ns1:r>
          </ns1:sup>
        </ns1:sSup>
        <ns1:sSub>
          <ns1:e>
            <ns1:acc>
              <ns1:accPr>
                <ns1:chr ns1:val="̂"/>
              </ns1:accPr>
              <ns1:e>
                <ns1:r>
                  <ns1:rPr>
                    <ns1:nor/>
                    <ns1:sty ns1:val="p"/>
                  </ns1:rPr>
                  <ns1:t>Cov</ns1:t>
                </ns1:r>
              </ns1:e>
            </ns1:acc>
          </ns1:e>
          <ns1:sub>
            <ns1:r>
              <ns1:t>H</ns1:t>
            </ns1:r>
            <ns1:r>
              <ns1:t>C</ns1:t>
            </ns1:r>
            <ns1:r>
              <ns1:t>3</ns1:t>
            </ns1:r>
          </ns1:sub>
        </ns1:sSub>
        <ns1:r>
          <ns1:rPr>
            <ns1:sty ns1:val="b"/>
          </ns1:rPr>
          <ns1:t>c</ns1:t>
        </ns1:r>
        <ns1:sSup>
          <ns1:e>
            <ns1:r>
              <ns1:rPr>
                <ns1:sty ns1:val="p"/>
              </ns1:rPr>
              <ns1:t>]</ns1:t>
            </ns1:r>
          </ns1:e>
          <ns1:sup>
            <ns1:r>
              <ns1:t>1</ns1:t>
            </ns1:r>
            <ns1:r>
              <ns1:rPr>
                <ns1:sty ns1:val="p"/>
              </ns1:rPr>
              <ns1:t>/</ns1:t>
            </ns1:r>
            <ns1:r>
              <ns1:t>2</ns1:t>
            </ns1:r>
          </ns1:sup>
        </ns1:sSup>
      </ns1:oMath>
      <ns0:r>
        <ns0:t xml:space="preserve">. Reported Wald intervals use the normal critical value (approximately 1.96). The volume slopes are conditional elasticities: holding the other predictors fixed, multiplying volume by</ns0:t>
      </ns0:r>
      <ns0:r>
        <ns0:t xml:space="preserve"> </ns0:t>
      </ns0:r>
      <ns1:oMath>
        <ns1:r>
          <ns1:t>a</ns1:t>
        </ns1:r>
        <ns1:r>
          <ns1:rPr>
            <ns1:sty ns1:val="p"/>
          </ns1:rPr>
          <ns1:t>&gt;</ns1:t>
        </ns1:r>
        <ns1:r>
          <ns1:t>0</ns1:t>
        </ns1:r>
      </ns1:oMath>
      <ns0:r>
        <ns0:t xml:space="preserve"> </ns0:t>
      </ns0:r>
      <ns0:r>
        <ns0:t xml:space="preserve">multiplies the fitted geometric-mean response by</ns0:t>
      </ns0:r>
      <ns0:r>
        <ns0:t xml:space="preserve"> </ns0:t>
      </ns0:r>
      <ns1:oMath>
        <ns1:sSup>
          <ns1:e>
            <ns1:r>
              <ns1:t>a</ns1:t>
            </ns1:r>
          </ns1:e>
          <ns1:sup>
            <ns1:r>
              <ns1:t>b</ns1:t>
            </ns1:r>
          </ns1:sup>
        </ns1:sSup>
      </ns1:oMath>
      <ns0:r>
        <ns0:t xml:space="preserve">.</ns0:t>
      </ns0:r>
    </ns0:p>
    <ns0:p>
      <ns0:pPr>
        <ns0:pStyle ns0:val="BodyText"/>
      </ns0:pPr>
      <ns0:r>
        <ns0:t xml:space="preserve">For a paired contrast</ns0:t>
      </ns0:r>
      <ns0:r>
        <ns0:t xml:space="preserve"> </ns0:t>
      </ns0:r>
      <ns1:oMath>
        <ns1:sSub>
          <ns1:e>
            <ns1:r>
              <ns1:t>Δ</ns1:t>
            </ns1:r>
          </ns1:e>
          <ns1:sub>
            <ns1:r>
              <ns1:t>i</ns1:t>
            </ns1:r>
          </ns1:sub>
        </ns1:sSub>
      </ns1:oMath>
      <ns0:r>
        <ns0:t xml:space="preserve">, the reported effect is</ns0:t>
      </ns0:r>
      <ns0:r>
        <ns0:t xml:space="preserve"> </ns0:t>
      </ns0:r>
      <ns1:oMath>
        <ns1:sSub>
          <ns1:e>
            <ns1:r>
              <ns1:rPr>
                <ns1:nor/>
                <ns1:sty ns1:val="p"/>
              </ns1:rPr>
              <ns1:t>median</ns1:t>
            </ns1:r>
          </ns1:e>
          <ns1:sub>
            <ns1:r>
              <ns1:t>i</ns1:t>
            </ns1:r>
          </ns1:sub>
        </ns1:sSub>
        <ns1:sSub>
          <ns1:e>
            <ns1:r>
              <ns1:t>Δ</ns1:t>
            </ns1:r>
          </ns1:e>
          <ns1:sub>
            <ns1:r>
              <ns1:t>i</ns1:t>
            </ns1:r>
          </ns1:sub>
        </ns1:sSub>
      </ns1:oMath>
      <ns0:r>
        <ns0:t xml:space="preserve">, not the difference between two marginal medians. With</ns0:t>
      </ns0:r>
      <ns0:r>
        <ns0:t xml:space="preserve"> </ns0:t>
      </ns0:r>
      <ns1:oMath>
        <ns1:sSub>
          <ns1:e>
            <ns1:r>
              <ns1:t>n</ns1:t>
            </ns1:r>
          </ns1:e>
          <ns1:sub>
            <ns1:r>
              <ns1:rPr>
                <ns1:sty ns1:val="p"/>
              </ns1:rPr>
              <ns1:t>*</ns1:t>
            </ns1:r>
          </ns1:sub>
        </ns1:sSub>
      </ns1:oMath>
      <ns0:r>
        <ns0:t xml:space="preserve"> </ns0:t>
      </ns0:r>
      <ns0:r>
        <ns0:t xml:space="preserve">nonzero differences and</ns0:t>
      </ns0:r>
      <ns0:r>
        <ns0:t xml:space="preserve"> </ns0:t>
      </ns0:r>
      <ns1:oMath>
        <ns1:r>
          <ns1:t>B</ns1:t>
        </ns1:r>
        <ns1:r>
          <ns1:rPr>
            <ns1:sty ns1:val="p"/>
          </ns1:rPr>
          <ns1:t>=</ns1:t>
        </ns1:r>
        <ns1:nary>
          <ns1:naryPr>
            <ns1:chr ns1:val="∑"/>
            <ns1:limLoc ns1:val="undOvr"/>
            <ns1:subHide ns1:val="0"/>
            <ns1:supHide ns1:val="1"/>
          </ns1:naryPr>
          <ns1:sub>
            <ns1:r>
              <ns1:t>i</ns1:t>
            </ns1:r>
          </ns1:sub>
          <ns1:sup>
            <ns1:r>
              <ns1:t>​</ns1:t>
            </ns1:r>
          </ns1:sup>
          <ns1:e>
            <ns1:r>
              <ns1:rPr>
                <ns1:sty ns1:val="p"/>
                <ns1:scr ns1:val="double-struck"/>
              </ns1:rPr>
              <ns1:t>1</ns1:t>
            </ns1:r>
          </ns1:e>
        </ns1:nary>
        <ns1:r>
          <ns1:rPr>
            <ns1:sty ns1:val="p"/>
          </ns1:rPr>
          <ns1:t>(</ns1:t>
        </ns1:r>
        <ns1:sSub>
          <ns1:e>
            <ns1:r>
              <ns1:t>Δ</ns1:t>
            </ns1:r>
          </ns1:e>
          <ns1:sub>
            <ns1:r>
              <ns1:t>i</ns1:t>
            </ns1:r>
          </ns1:sub>
        </ns1:sSub>
        <ns1:r>
          <ns1:rPr>
            <ns1:sty ns1:val="p"/>
          </ns1:rPr>
          <ns1:t>&gt;</ns1:t>
        </ns1:r>
        <ns1:r>
          <ns1:t>0</ns1:t>
        </ns1:r>
        <ns1:r>
          <ns1:rPr>
            <ns1:sty ns1:val="p"/>
          </ns1:rPr>
          <ns1:t>)</ns1:t>
        </ns1:r>
      </ns1:oMath>
      <ns0:r>
        <ns0:t xml:space="preserve">, the two-sided exact sign test uses</ns0:t>
      </ns0:r>
      <ns0:r>
        <ns0:t xml:space="preserve"> </ns0:t>
      </ns0:r>
      <ns1:oMath>
        <ns1:r>
          <ns1:t>B</ns1:t>
        </ns1:r>
        <ns1:r>
          <ns1:rPr>
            <ns1:sty ns1:val="p"/>
          </ns1:rPr>
          <ns1:t>∼</ns1:t>
        </ns1:r>
        <ns1:r>
          <ns1:rPr>
            <ns1:nor/>
            <ns1:sty ns1:val="p"/>
          </ns1:rPr>
          <ns1:t>Binomial</ns1:t>
        </ns1:r>
        <ns1:r>
          <ns1:rPr>
            <ns1:sty ns1:val="p"/>
          </ns1:rPr>
          <ns1:t>(</ns1:t>
        </ns1:r>
        <ns1:sSub>
          <ns1:e>
            <ns1:r>
              <ns1:t>n</ns1:t>
            </ns1:r>
          </ns1:e>
          <ns1:sub>
            <ns1:r>
              <ns1:rPr>
                <ns1:sty ns1:val="p"/>
              </ns1:rPr>
              <ns1:t>*</ns1:t>
            </ns1:r>
          </ns1:sub>
        </ns1:sSub>
        <ns1:r>
          <ns1:rPr>
            <ns1:sty ns1:val="p"/>
          </ns1:rPr>
          <ns1:t>,</ns1:t>
        </ns1:r>
        <ns1:r>
          <ns1:t>1</ns1:t>
        </ns1:r>
        <ns1:r>
          <ns1:rPr>
            <ns1:sty ns1:val="p"/>
          </ns1:rPr>
          <ns1:t>/</ns1:t>
        </ns1:r>
        <ns1:r>
          <ns1:t>2</ns1:t>
        </ns1:r>
        <ns1:r>
          <ns1:rPr>
            <ns1:sty ns1:val="p"/>
          </ns1:rPr>
          <ns1:t>)</ns1:t>
        </ns1:r>
      </ns1:oMath>
      <ns0:r>
        <ns0:t xml:space="preserve"> </ns0:t>
      </ns0:r>
      <ns0:r>
        <ns0:t xml:space="preserve">under the null of balanced signs. For a continuous difference distribution this is a test of zero median; excluding exact zeros conditions on nonzero differences. Bootstrap intervals are percentile intervals obtained by resampling subjects, preserving the paired observations. They are pointwise intervals, whereas the reported</ns0:t>
      </ns0:r>
      <ns0:r>
        <ns0:t xml:space="preserve"> </ns0:t>
      </ns0:r>
      <ns1:oMath>
        <ns1:r>
          <ns1:t>q</ns1:t>
        </ns1:r>
      </ns1:oMath>
      <ns0:r>
        <ns0:t xml:space="preserve"> </ns0:t>
      </ns0:r>
      <ns0:r>
        <ns0:t xml:space="preserve">values apply Benjamini–Hochberg adjustment within the specified test families; these two summaries need not cross their respective thresholds together.</ns0:t>
      </ns0:r>
    </ns0:p>
    <ns0:bookmarkEnd ns0:id="70"/>
    <ns0:bookmarkEnd ns0:id="71"/>
    <ns0:bookmarkStart ns0:id="72" ns0:name="acknowledgements"/>
    <ns0:p>
      <ns0:pPr>
        <ns0:pStyle ns0:val="Heading1"/>
      </ns0:pPr>
      <ns0:r>
        <ns0:t xml:space="preserve">Acknowledgements</ns0:t>
      </ns0:r>
    </ns0:p>
    <ns0:p>
      <ns0:pPr>
        <ns0:pStyle ns0:val="FirstParagraph"/>
      </ns0:pPr>
      <ns0:r>
        <ns0:t xml:space="preserve">We thank the BoneDat project for curating and providing the standardized imaging-derived dataset used in this study.</ns0:t>
      </ns0:r>
    </ns0:p>
    <ns0:bookmarkEnd ns0:id="72"/>
    <ns0:bookmarkStart ns0:id="73" ns0:name="funding"/>
    <ns0:p>
      <ns0:pPr>
        <ns0:pStyle ns0:val="Heading1"/>
      </ns0:pPr>
      <ns0:r>
        <ns0:t xml:space="preserve">Funding</ns0:t>
      </ns0:r>
    </ns0:p>
    <ns0:p>
      <ns0:pPr>
        <ns0:pStyle ns0:val="FirstParagraph"/>
      </ns0:pPr>
      <ns0:r>
        <ns0:t xml:space="preserve">This work was supported by the Czech Science Foundation (GAČR; Grant No. 24-10862S).</ns0:t>
      </ns0:r>
    </ns0:p>
    <ns0:bookmarkEnd ns0:id="73"/>
    <ns0:bookmarkStart ns0:id="74" ns0:name="author-contributions"/>
    <ns0:p>
      <ns0:pPr>
        <ns0:pStyle ns0:val="Heading1"/>
      </ns0:pPr>
      <ns0:r>
        <ns0:t xml:space="preserve">Author contributions</ns0:t>
      </ns0:r>
    </ns0:p>
    <ns0:p>
      <ns0:pPr>
        <ns0:pStyle ns0:val="FirstParagraph"/>
      </ns0:pPr>
      <ns0:r>
        <ns0:t xml:space="preserve">CRediT authorship contribution statement. Petr Henyš: Conceptualization; Methodology; Software; Formal analysis; Investigation; Data curation; Visualization; Funding acquisition; Writing – original draft; Writing – review &amp; editing. Niels Hammer: Supervision; Writing – review &amp; editing.</ns0:t>
      </ns0:r>
    </ns0:p>
    <ns0:bookmarkEnd ns0:id="74"/>
    <ns0:bookmarkStart ns0:id="75" ns0:name="conflict-of-interest-statement"/>
    <ns0:p>
      <ns0:pPr>
        <ns0:pStyle ns0:val="Heading1"/>
      </ns0:pPr>
      <ns0:r>
        <ns0:t xml:space="preserve">Conflict of interest statement</ns0:t>
      </ns0:r>
    </ns0:p>
    <ns0:p>
      <ns0:pPr>
        <ns0:pStyle ns0:val="FirstParagraph"/>
      </ns0:pPr>
      <ns0:r>
        <ns0:t xml:space="preserve">The authors declare no conflicts of interest.</ns0:t>
      </ns0:r>
    </ns0:p>
    <ns0:bookmarkEnd ns0:id="75"/>
    <ns0:bookmarkStart ns0:id="76" ns0:name="supporting-information"/>
    <ns0:p>
      <ns0:pPr>
        <ns0:pStyle ns0:val="Heading1"/>
      </ns0:pPr>
      <ns0:r>
        <ns0:t xml:space="preserve">Supporting information</ns0:t>
      </ns0:r>
    </ns0:p>
    <ns0:p>
      <ns0:pPr>
        <ns0:pStyle ns0:val="FirstParagraph"/>
      </ns0:pPr>
      <ns0:r>
        <ns0:t xml:space="preserve">Supporting Information provides statistical definitions, component contrasts, variance ratios, sex models, the scale reparameterization, and extraction sensitivity diagnostics.</ns0:t>
      </ns0:r>
    </ns0:p>
    <ns0:bookmarkEnd ns0:id="76"/>
    <ns0:bookmarkStart ns0:id="78" ns0:name="data-availability-statement"/>
    <ns0:p>
      <ns0:pPr>
        <ns0:pStyle ns0:val="Heading1"/>
      </ns0:pPr>
      <ns0:r>
        <ns0:t xml:space="preserve">Data Availability Statement</ns0:t>
      </ns0:r>
    </ns0:p>
    <ns0:p>
      <ns0:pPr>
        <ns0:pStyle ns0:val="FirstParagraph"/>
      </ns0:pPr>
      <ns0:r>
        <ns0:t xml:space="preserve">The source anonymized CT images, segmentations and standardized anatomical geometries are available through BoneDat</ns0:t>
      </ns0:r>
      <ns0:r>
        <ns0:t xml:space="preserve"> </ns0:t>
      </ns0:r>
      <ns0:r>
        <ns0:t xml:space="preserve">(Henyš and Kuchař 2025)</ns0:t>
      </ns0:r>
      <ns0:r>
        <ns0:t xml:space="preserve">, with source data indexed by the</ns0:t>
      </ns0:r>
      <ns0:r>
        <ns0:t xml:space="preserve"> </ns0:t>
      </ns0:r>
      <ns0:hyperlink ns5:id="rId77">
        <ns0:r>
          <ns0:rPr>
            <ns0:rStyle ns0:val="Hyperlink"/>
          </ns0:rPr>
          <ns0:t xml:space="preserve">BoneDat dataset record</ns0:t>
        </ns0:r>
      </ns0:hyperlink>
      <ns0:r>
        <ns0:t xml:space="preserve">. The present study’s derived morphometric tables, subject-level motion endpoints, machine-readable model estimates and analysis code have not been deposited in a public repository. The Supporting Information provides the statistical definitions, component contrasts, variance ratios, model estimates and sensitivity analyses reported here. The BoneDat record identifies the source imaging and anatomical data, not a repository for this study’s FE results or code.</ns0:t>
      </ns0:r>
    </ns0:p>
    <ns0:bookmarkEnd ns0:id="78"/>
    <ns0:bookmarkStart ns0:id="136" ns0:name="references"/>
    <ns0:p>
      <ns0:pPr>
        <ns0:pStyle ns0:val="Heading1"/>
      </ns0:pPr>
      <ns0:r>
        <ns0:t xml:space="preserve">References</ns0:t>
      </ns0:r>
    </ns0:p>
    <ns0:bookmarkStart ns0:id="135" ns0:name="refs"/>
    <ns0:bookmarkStart ns0:id="80" ns0:name="ref-Anderson2005"/>
    <ns0:p>
      <ns0:pPr>
        <ns0:pStyle ns0:val="Bibliography"/>
      </ns0:pPr>
      <ns0:r>
        <ns0:t xml:space="preserve">Anderson, Andrew E., Christopher L. Peters, Benjamin D. Tuttle, and Jeffrey A. Weiss. 2005.</ns0:t>
      </ns0:r>
      <ns0:r>
        <ns0:t xml:space="preserve"> </ns0:t>
      </ns0:r>
      <ns0:r>
        <ns0:t xml:space="preserve">“Subject-Specific Finite Element Model of the Pelvis: Development, Validation and Sensitivity Studies.”</ns0:t>
      </ns0:r>
      <ns0:r>
        <ns0:t xml:space="preserve"> </ns0:t>
      </ns0:r>
      <ns0:r>
        <ns0:rPr>
          <ns0:iCs/>
          <ns0:i/>
        </ns0:rPr>
        <ns0:t xml:space="preserve">Journal of Biomechanical Engineering</ns0:t>
      </ns0:r>
      <ns0:r>
        <ns0:t xml:space="preserve"> </ns0:t>
      </ns0:r>
      <ns0:r>
        <ns0:t xml:space="preserve">127 (3): 364–73.</ns0:t>
      </ns0:r>
      <ns0:r>
        <ns0:t xml:space="preserve"> </ns0:t>
      </ns0:r>
      <ns0:hyperlink ns5:id="rId79">
        <ns0:r>
          <ns0:rPr>
            <ns0:rStyle ns0:val="Hyperlink"/>
          </ns0:rPr>
          <ns0:t xml:space="preserve">https://doi.org/10.1115/1.1894148</ns0:t>
        </ns0:r>
      </ns0:hyperlink>
      <ns0:r>
        <ns0:t xml:space="preserve">.</ns0:t>
      </ns0:r>
    </ns0:p>
    <ns0:bookmarkEnd ns0:id="80"/>
    <ns0:bookmarkStart ns0:id="82" ns0:name="ref-BenjaminiHochberg1995"/>
    <ns0:p>
      <ns0:pPr>
        <ns0:pStyle ns0:val="Bibliography"/>
      </ns0:pPr>
      <ns0:r>
        <ns0:t xml:space="preserve">Benjamini, Yoav, and Yosef Hochberg. 1995.</ns0:t>
      </ns0:r>
      <ns0:r>
        <ns0:t xml:space="preserve"> </ns0:t>
      </ns0:r>
      <ns0:r>
        <ns0:t xml:space="preserve">“Controlling the False Discovery Rate: A Practical and Powerful Approach to Multiple Testing.”</ns0:t>
      </ns0:r>
      <ns0:r>
        <ns0:t xml:space="preserve"> </ns0:t>
      </ns0:r>
      <ns0:r>
        <ns0:rPr>
          <ns0:iCs/>
          <ns0:i/>
        </ns0:rPr>
        <ns0:t xml:space="preserve">Journal of the Royal Statistical Society: Series B (Methodological)</ns0:t>
      </ns0:r>
      <ns0:r>
        <ns0:t xml:space="preserve"> </ns0:t>
      </ns0:r>
      <ns0:r>
        <ns0:t xml:space="preserve">57 (1): 289–300.</ns0:t>
      </ns0:r>
      <ns0:r>
        <ns0:t xml:space="preserve"> </ns0:t>
      </ns0:r>
      <ns0:hyperlink ns5:id="rId81">
        <ns0:r>
          <ns0:rPr>
            <ns0:rStyle ns0:val="Hyperlink"/>
          </ns0:rPr>
          <ns0:t xml:space="preserve">https://doi.org/10.1111/j.2517-6161.1995.tb02031.x</ns0:t>
        </ns0:r>
      </ns0:hyperlink>
      <ns0:r>
        <ns0:t xml:space="preserve">.</ns0:t>
      </ns0:r>
    </ns0:p>
    <ns0:bookmarkEnd ns0:id="82"/>
    <ns0:bookmarkStart ns0:id="84" ns0:name="ref-BonetWood2008"/>
    <ns0:p>
      <ns0:pPr>
        <ns0:pStyle ns0:val="Bibliography"/>
      </ns0:pPr>
      <ns0:r>
        <ns0:t xml:space="preserve">Bonet, Javier, and Richard D. Wood. 2008.</ns0:t>
      </ns0:r>
      <ns0:r>
        <ns0:t xml:space="preserve"> </ns0:t>
      </ns0:r>
      <ns0:r>
        <ns0:rPr>
          <ns0:iCs/>
          <ns0:i/>
        </ns0:rPr>
        <ns0:t xml:space="preserve">Nonlinear Continuum Mechanics for Finite Element Analysis</ns0:t>
      </ns0:r>
      <ns0:r>
        <ns0:t xml:space="preserve">. 2nd ed. Cambridge University Press.</ns0:t>
      </ns0:r>
      <ns0:r>
        <ns0:t xml:space="preserve"> </ns0:t>
      </ns0:r>
      <ns0:hyperlink ns5:id="rId83">
        <ns0:r>
          <ns0:rPr>
            <ns0:rStyle ns0:val="Hyperlink"/>
          </ns0:rPr>
          <ns0:t xml:space="preserve">https://doi.org/10.1017/CBO9780511755446</ns0:t>
        </ns0:r>
      </ns0:hyperlink>
      <ns0:r>
        <ns0:t xml:space="preserve">.</ns0:t>
      </ns0:r>
    </ns0:p>
    <ns0:bookmarkEnd ns0:id="84"/>
    <ns0:bookmarkStart ns0:id="86" ns0:name="ref-CameronMiller2015"/>
    <ns0:p>
      <ns0:pPr>
        <ns0:pStyle ns0:val="Bibliography"/>
      </ns0:pPr>
      <ns0:r>
        <ns0:t xml:space="preserve">Cameron, A. Colin, and Douglas L. Miller. 2015.</ns0:t>
      </ns0:r>
      <ns0:r>
        <ns0:t xml:space="preserve"> </ns0:t>
      </ns0:r>
      <ns0:r>
        <ns0:t xml:space="preserve">“A Practitioner’s Guide to Cluster-Robust Inference.”</ns0:t>
      </ns0:r>
      <ns0:r>
        <ns0:t xml:space="preserve"> </ns0:t>
      </ns0:r>
      <ns0:r>
        <ns0:rPr>
          <ns0:iCs/>
          <ns0:i/>
        </ns0:rPr>
        <ns0:t xml:space="preserve">Journal of Human Resources</ns0:t>
      </ns0:r>
      <ns0:r>
        <ns0:t xml:space="preserve"> </ns0:t>
      </ns0:r>
      <ns0:r>
        <ns0:t xml:space="preserve">50 (2): 317–72.</ns0:t>
      </ns0:r>
      <ns0:r>
        <ns0:t xml:space="preserve"> </ns0:t>
      </ns0:r>
      <ns0:hyperlink ns5:id="rId85">
        <ns0:r>
          <ns0:rPr>
            <ns0:rStyle ns0:val="Hyperlink"/>
          </ns0:rPr>
          <ns0:t xml:space="preserve">https://doi.org/10.3368/jhr.50.2.317</ns0:t>
        </ns0:r>
      </ns0:hyperlink>
      <ns0:r>
        <ns0:t xml:space="preserve">.</ns0:t>
      </ns0:r>
    </ns0:p>
    <ns0:bookmarkEnd ns0:id="86"/>
    <ns0:bookmarkStart ns0:id="88" ns0:name="ref-ChenGrimm2021"/>
    <ns0:p>
      <ns0:pPr>
        <ns0:pStyle ns0:val="Bibliography"/>
      </ns0:pPr>
      <ns0:r>
        <ns0:t xml:space="preserve">Chen, Sheng, and Michele J. Grimm. 2021.</ns0:t>
      </ns0:r>
      <ns0:r>
        <ns0:t xml:space="preserve"> </ns0:t>
      </ns0:r>
      <ns0:r>
        <ns0:t xml:space="preserve">“Childbirth Computational Models: Characteristics and Applications.”</ns0:t>
      </ns0:r>
      <ns0:r>
        <ns0:t xml:space="preserve"> </ns0:t>
      </ns0:r>
      <ns0:r>
        <ns0:rPr>
          <ns0:iCs/>
          <ns0:i/>
        </ns0:rPr>
        <ns0:t xml:space="preserve">Journal of Biomechanical Engineering</ns0:t>
      </ns0:r>
      <ns0:r>
        <ns0:t xml:space="preserve"> </ns0:t>
      </ns0:r>
      <ns0:r>
        <ns0:t xml:space="preserve">143 (5): 050801.</ns0:t>
      </ns0:r>
      <ns0:r>
        <ns0:t xml:space="preserve"> </ns0:t>
      </ns0:r>
      <ns0:hyperlink ns5:id="rId87">
        <ns0:r>
          <ns0:rPr>
            <ns0:rStyle ns0:val="Hyperlink"/>
          </ns0:rPr>
          <ns0:t xml:space="preserve">https://doi.org/10.1115/1.4049226</ns0:t>
        </ns0:r>
      </ns0:hyperlink>
      <ns0:r>
        <ns0:t xml:space="preserve">.</ns0:t>
      </ns0:r>
    </ns0:p>
    <ns0:bookmarkEnd ns0:id="88"/>
    <ns0:bookmarkStart ns0:id="90" ns0:name="ref-EfronTibshirani1994"/>
    <ns0:p>
      <ns0:pPr>
        <ns0:pStyle ns0:val="Bibliography"/>
      </ns0:pPr>
      <ns0:r>
        <ns0:t xml:space="preserve">Efron, Bradley, and Robert J. Tibshirani. 1994.</ns0:t>
      </ns0:r>
      <ns0:r>
        <ns0:t xml:space="preserve"> </ns0:t>
      </ns0:r>
      <ns0:r>
        <ns0:rPr>
          <ns0:iCs/>
          <ns0:i/>
        </ns0:rPr>
        <ns0:t xml:space="preserve">An Introduction to the Bootstrap</ns0:t>
      </ns0:r>
      <ns0:r>
        <ns0:t xml:space="preserve">. Chapman &amp; Hall/CRC.</ns0:t>
      </ns0:r>
      <ns0:r>
        <ns0:t xml:space="preserve"> </ns0:t>
      </ns0:r>
      <ns0:hyperlink ns5:id="rId89">
        <ns0:r>
          <ns0:rPr>
            <ns0:rStyle ns0:val="Hyperlink"/>
          </ns0:rPr>
          <ns0:t xml:space="preserve">https://doi.org/10.1201/9780429246593</ns0:t>
        </ns0:r>
      </ns0:hyperlink>
      <ns0:r>
        <ns0:t xml:space="preserve">.</ns0:t>
      </ns0:r>
    </ns0:p>
    <ns0:bookmarkEnd ns0:id="90"/>
    <ns0:bookmarkStart ns0:id="92" ns0:name="ref-Fan2026"/>
    <ns0:p>
      <ns0:pPr>
        <ns0:pStyle ns0:val="Bibliography"/>
      </ns0:pPr>
      <ns0:r>
        <ns0:t xml:space="preserve">Fan, Wei, Zhi-Xu Chen, Sen Yang, Sheng-Nan Liu, Zhen-Ya Sun, and Jie Chen. 2026.</ns0:t>
      </ns0:r>
      <ns0:r>
        <ns0:t xml:space="preserve"> </ns0:t>
      </ns0:r>
      <ns0:r>
        <ns0:t xml:space="preserve">“Osteoporosis-Induced Biomechanical Alterations in the Sacroiliac Joint.”</ns0:t>
      </ns0:r>
      <ns0:r>
        <ns0:t xml:space="preserve"> </ns0:t>
      </ns0:r>
      <ns0:r>
        <ns0:rPr>
          <ns0:iCs/>
          <ns0:i/>
        </ns0:rPr>
        <ns0:t xml:space="preserve">International Journal for Numerical Methods in Biomedical Engineering</ns0:t>
      </ns0:r>
      <ns0:r>
        <ns0:t xml:space="preserve"> </ns0:t>
      </ns0:r>
      <ns0:r>
        <ns0:t xml:space="preserve">42 (4): e70171.</ns0:t>
      </ns0:r>
      <ns0:r>
        <ns0:t xml:space="preserve"> </ns0:t>
      </ns0:r>
      <ns0:hyperlink ns5:id="rId91">
        <ns0:r>
          <ns0:rPr>
            <ns0:rStyle ns0:val="Hyperlink"/>
          </ns0:rPr>
          <ns0:t xml:space="preserve">https://doi.org/10.1002/cnm.70171</ns0:t>
        </ns0:r>
      </ns0:hyperlink>
      <ns0:r>
        <ns0:t xml:space="preserve">.</ns0:t>
      </ns0:r>
    </ns0:p>
    <ns0:bookmarkEnd ns0:id="92"/>
    <ns0:bookmarkStart ns0:id="94" ns0:name="ref-Fischer2015"/>
    <ns0:p>
      <ns0:pPr>
        <ns0:pStyle ns0:val="Bibliography"/>
      </ns0:pPr>
      <ns0:r>
        <ns0:t xml:space="preserve">Fischer, Barbara, and Philipp Mitteroecker. 2015.</ns0:t>
      </ns0:r>
      <ns0:r>
        <ns0:t xml:space="preserve"> </ns0:t>
      </ns0:r>
      <ns0:r>
        <ns0:t xml:space="preserve">“Covariation Between Human Pelvis Shape, Stature, and Head Size Alleviates the Obstetric Dilemma.”</ns0:t>
      </ns0:r>
      <ns0:r>
        <ns0:t xml:space="preserve"> </ns0:t>
      </ns0:r>
      <ns0:r>
        <ns0:rPr>
          <ns0:iCs/>
          <ns0:i/>
        </ns0:rPr>
        <ns0:t xml:space="preserve">Proceedings of the National Academy of Sciences</ns0:t>
      </ns0:r>
      <ns0:r>
        <ns0:t xml:space="preserve"> </ns0:t>
      </ns0:r>
      <ns0:r>
        <ns0:t xml:space="preserve">112 (18): 5655–60.</ns0:t>
      </ns0:r>
      <ns0:r>
        <ns0:t xml:space="preserve"> </ns0:t>
      </ns0:r>
      <ns0:hyperlink ns5:id="rId93">
        <ns0:r>
          <ns0:rPr>
            <ns0:rStyle ns0:val="Hyperlink"/>
          </ns0:rPr>
          <ns0:t xml:space="preserve">https://doi.org/10.1073/pnas.1420325112</ns0:t>
        </ns0:r>
      </ns0:hyperlink>
      <ns0:r>
        <ns0:t xml:space="preserve">.</ns0:t>
      </ns0:r>
    </ns0:p>
    <ns0:bookmarkEnd ns0:id="94"/>
    <ns0:bookmarkStart ns0:id="96" ns0:name="ref-Fischer2017"/>
    <ns0:p>
      <ns0:pPr>
        <ns0:pStyle ns0:val="Bibliography"/>
      </ns0:pPr>
      <ns0:r>
        <ns0:t xml:space="preserve">———. 2017.</ns0:t>
      </ns0:r>
      <ns0:r>
        <ns0:t xml:space="preserve"> </ns0:t>
      </ns0:r>
      <ns0:r>
        <ns0:t xml:space="preserve">“Allometry and Sexual Dimorphism in the Human Pelvis.”</ns0:t>
      </ns0:r>
      <ns0:r>
        <ns0:t xml:space="preserve"> </ns0:t>
      </ns0:r>
      <ns0:r>
        <ns0:rPr>
          <ns0:iCs/>
          <ns0:i/>
        </ns0:rPr>
        <ns0:t xml:space="preserve">The Anatomical Record</ns0:t>
      </ns0:r>
      <ns0:r>
        <ns0:t xml:space="preserve"> </ns0:t>
      </ns0:r>
      <ns0:r>
        <ns0:t xml:space="preserve">300 (4): 698–705.</ns0:t>
      </ns0:r>
      <ns0:r>
        <ns0:t xml:space="preserve"> </ns0:t>
      </ns0:r>
      <ns0:hyperlink ns5:id="rId95">
        <ns0:r>
          <ns0:rPr>
            <ns0:rStyle ns0:val="Hyperlink"/>
          </ns0:rPr>
          <ns0:t xml:space="preserve">https://doi.org/10.1002/ar.23549</ns0:t>
        </ns0:r>
      </ns0:hyperlink>
      <ns0:r>
        <ns0:t xml:space="preserve">.</ns0:t>
      </ns0:r>
    </ns0:p>
    <ns0:bookmarkEnd ns0:id="96"/>
    <ns0:bookmarkStart ns0:id="98" ns0:name="ref-Goode2008"/>
    <ns0:p>
      <ns0:pPr>
        <ns0:pStyle ns0:val="Bibliography"/>
      </ns0:pPr>
      <ns0:r>
        <ns0:t xml:space="preserve">Goode, Adam, Eric J. Hegedus, Philip Sizer, Jean-Michel Brismee, Alison Linberg, and Chad E. Cook. 2008.</ns0:t>
      </ns0:r>
      <ns0:r>
        <ns0:t xml:space="preserve"> </ns0:t>
      </ns0:r>
      <ns0:r>
        <ns0:t xml:space="preserve">“Three-Dimensional Movements of the Sacroiliac Joint: A Systematic Review of the Literature and Assessment of Clinical Utility.”</ns0:t>
      </ns0:r>
      <ns0:r>
        <ns0:t xml:space="preserve"> </ns0:t>
      </ns0:r>
      <ns0:r>
        <ns0:rPr>
          <ns0:iCs/>
          <ns0:i/>
        </ns0:rPr>
        <ns0:t xml:space="preserve">Journal of Manual &amp; Manipulative Therapy</ns0:t>
      </ns0:r>
      <ns0:r>
        <ns0:t xml:space="preserve"> </ns0:t>
      </ns0:r>
      <ns0:r>
        <ns0:t xml:space="preserve">16 (1): 25–38.</ns0:t>
      </ns0:r>
      <ns0:r>
        <ns0:t xml:space="preserve"> </ns0:t>
      </ns0:r>
      <ns0:hyperlink ns5:id="rId97">
        <ns0:r>
          <ns0:rPr>
            <ns0:rStyle ns0:val="Hyperlink"/>
          </ns0:rPr>
          <ns0:t xml:space="preserve">https://doi.org/10.1179/106698108790818639</ns0:t>
        </ns0:r>
      </ns0:hyperlink>
      <ns0:r>
        <ns0:t xml:space="preserve">.</ns0:t>
      </ns0:r>
    </ns0:p>
    <ns0:bookmarkEnd ns0:id="98"/>
    <ns0:bookmarkStart ns0:id="100" ns0:name="ref-Hammer2019"/>
    <ns0:p>
      <ns0:pPr>
        <ns0:pStyle ns0:val="Bibliography"/>
      </ns0:pPr>
      <ns0:r>
        <ns0:t xml:space="preserve">Hammer, Niels, Mario Scholze, Thomas Kibsgård, Stefan Klima, Stefan Schleifenbaum, Thomas Seidel, Michael Werner, and Ronny Grunert. 2019.</ns0:t>
      </ns0:r>
      <ns0:r>
        <ns0:t xml:space="preserve"> </ns0:t>
      </ns0:r>
      <ns0:r>
        <ns0:t xml:space="preserve">“Physiological in Vitro Sacroiliac Joint Motion: A Study on Three-Dimensional Posterior Pelvic Ring Kinematics.”</ns0:t>
      </ns0:r>
      <ns0:r>
        <ns0:t xml:space="preserve"> </ns0:t>
      </ns0:r>
      <ns0:r>
        <ns0:rPr>
          <ns0:iCs/>
          <ns0:i/>
        </ns0:rPr>
        <ns0:t xml:space="preserve">Journal of Anatomy</ns0:t>
      </ns0:r>
      <ns0:r>
        <ns0:t xml:space="preserve"> </ns0:t>
      </ns0:r>
      <ns0:r>
        <ns0:t xml:space="preserve">234 (3): 346–58.</ns0:t>
      </ns0:r>
      <ns0:r>
        <ns0:t xml:space="preserve"> </ns0:t>
      </ns0:r>
      <ns0:hyperlink ns5:id="rId99">
        <ns0:r>
          <ns0:rPr>
            <ns0:rStyle ns0:val="Hyperlink"/>
          </ns0:rPr>
          <ns0:t xml:space="preserve">https://doi.org/10.1111/joa.12924</ns0:t>
        </ns0:r>
      </ns0:hyperlink>
      <ns0:r>
        <ns0:t xml:space="preserve">.</ns0:t>
      </ns0:r>
    </ns0:p>
    <ns0:bookmarkEnd ns0:id="100"/>
    <ns0:bookmarkStart ns0:id="102" ns0:name="ref-Hammer2013"/>
    <ns0:p>
      <ns0:pPr>
        <ns0:pStyle ns0:val="Bibliography"/>
      </ns0:pPr>
      <ns0:r>
        <ns0:t xml:space="preserve">Hammer, Niels, Hanno Steinke, Uwe Lingslebe, Ingo Bechmann, Christoph Josten, Volker Slowik, and Jörg Böhme. 2013.</ns0:t>
      </ns0:r>
      <ns0:r>
        <ns0:t xml:space="preserve"> </ns0:t>
      </ns0:r>
      <ns0:r>
        <ns0:t xml:space="preserve">“Ligamentous Influence in Pelvic Load Distribution.”</ns0:t>
      </ns0:r>
      <ns0:r>
        <ns0:t xml:space="preserve"> </ns0:t>
      </ns0:r>
      <ns0:r>
        <ns0:rPr>
          <ns0:iCs/>
          <ns0:i/>
        </ns0:rPr>
        <ns0:t xml:space="preserve">The Spine Journal</ns0:t>
      </ns0:r>
      <ns0:r>
        <ns0:t xml:space="preserve"> </ns0:t>
      </ns0:r>
      <ns0:r>
        <ns0:t xml:space="preserve">13 (10): 1321–30.</ns0:t>
      </ns0:r>
      <ns0:r>
        <ns0:t xml:space="preserve"> </ns0:t>
      </ns0:r>
      <ns0:hyperlink ns5:id="rId101">
        <ns0:r>
          <ns0:rPr>
            <ns0:rStyle ns0:val="Hyperlink"/>
          </ns0:rPr>
          <ns0:t xml:space="preserve">https://doi.org/10.1016/j.spinee.2013.03.050</ns0:t>
        </ns0:r>
      </ns0:hyperlink>
      <ns0:r>
        <ns0:t xml:space="preserve">.</ns0:t>
      </ns0:r>
    </ns0:p>
    <ns0:bookmarkEnd ns0:id="102"/>
    <ns0:bookmarkStart ns0:id="104" ns0:name="ref-HenyssKuchar2025BoneDat"/>
    <ns0:p>
      <ns0:pPr>
        <ns0:pStyle ns0:val="Bibliography"/>
      </ns0:pPr>
      <ns0:r>
        <ns0:t xml:space="preserve">Henyš, Petr, and Michal Kuchař. 2025.</ns0:t>
      </ns0:r>
      <ns0:r>
        <ns0:t xml:space="preserve"> </ns0:t>
      </ns0:r>
      <ns0:r>
        <ns0:t xml:space="preserve">“BoneDat, a Database of Standardized Bone Morphology for in Silico Analyses.”</ns0:t>
      </ns0:r>
      <ns0:r>
        <ns0:t xml:space="preserve"> </ns0:t>
      </ns0:r>
      <ns0:r>
        <ns0:rPr>
          <ns0:iCs/>
          <ns0:i/>
        </ns0:rPr>
        <ns0:t xml:space="preserve">Scientific Data</ns0:t>
      </ns0:r>
      <ns0:r>
        <ns0:t xml:space="preserve"> </ns0:t>
      </ns0:r>
      <ns0:r>
        <ns0:t xml:space="preserve">12 (1): 1043.</ns0:t>
      </ns0:r>
      <ns0:r>
        <ns0:t xml:space="preserve"> </ns0:t>
      </ns0:r>
      <ns0:hyperlink ns5:id="rId103">
        <ns0:r>
          <ns0:rPr>
            <ns0:rStyle ns0:val="Hyperlink"/>
          </ns0:rPr>
          <ns0:t xml:space="preserve">https://doi.org/10.1038/s41597-025-05161-y</ns0:t>
        </ns0:r>
      </ns0:hyperlink>
      <ns0:r>
        <ns0:t xml:space="preserve">.</ns0:t>
      </ns0:r>
    </ns0:p>
    <ns0:bookmarkEnd ns0:id="104"/>
    <ns0:bookmarkStart ns0:id="106" ns0:name="ref-Heyland2025"/>
    <ns0:p>
      <ns0:pPr>
        <ns0:pStyle ns0:val="Bibliography"/>
      </ns0:pPr>
      <ns0:r>
        <ns0:t xml:space="preserve">Heyland, Mark, Hendrik Schmidt, Friederike Schömig, Daven Maikath, Dominik Deppe, Matthias Pumberger, Georg N. Duda, Katharina Ziegeler, and Philipp Damm. 2025.</ns0:t>
      </ns0:r>
      <ns0:r>
        <ns0:t xml:space="preserve"> </ns0:t>
      </ns0:r>
      <ns0:r>
        <ns0:t xml:space="preserve">“Ligament Pre-Tension Determines Outcome in Sacroiliac Joint in Silicon Modelling.”</ns0:t>
      </ns0:r>
      <ns0:r>
        <ns0:t xml:space="preserve"> </ns0:t>
      </ns0:r>
      <ns0:r>
        <ns0:rPr>
          <ns0:iCs/>
          <ns0:i/>
        </ns0:rPr>
        <ns0:t xml:space="preserve">Medical &amp; Biological Engineering &amp; Computing</ns0:t>
      </ns0:r>
      <ns0:r>
        <ns0:t xml:space="preserve"> </ns0:t>
      </ns0:r>
      <ns0:r>
        <ns0:t xml:space="preserve">63 (11): 3321–33.</ns0:t>
      </ns0:r>
      <ns0:r>
        <ns0:t xml:space="preserve"> </ns0:t>
      </ns0:r>
      <ns0:hyperlink ns5:id="rId105">
        <ns0:r>
          <ns0:rPr>
            <ns0:rStyle ns0:val="Hyperlink"/>
          </ns0:rPr>
          <ns0:t xml:space="preserve">https://doi.org/10.1007/s11517-025-03396-w</ns0:t>
        </ns0:r>
      </ns0:hyperlink>
      <ns0:r>
        <ns0:t xml:space="preserve">.</ns0:t>
      </ns0:r>
    </ns0:p>
    <ns0:bookmarkEnd ns0:id="106"/>
    <ns0:bookmarkStart ns0:id="108" ns0:name="ref-Huseynov2016"/>
    <ns0:p>
      <ns0:pPr>
        <ns0:pStyle ns0:val="Bibliography"/>
      </ns0:pPr>
      <ns0:r>
        <ns0:t xml:space="preserve">Huseynov, Alik, Christoph P. E. Zollikofer, Walter Coudyzer, Dominic Gascho, Christian Kellenberger, Ricarda Hinzpeter, and Marcia S. Ponce de León. 2016.</ns0:t>
      </ns0:r>
      <ns0:r>
        <ns0:t xml:space="preserve"> </ns0:t>
      </ns0:r>
      <ns0:r>
        <ns0:t xml:space="preserve">“Developmental Evidence for Obstetric Adaptation of the Human Female Pelvis.”</ns0:t>
      </ns0:r>
      <ns0:r>
        <ns0:t xml:space="preserve"> </ns0:t>
      </ns0:r>
      <ns0:r>
        <ns0:rPr>
          <ns0:iCs/>
          <ns0:i/>
        </ns0:rPr>
        <ns0:t xml:space="preserve">Proceedings of the National Academy of Sciences</ns0:t>
      </ns0:r>
      <ns0:r>
        <ns0:t xml:space="preserve"> </ns0:t>
      </ns0:r>
      <ns0:r>
        <ns0:t xml:space="preserve">113 (19): 5227–32.</ns0:t>
      </ns0:r>
      <ns0:r>
        <ns0:t xml:space="preserve"> </ns0:t>
      </ns0:r>
      <ns0:hyperlink ns5:id="rId107">
        <ns0:r>
          <ns0:rPr>
            <ns0:rStyle ns0:val="Hyperlink"/>
          </ns0:rPr>
          <ns0:t xml:space="preserve">https://doi.org/10.1073/pnas.1517085113</ns0:t>
        </ns0:r>
      </ns0:hyperlink>
      <ns0:r>
        <ns0:t xml:space="preserve">.</ns0:t>
      </ns0:r>
    </ns0:p>
    <ns0:bookmarkEnd ns0:id="108"/>
    <ns0:bookmarkStart ns0:id="110" ns0:name="ref-Joukar2018"/>
    <ns0:p>
      <ns0:pPr>
        <ns0:pStyle ns0:val="Bibliography"/>
      </ns0:pPr>
      <ns0:r>
        <ns0:t xml:space="preserve">Joukar, Amin, Anoli Shah, Ali Kiapour, Ardalan Seyed Vosoughi, Bradley Duhon, Anand K. Agarwal, Hossein Elgafy, Nabil Ebraheim, and Vijay K. Goel. 2018.</ns0:t>
      </ns0:r>
      <ns0:r>
        <ns0:t xml:space="preserve"> </ns0:t>
      </ns0:r>
      <ns0:r>
        <ns0:t xml:space="preserve">“Sex Specific Sacroiliac Joint Biomechanics During Standing Upright: A Finite Element Study.”</ns0:t>
      </ns0:r>
      <ns0:r>
        <ns0:t xml:space="preserve"> </ns0:t>
      </ns0:r>
      <ns0:r>
        <ns0:rPr>
          <ns0:iCs/>
          <ns0:i/>
        </ns0:rPr>
        <ns0:t xml:space="preserve">Spine</ns0:t>
      </ns0:r>
      <ns0:r>
        <ns0:t xml:space="preserve"> </ns0:t>
      </ns0:r>
      <ns0:r>
        <ns0:t xml:space="preserve">43 (18): E1053–60.</ns0:t>
      </ns0:r>
      <ns0:r>
        <ns0:t xml:space="preserve"> </ns0:t>
      </ns0:r>
      <ns0:hyperlink ns5:id="rId109">
        <ns0:r>
          <ns0:rPr>
            <ns0:rStyle ns0:val="Hyperlink"/>
          </ns0:rPr>
          <ns0:t xml:space="preserve">https://doi.org/10.1097/brs.0000000000002623</ns0:t>
        </ns0:r>
      </ns0:hyperlink>
      <ns0:r>
        <ns0:t xml:space="preserve">.</ns0:t>
      </ns0:r>
    </ns0:p>
    <ns0:bookmarkEnd ns0:id="110"/>
    <ns0:bookmarkStart ns0:id="112" ns0:name="ref-Kabsch1976"/>
    <ns0:p>
      <ns0:pPr>
        <ns0:pStyle ns0:val="Bibliography"/>
      </ns0:pPr>
      <ns0:r>
        <ns0:t xml:space="preserve">Kabsch, W. 1976.</ns0:t>
      </ns0:r>
      <ns0:r>
        <ns0:t xml:space="preserve"> </ns0:t>
      </ns0:r>
      <ns0:r>
        <ns0:t xml:space="preserve">“A Solution for the Best Rotation to Relate Two Sets of Vectors.”</ns0:t>
      </ns0:r>
      <ns0:r>
        <ns0:t xml:space="preserve"> </ns0:t>
      </ns0:r>
      <ns0:r>
        <ns0:rPr>
          <ns0:iCs/>
          <ns0:i/>
        </ns0:rPr>
        <ns0:t xml:space="preserve">Acta Crystallographica Section A</ns0:t>
      </ns0:r>
      <ns0:r>
        <ns0:t xml:space="preserve"> </ns0:t>
      </ns0:r>
      <ns0:r>
        <ns0:t xml:space="preserve">32 (5): 922–23.</ns0:t>
      </ns0:r>
      <ns0:r>
        <ns0:t xml:space="preserve"> </ns0:t>
      </ns0:r>
      <ns0:hyperlink ns5:id="rId111">
        <ns0:r>
          <ns0:rPr>
            <ns0:rStyle ns0:val="Hyperlink"/>
          </ns0:rPr>
          <ns0:t xml:space="preserve">https://doi.org/10.1107/S0567739476001873</ns0:t>
        </ns0:r>
      </ns0:hyperlink>
      <ns0:r>
        <ns0:t xml:space="preserve">.</ns0:t>
      </ns0:r>
    </ns0:p>
    <ns0:bookmarkEnd ns0:id="112"/>
    <ns0:bookmarkStart ns0:id="114" ns0:name="ref-Keller1994"/>
    <ns0:p>
      <ns0:pPr>
        <ns0:pStyle ns0:val="Bibliography"/>
      </ns0:pPr>
      <ns0:r>
        <ns0:t xml:space="preserve">Keller, Tony S. 1994.</ns0:t>
      </ns0:r>
      <ns0:r>
        <ns0:t xml:space="preserve"> </ns0:t>
      </ns0:r>
      <ns0:r>
        <ns0:t xml:space="preserve">“Predicting the Compressive Mechanical Behavior of Bone.”</ns0:t>
      </ns0:r>
      <ns0:r>
        <ns0:t xml:space="preserve"> </ns0:t>
      </ns0:r>
      <ns0:r>
        <ns0:rPr>
          <ns0:iCs/>
          <ns0:i/>
        </ns0:rPr>
        <ns0:t xml:space="preserve">Journal of Biomechanics</ns0:t>
      </ns0:r>
      <ns0:r>
        <ns0:t xml:space="preserve"> </ns0:t>
      </ns0:r>
      <ns0:r>
        <ns0:t xml:space="preserve">27 (9): 1159–68.</ns0:t>
      </ns0:r>
      <ns0:r>
        <ns0:t xml:space="preserve"> </ns0:t>
      </ns0:r>
      <ns0:hyperlink ns5:id="rId113">
        <ns0:r>
          <ns0:rPr>
            <ns0:rStyle ns0:val="Hyperlink"/>
          </ns0:rPr>
          <ns0:t xml:space="preserve">https://doi.org/10.1016/0021-9290(94)90056-6</ns0:t>
        </ns0:r>
      </ns0:hyperlink>
      <ns0:r>
        <ns0:t xml:space="preserve">.</ns0:t>
      </ns0:r>
    </ns0:p>
    <ns0:bookmarkEnd ns0:id="114"/>
    <ns0:bookmarkStart ns0:id="116" ns0:name="ref-MacKinnonWhite1985"/>
    <ns0:p>
      <ns0:pPr>
        <ns0:pStyle ns0:val="Bibliography"/>
      </ns0:pPr>
      <ns0:r>
        <ns0:t xml:space="preserve">MacKinnon, James G., and Halbert White. 1985.</ns0:t>
      </ns0:r>
      <ns0:r>
        <ns0:t xml:space="preserve"> </ns0:t>
      </ns0:r>
      <ns0:r>
        <ns0:t xml:space="preserve">“Some Heteroskedasticity-Consistent Covariance Matrix Estimators with Improved Finite Sample Properties.”</ns0:t>
      </ns0:r>
      <ns0:r>
        <ns0:t xml:space="preserve"> </ns0:t>
      </ns0:r>
      <ns0:r>
        <ns0:rPr>
          <ns0:iCs/>
          <ns0:i/>
        </ns0:rPr>
        <ns0:t xml:space="preserve">Journal of Econometrics</ns0:t>
      </ns0:r>
      <ns0:r>
        <ns0:t xml:space="preserve"> </ns0:t>
      </ns0:r>
      <ns0:r>
        <ns0:t xml:space="preserve">29 (3): 305–25.</ns0:t>
      </ns0:r>
      <ns0:r>
        <ns0:t xml:space="preserve"> </ns0:t>
      </ns0:r>
      <ns0:hyperlink ns5:id="rId115">
        <ns0:r>
          <ns0:rPr>
            <ns0:rStyle ns0:val="Hyperlink"/>
          </ns0:rPr>
          <ns0:t xml:space="preserve">https://doi.org/10.1016/0304-4076(85)90158-7</ns0:t>
        </ns0:r>
      </ns0:hyperlink>
      <ns0:r>
        <ns0:t xml:space="preserve">.</ns0:t>
      </ns0:r>
    </ns0:p>
    <ns0:bookmarkEnd ns0:id="116"/>
    <ns0:bookmarkStart ns0:id="118" ns0:name="ref-Nishi2020"/>
    <ns0:p>
      <ns0:pPr>
        <ns0:pStyle ns0:val="Bibliography"/>
      </ns0:pPr>
      <ns0:r>
        <ns0:t xml:space="preserve">Nishi, Keita, Kazunobu Saiki, Joichi Oyamada, Keishi Okamoto, Keiko Ogami-Takamura, Takashi Hasegawa, Takefumi Moriuchi, et al. 2020.</ns0:t>
      </ns0:r>
      <ns0:r>
        <ns0:t xml:space="preserve"> </ns0:t>
      </ns0:r>
      <ns0:r>
        <ns0:t xml:space="preserve">“Sex-Based Differences in Human Sacroiliac Joint Shape: A Three-Dimensional Morphological Analysis of the Iliac Auricular Surface of Modern Japanese Macerated Bones.”</ns0:t>
      </ns0:r>
      <ns0:r>
        <ns0:t xml:space="preserve"> </ns0:t>
      </ns0:r>
      <ns0:r>
        <ns0:rPr>
          <ns0:iCs/>
          <ns0:i/>
        </ns0:rPr>
        <ns0:t xml:space="preserve">Anatomical Science International</ns0:t>
      </ns0:r>
      <ns0:r>
        <ns0:t xml:space="preserve"> </ns0:t>
      </ns0:r>
      <ns0:r>
        <ns0:t xml:space="preserve">95 (2): 219–29.</ns0:t>
      </ns0:r>
      <ns0:r>
        <ns0:t xml:space="preserve"> </ns0:t>
      </ns0:r>
      <ns0:hyperlink ns5:id="rId117">
        <ns0:r>
          <ns0:rPr>
            <ns0:rStyle ns0:val="Hyperlink"/>
          </ns0:rPr>
          <ns0:t xml:space="preserve">https://doi.org/10.1007/s12565-019-00513-2</ns0:t>
        </ns0:r>
      </ns0:hyperlink>
      <ns0:r>
        <ns0:t xml:space="preserve">.</ns0:t>
      </ns0:r>
    </ns0:p>
    <ns0:bookmarkEnd ns0:id="118"/>
    <ns0:bookmarkStart ns0:id="120" ns0:name="ref-Pavlicev2020"/>
    <ns0:p>
      <ns0:pPr>
        <ns0:pStyle ns0:val="Bibliography"/>
      </ns0:pPr>
      <ns0:r>
        <ns0:t xml:space="preserve">Pavličev, Mihaela, Roberto Romero, and Philipp Mitteroecker. 2020.</ns0:t>
      </ns0:r>
      <ns0:r>
        <ns0:t xml:space="preserve"> </ns0:t>
      </ns0:r>
      <ns0:r>
        <ns0:t xml:space="preserve">“Evolution of the Human Pelvis and Obstructed Labor: New Explanations of an Old Obstetrical Dilemma.”</ns0:t>
      </ns0:r>
      <ns0:r>
        <ns0:t xml:space="preserve"> </ns0:t>
      </ns0:r>
      <ns0:r>
        <ns0:rPr>
          <ns0:iCs/>
          <ns0:i/>
        </ns0:rPr>
        <ns0:t xml:space="preserve">American Journal of Obstetrics and Gynecology</ns0:t>
      </ns0:r>
      <ns0:r>
        <ns0:t xml:space="preserve"> </ns0:t>
      </ns0:r>
      <ns0:r>
        <ns0:t xml:space="preserve">222 (1): 3–16.</ns0:t>
      </ns0:r>
      <ns0:r>
        <ns0:t xml:space="preserve"> </ns0:t>
      </ns0:r>
      <ns0:hyperlink ns5:id="rId119">
        <ns0:r>
          <ns0:rPr>
            <ns0:rStyle ns0:val="Hyperlink"/>
          </ns0:rPr>
          <ns0:t xml:space="preserve">https://doi.org/10.1016/j.ajog.2019.06.043</ns0:t>
        </ns0:r>
      </ns0:hyperlink>
      <ns0:r>
        <ns0:t xml:space="preserve">.</ns0:t>
      </ns0:r>
    </ns0:p>
    <ns0:bookmarkEnd ns0:id="120"/>
    <ns0:bookmarkStart ns0:id="122" ns0:name="ref-Poilliot2023"/>
    <ns0:p>
      <ns0:pPr>
        <ns0:pStyle ns0:val="Bibliography"/>
      </ns0:pPr>
      <ns0:r>
        <ns0:t xml:space="preserve">Poilliot, Amélie, Niels Hammer, Mireille Toranelli, Terence Doyle, Max Hans-Peter Gay-Dujak, and Magdalena Müller-Gerbl. 2023.</ns0:t>
      </ns0:r>
      <ns0:r>
        <ns0:t xml:space="preserve"> </ns0:t>
      </ns0:r>
      <ns0:r>
        <ns0:t xml:space="preserve">“Influence of Size and Shape of the Auricular Surfaces on Subchondral Bone Density Distribution in the Sacroiliac Joint.”</ns0:t>
      </ns0:r>
      <ns0:r>
        <ns0:t xml:space="preserve"> </ns0:t>
      </ns0:r>
      <ns0:r>
        <ns0:rPr>
          <ns0:iCs/>
          <ns0:i/>
        </ns0:rPr>
        <ns0:t xml:space="preserve">Journal of Anatomy</ns0:t>
      </ns0:r>
      <ns0:r>
        <ns0:t xml:space="preserve"> </ns0:t>
      </ns0:r>
      <ns0:r>
        <ns0:t xml:space="preserve">243 (3): 475–85.</ns0:t>
      </ns0:r>
      <ns0:r>
        <ns0:t xml:space="preserve"> </ns0:t>
      </ns0:r>
      <ns0:hyperlink ns5:id="rId121">
        <ns0:r>
          <ns0:rPr>
            <ns0:rStyle ns0:val="Hyperlink"/>
          </ns0:rPr>
          <ns0:t xml:space="preserve">https://doi.org/10.1111/joa.13857</ns0:t>
        </ns0:r>
      </ns0:hyperlink>
      <ns0:r>
        <ns0:t xml:space="preserve">.</ns0:t>
      </ns0:r>
    </ns0:p>
    <ns0:bookmarkEnd ns0:id="122"/>
    <ns0:bookmarkStart ns0:id="124" ns0:name="ref-Shin2024"/>
    <ns0:p>
      <ns0:pPr>
        <ns0:pStyle ns0:val="Bibliography"/>
      </ns0:pPr>
      <ns0:r>
        <ns0:t xml:space="preserve">Shin, Seonjin, Dai-Soon Kwak, and U-Young Lee. 2024.</ns0:t>
      </ns0:r>
      <ns0:r>
        <ns0:t xml:space="preserve"> </ns0:t>
      </ns0:r>
      <ns0:r>
        <ns0:t xml:space="preserve">“Mobility and Anthropometry of the Sacroiliac Joint: Range of Motion and Morphological Characteristics.”</ns0:t>
      </ns0:r>
      <ns0:r>
        <ns0:t xml:space="preserve"> </ns0:t>
      </ns0:r>
      <ns0:r>
        <ns0:rPr>
          <ns0:iCs/>
          <ns0:i/>
        </ns0:rPr>
        <ns0:t xml:space="preserve">Biomedical Engineering Letters</ns0:t>
      </ns0:r>
      <ns0:r>
        <ns0:t xml:space="preserve"> </ns0:t>
      </ns0:r>
      <ns0:r>
        <ns0:t xml:space="preserve">14 (4): 867–76.</ns0:t>
      </ns0:r>
      <ns0:r>
        <ns0:t xml:space="preserve"> </ns0:t>
      </ns0:r>
      <ns0:hyperlink ns5:id="rId123">
        <ns0:r>
          <ns0:rPr>
            <ns0:rStyle ns0:val="Hyperlink"/>
          </ns0:rPr>
          <ns0:t xml:space="preserve">https://doi.org/10.1007/s13534-024-00382-3</ns0:t>
        </ns0:r>
      </ns0:hyperlink>
      <ns0:r>
        <ns0:t xml:space="preserve">.</ns0:t>
      </ns0:r>
    </ns0:p>
    <ns0:bookmarkEnd ns0:id="124"/>
    <ns0:bookmarkStart ns0:id="126" ns0:name="ref-Snijders1993"/>
    <ns0:p>
      <ns0:pPr>
        <ns0:pStyle ns0:val="Bibliography"/>
      </ns0:pPr>
      <ns0:r>
        <ns0:t xml:space="preserve">Snijders, C. J., A. Vleeming, and R. Stoeckart. 1993.</ns0:t>
      </ns0:r>
      <ns0:r>
        <ns0:t xml:space="preserve"> </ns0:t>
      </ns0:r>
      <ns0:r>
        <ns0:t xml:space="preserve">“Transfer of Lumbosacral Load to Iliac Bones and Legs. Part 1: Biomechanics of Self-Bracing of the Sacroiliac Joints and Its Significance for Treatment and Exercise.”</ns0:t>
      </ns0:r>
      <ns0:r>
        <ns0:t xml:space="preserve"> </ns0:t>
      </ns0:r>
      <ns0:r>
        <ns0:rPr>
          <ns0:iCs/>
          <ns0:i/>
        </ns0:rPr>
        <ns0:t xml:space="preserve">Clinical Biomechanics</ns0:t>
      </ns0:r>
      <ns0:r>
        <ns0:t xml:space="preserve"> </ns0:t>
      </ns0:r>
      <ns0:r>
        <ns0:t xml:space="preserve">8 (6): 285–94.</ns0:t>
      </ns0:r>
      <ns0:r>
        <ns0:t xml:space="preserve"> </ns0:t>
      </ns0:r>
      <ns0:hyperlink ns5:id="rId125">
        <ns0:r>
          <ns0:rPr>
            <ns0:rStyle ns0:val="Hyperlink"/>
          </ns0:rPr>
          <ns0:t xml:space="preserve">https://doi.org/10.1016/0268-0033(93)90002-Y</ns0:t>
        </ns0:r>
      </ns0:hyperlink>
      <ns0:r>
        <ns0:t xml:space="preserve">.</ns0:t>
      </ns0:r>
    </ns0:p>
    <ns0:bookmarkEnd ns0:id="126"/>
    <ns0:bookmarkStart ns0:id="128" ns0:name="ref-Stansfield2021"/>
    <ns0:p>
      <ns0:pPr>
        <ns0:pStyle ns0:val="Bibliography"/>
      </ns0:pPr>
      <ns0:r>
        <ns0:t xml:space="preserve">Stansfield, Ekaterina, Krishna Kumar, Philipp Mitteroecker, and Nicole D. S. Grunstra. 2021.</ns0:t>
      </ns0:r>
      <ns0:r>
        <ns0:t xml:space="preserve"> </ns0:t>
      </ns0:r>
      <ns0:r>
        <ns0:t xml:space="preserve">“Biomechanical Trade-Offs in the Pelvic Floor Constrain the Evolution of the Human Birth Canal.”</ns0:t>
      </ns0:r>
      <ns0:r>
        <ns0:t xml:space="preserve"> </ns0:t>
      </ns0:r>
      <ns0:r>
        <ns0:rPr>
          <ns0:iCs/>
          <ns0:i/>
        </ns0:rPr>
        <ns0:t xml:space="preserve">Proceedings of the National Academy of Sciences</ns0:t>
      </ns0:r>
      <ns0:r>
        <ns0:t xml:space="preserve"> </ns0:t>
      </ns0:r>
      <ns0:r>
        <ns0:t xml:space="preserve">118 (16): e2022159118.</ns0:t>
      </ns0:r>
      <ns0:r>
        <ns0:t xml:space="preserve"> </ns0:t>
      </ns0:r>
      <ns0:hyperlink ns5:id="rId127">
        <ns0:r>
          <ns0:rPr>
            <ns0:rStyle ns0:val="Hyperlink"/>
          </ns0:rPr>
          <ns0:t xml:space="preserve">https://doi.org/10.1073/pnas.2022159118</ns0:t>
        </ns0:r>
      </ns0:hyperlink>
      <ns0:r>
        <ns0:t xml:space="preserve">.</ns0:t>
      </ns0:r>
    </ns0:p>
    <ns0:bookmarkEnd ns0:id="128"/>
    <ns0:bookmarkStart ns0:id="130" ns0:name="ref-Tani2023"/>
    <ns0:p>
      <ns0:pPr>
        <ns0:pStyle ns0:val="Bibliography"/>
      </ns0:pPr>
      <ns0:r>
        <ns0:t xml:space="preserve">Tani, Tetsuro, Masaki Takao, Mazen Soufi, Yoshito Otake, Norio Fukuda, Hidetoshi Hamada, Keisuke Uemura, Yoshinobu Sato, and Nobuhiko Sugano. 2023.</ns0:t>
      </ns0:r>
      <ns0:r>
        <ns0:t xml:space="preserve"> </ns0:t>
      </ns0:r>
      <ns0:r>
        <ns0:t xml:space="preserve">“Rotational-Motion Measurement of the Sacroiliac Joint Using Upright</ns0:t>
      </ns0:r>
      <ns0:r>
        <ns0:t xml:space="preserve"> </ns0:t>
      </ns0:r>
      <ns0:r>
        <ns0:t xml:space="preserve">MRI</ns0:t>
      </ns0:r>
      <ns0:r>
        <ns0:t xml:space="preserve"> </ns0:t>
      </ns0:r>
      <ns0:r>
        <ns0:t xml:space="preserve">Scanning and Intensity-Based Registration: Is There a Sex Difference?”</ns0:t>
      </ns0:r>
      <ns0:r>
        <ns0:t xml:space="preserve"> </ns0:t>
      </ns0:r>
      <ns0:r>
        <ns0:rPr>
          <ns0:iCs/>
          <ns0:i/>
        </ns0:rPr>
        <ns0:t xml:space="preserve">International Journal of Computer Assisted Radiology and Surgery</ns0:t>
      </ns0:r>
      <ns0:r>
        <ns0:t xml:space="preserve"> </ns0:t>
      </ns0:r>
      <ns0:r>
        <ns0:t xml:space="preserve">18 (1): 79–84.</ns0:t>
      </ns0:r>
      <ns0:r>
        <ns0:t xml:space="preserve"> </ns0:t>
      </ns0:r>
      <ns0:hyperlink ns5:id="rId129">
        <ns0:r>
          <ns0:rPr>
            <ns0:rStyle ns0:val="Hyperlink"/>
          </ns0:rPr>
          <ns0:t xml:space="preserve">https://doi.org/10.1007/s11548-022-02806-w</ns0:t>
        </ns0:r>
      </ns0:hyperlink>
      <ns0:r>
        <ns0:t xml:space="preserve">.</ns0:t>
      </ns0:r>
    </ns0:p>
    <ns0:bookmarkEnd ns0:id="130"/>
    <ns0:bookmarkStart ns0:id="132" ns0:name="ref-Vleeming2012"/>
    <ns0:p>
      <ns0:pPr>
        <ns0:pStyle ns0:val="Bibliography"/>
      </ns0:pPr>
      <ns0:r>
        <ns0:t xml:space="preserve">Vleeming, Andry, Michael D. Schuenke, A. T. Masi, Jane E. Carreiro, Lieven Danneels, and F. H. Willard. 2012.</ns0:t>
      </ns0:r>
      <ns0:r>
        <ns0:t xml:space="preserve"> </ns0:t>
      </ns0:r>
      <ns0:r>
        <ns0:t xml:space="preserve">“The Sacroiliac Joint: An Overview of Its Anatomy, Function and Potential Clinical Implications.”</ns0:t>
      </ns0:r>
      <ns0:r>
        <ns0:t xml:space="preserve"> </ns0:t>
      </ns0:r>
      <ns0:r>
        <ns0:rPr>
          <ns0:iCs/>
          <ns0:i/>
        </ns0:rPr>
        <ns0:t xml:space="preserve">Journal of Anatomy</ns0:t>
      </ns0:r>
      <ns0:r>
        <ns0:t xml:space="preserve"> </ns0:t>
      </ns0:r>
      <ns0:r>
        <ns0:t xml:space="preserve">221 (6): 537–67.</ns0:t>
      </ns0:r>
      <ns0:r>
        <ns0:t xml:space="preserve"> </ns0:t>
      </ns0:r>
      <ns0:hyperlink ns5:id="rId131">
        <ns0:r>
          <ns0:rPr>
            <ns0:rStyle ns0:val="Hyperlink"/>
          </ns0:rPr>
          <ns0:t xml:space="preserve">https://doi.org/10.1111/j.1469-7580.2012.01564.x</ns0:t>
        </ns0:r>
      </ns0:hyperlink>
      <ns0:r>
        <ns0:t xml:space="preserve">.</ns0:t>
      </ns0:r>
    </ns0:p>
    <ns0:bookmarkEnd ns0:id="132"/>
    <ns0:bookmarkStart ns0:id="134" ns0:name="ref-Wilcoxon1945"/>
    <ns0:p>
      <ns0:pPr>
        <ns0:pStyle ns0:val="Bibliography"/>
      </ns0:pPr>
      <ns0:r>
        <ns0:t xml:space="preserve">Wilcoxon, Frank. 1945.</ns0:t>
      </ns0:r>
      <ns0:r>
        <ns0:t xml:space="preserve"> </ns0:t>
      </ns0:r>
      <ns0:r>
        <ns0:t xml:space="preserve">“Individual Comparisons by Ranking Methods.”</ns0:t>
      </ns0:r>
      <ns0:r>
        <ns0:t xml:space="preserve"> </ns0:t>
      </ns0:r>
      <ns0:r>
        <ns0:rPr>
          <ns0:iCs/>
          <ns0:i/>
        </ns0:rPr>
        <ns0:t xml:space="preserve">Biometrics Bulletin</ns0:t>
      </ns0:r>
      <ns0:r>
        <ns0:t xml:space="preserve"> </ns0:t>
      </ns0:r>
      <ns0:r>
        <ns0:t xml:space="preserve">1 (6): 80–83.</ns0:t>
      </ns0:r>
      <ns0:r>
        <ns0:t xml:space="preserve"> </ns0:t>
      </ns0:r>
      <ns0:hyperlink ns5:id="rId133">
        <ns0:r>
          <ns0:rPr>
            <ns0:rStyle ns0:val="Hyperlink"/>
          </ns0:rPr>
          <ns0:t xml:space="preserve">https://doi.org/10.2307/3001968</ns0:t>
        </ns0:r>
      </ns0:hyperlink>
      <ns0:r>
        <ns0:t xml:space="preserve">.</ns0:t>
      </ns0:r>
    </ns0:p>
    <ns0:bookmarkEnd ns0:id="134"/>
    <ns0:bookmarkEnd ns0:id="135"/>
    <ns0:bookmarkEnd ns0:id="136"/>
    <ns0:sectPr>
      <ns0:pgSz ns0:w="11906" ns0:h="16838"/>
      <ns0:pgMar ns0:top="1417" ns0:bottom="1417" ns0:left="1417" ns0:right="1417"/>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4" Target="media/rId24.png" /><Relationship Type="http://schemas.openxmlformats.org/officeDocument/2006/relationships/hyperlink" Id="rId95" Target="https://doi.org/10.1002/ar.23549" TargetMode="External" /><Relationship Type="http://schemas.openxmlformats.org/officeDocument/2006/relationships/hyperlink" Id="rId91" Target="https://doi.org/10.1002/cnm.70171" TargetMode="External" /><Relationship Type="http://schemas.openxmlformats.org/officeDocument/2006/relationships/hyperlink" Id="rId105" Target="https://doi.org/10.1007/s11517-025-03396-w" TargetMode="External" /><Relationship Type="http://schemas.openxmlformats.org/officeDocument/2006/relationships/hyperlink" Id="rId129" Target="https://doi.org/10.1007/s11548-022-02806-w" TargetMode="External" /><Relationship Type="http://schemas.openxmlformats.org/officeDocument/2006/relationships/hyperlink" Id="rId117" Target="https://doi.org/10.1007/s12565-019-00513-2" TargetMode="External" /><Relationship Type="http://schemas.openxmlformats.org/officeDocument/2006/relationships/hyperlink" Id="rId123" Target="https://doi.org/10.1007/s13534-024-00382-3" TargetMode="External" /><Relationship Type="http://schemas.openxmlformats.org/officeDocument/2006/relationships/hyperlink" Id="rId113" Target="https://doi.org/10.1016/0021-9290(94)90056-6" TargetMode="External" /><Relationship Type="http://schemas.openxmlformats.org/officeDocument/2006/relationships/hyperlink" Id="rId125" Target="https://doi.org/10.1016/0268-0033(93)90002-Y" TargetMode="External" /><Relationship Type="http://schemas.openxmlformats.org/officeDocument/2006/relationships/hyperlink" Id="rId115" Target="https://doi.org/10.1016/0304-4076(85)90158-7" TargetMode="External" /><Relationship Type="http://schemas.openxmlformats.org/officeDocument/2006/relationships/hyperlink" Id="rId119" Target="https://doi.org/10.1016/j.ajog.2019.06.043" TargetMode="External" /><Relationship Type="http://schemas.openxmlformats.org/officeDocument/2006/relationships/hyperlink" Id="rId101" Target="https://doi.org/10.1016/j.spinee.2013.03.050" TargetMode="External" /><Relationship Type="http://schemas.openxmlformats.org/officeDocument/2006/relationships/hyperlink" Id="rId83" Target="https://doi.org/10.1017/CBO9780511755446" TargetMode="External" /><Relationship Type="http://schemas.openxmlformats.org/officeDocument/2006/relationships/hyperlink" Id="rId103" Target="https://doi.org/10.1038/s41597-025-05161-y" TargetMode="External" /><Relationship Type="http://schemas.openxmlformats.org/officeDocument/2006/relationships/hyperlink" Id="rId93" Target="https://doi.org/10.1073/pnas.1420325112" TargetMode="External" /><Relationship Type="http://schemas.openxmlformats.org/officeDocument/2006/relationships/hyperlink" Id="rId107" Target="https://doi.org/10.1073/pnas.1517085113" TargetMode="External" /><Relationship Type="http://schemas.openxmlformats.org/officeDocument/2006/relationships/hyperlink" Id="rId127" Target="https://doi.org/10.1073/pnas.2022159118" TargetMode="External" /><Relationship Type="http://schemas.openxmlformats.org/officeDocument/2006/relationships/hyperlink" Id="rId109" Target="https://doi.org/10.1097/brs.0000000000002623" TargetMode="External" /><Relationship Type="http://schemas.openxmlformats.org/officeDocument/2006/relationships/hyperlink" Id="rId111" Target="https://doi.org/10.1107/S0567739476001873" TargetMode="External" /><Relationship Type="http://schemas.openxmlformats.org/officeDocument/2006/relationships/hyperlink" Id="rId131" Target="https://doi.org/10.1111/j.1469-7580.2012.01564.x" TargetMode="External" /><Relationship Type="http://schemas.openxmlformats.org/officeDocument/2006/relationships/hyperlink" Id="rId81" Target="https://doi.org/10.1111/j.2517-6161.1995.tb02031.x" TargetMode="External" /><Relationship Type="http://schemas.openxmlformats.org/officeDocument/2006/relationships/hyperlink" Id="rId99" Target="https://doi.org/10.1111/joa.12924" TargetMode="External" /><Relationship Type="http://schemas.openxmlformats.org/officeDocument/2006/relationships/hyperlink" Id="rId121" Target="https://doi.org/10.1111/joa.13857" TargetMode="External" /><Relationship Type="http://schemas.openxmlformats.org/officeDocument/2006/relationships/hyperlink" Id="rId79" Target="https://doi.org/10.1115/1.1894148" TargetMode="External" /><Relationship Type="http://schemas.openxmlformats.org/officeDocument/2006/relationships/hyperlink" Id="rId87" Target="https://doi.org/10.1115/1.4049226" TargetMode="External" /><Relationship Type="http://schemas.openxmlformats.org/officeDocument/2006/relationships/hyperlink" Id="rId97" Target="https://doi.org/10.1179/106698108790818639" TargetMode="External" /><Relationship Type="http://schemas.openxmlformats.org/officeDocument/2006/relationships/hyperlink" Id="rId89" Target="https://doi.org/10.1201/9780429246593" TargetMode="External" /><Relationship Type="http://schemas.openxmlformats.org/officeDocument/2006/relationships/hyperlink" Id="rId133" Target="https://doi.org/10.2307/3001968" TargetMode="External" /><Relationship Type="http://schemas.openxmlformats.org/officeDocument/2006/relationships/hyperlink" Id="rId85" Target="https://doi.org/10.3368/jhr.50.2.317" TargetMode="External" /><Relationship Type="http://schemas.openxmlformats.org/officeDocument/2006/relationships/hyperlink" Id="rId77" Target="https://doi.org/10.5281/zenodo.15189761"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ar.23549" TargetMode="External" /><Relationship Type="http://schemas.openxmlformats.org/officeDocument/2006/relationships/hyperlink" Id="rId91" Target="https://doi.org/10.1002/cnm.70171" TargetMode="External" /><Relationship Type="http://schemas.openxmlformats.org/officeDocument/2006/relationships/hyperlink" Id="rId105" Target="https://doi.org/10.1007/s11517-025-03396-w" TargetMode="External" /><Relationship Type="http://schemas.openxmlformats.org/officeDocument/2006/relationships/hyperlink" Id="rId129" Target="https://doi.org/10.1007/s11548-022-02806-w" TargetMode="External" /><Relationship Type="http://schemas.openxmlformats.org/officeDocument/2006/relationships/hyperlink" Id="rId117" Target="https://doi.org/10.1007/s12565-019-00513-2" TargetMode="External" /><Relationship Type="http://schemas.openxmlformats.org/officeDocument/2006/relationships/hyperlink" Id="rId123" Target="https://doi.org/10.1007/s13534-024-00382-3" TargetMode="External" /><Relationship Type="http://schemas.openxmlformats.org/officeDocument/2006/relationships/hyperlink" Id="rId113" Target="https://doi.org/10.1016/0021-9290(94)90056-6" TargetMode="External" /><Relationship Type="http://schemas.openxmlformats.org/officeDocument/2006/relationships/hyperlink" Id="rId125" Target="https://doi.org/10.1016/0268-0033(93)90002-Y" TargetMode="External" /><Relationship Type="http://schemas.openxmlformats.org/officeDocument/2006/relationships/hyperlink" Id="rId115" Target="https://doi.org/10.1016/0304-4076(85)90158-7" TargetMode="External" /><Relationship Type="http://schemas.openxmlformats.org/officeDocument/2006/relationships/hyperlink" Id="rId119" Target="https://doi.org/10.1016/j.ajog.2019.06.043" TargetMode="External" /><Relationship Type="http://schemas.openxmlformats.org/officeDocument/2006/relationships/hyperlink" Id="rId101" Target="https://doi.org/10.1016/j.spinee.2013.03.050" TargetMode="External" /><Relationship Type="http://schemas.openxmlformats.org/officeDocument/2006/relationships/hyperlink" Id="rId83" Target="https://doi.org/10.1017/CBO9780511755446" TargetMode="External" /><Relationship Type="http://schemas.openxmlformats.org/officeDocument/2006/relationships/hyperlink" Id="rId103" Target="https://doi.org/10.1038/s41597-025-05161-y" TargetMode="External" /><Relationship Type="http://schemas.openxmlformats.org/officeDocument/2006/relationships/hyperlink" Id="rId93" Target="https://doi.org/10.1073/pnas.1420325112" TargetMode="External" /><Relationship Type="http://schemas.openxmlformats.org/officeDocument/2006/relationships/hyperlink" Id="rId107" Target="https://doi.org/10.1073/pnas.1517085113" TargetMode="External" /><Relationship Type="http://schemas.openxmlformats.org/officeDocument/2006/relationships/hyperlink" Id="rId127" Target="https://doi.org/10.1073/pnas.2022159118" TargetMode="External" /><Relationship Type="http://schemas.openxmlformats.org/officeDocument/2006/relationships/hyperlink" Id="rId109" Target="https://doi.org/10.1097/brs.0000000000002623" TargetMode="External" /><Relationship Type="http://schemas.openxmlformats.org/officeDocument/2006/relationships/hyperlink" Id="rId111" Target="https://doi.org/10.1107/S0567739476001873" TargetMode="External" /><Relationship Type="http://schemas.openxmlformats.org/officeDocument/2006/relationships/hyperlink" Id="rId131" Target="https://doi.org/10.1111/j.1469-7580.2012.01564.x" TargetMode="External" /><Relationship Type="http://schemas.openxmlformats.org/officeDocument/2006/relationships/hyperlink" Id="rId81" Target="https://doi.org/10.1111/j.2517-6161.1995.tb02031.x" TargetMode="External" /><Relationship Type="http://schemas.openxmlformats.org/officeDocument/2006/relationships/hyperlink" Id="rId99" Target="https://doi.org/10.1111/joa.12924" TargetMode="External" /><Relationship Type="http://schemas.openxmlformats.org/officeDocument/2006/relationships/hyperlink" Id="rId121" Target="https://doi.org/10.1111/joa.13857" TargetMode="External" /><Relationship Type="http://schemas.openxmlformats.org/officeDocument/2006/relationships/hyperlink" Id="rId79" Target="https://doi.org/10.1115/1.1894148" TargetMode="External" /><Relationship Type="http://schemas.openxmlformats.org/officeDocument/2006/relationships/hyperlink" Id="rId87" Target="https://doi.org/10.1115/1.4049226" TargetMode="External" /><Relationship Type="http://schemas.openxmlformats.org/officeDocument/2006/relationships/hyperlink" Id="rId97" Target="https://doi.org/10.1179/106698108790818639" TargetMode="External" /><Relationship Type="http://schemas.openxmlformats.org/officeDocument/2006/relationships/hyperlink" Id="rId89" Target="https://doi.org/10.1201/9780429246593" TargetMode="External" /><Relationship Type="http://schemas.openxmlformats.org/officeDocument/2006/relationships/hyperlink" Id="rId133" Target="https://doi.org/10.2307/3001968" TargetMode="External" /><Relationship Type="http://schemas.openxmlformats.org/officeDocument/2006/relationships/hyperlink" Id="rId85" Target="https://doi.org/10.3368/jhr.50.2.317" TargetMode="External" /><Relationship Type="http://schemas.openxmlformats.org/officeDocument/2006/relationships/hyperlink" Id="rId77" Target="https://doi.org/10.5281/zenodo.151897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Anatomical scale and architecture organize load-dependent sacroiliac motion</dc:title>
  <dc:creator>Petr Henyš^{1,*}, Niels Hammer^{2} ^{1}Institute of New Technologies and Applied Informatics, Faculty of Mechatronics, Informatics and Interdisciplinary Studies, Technical University of Liberec, Studentská 1402/2, 461 17 Liberec, Czech Republic ^{2}Division of Macroscopic and Clinical Anatomy, Gottfried Schatz Research Center, Medical University of Graz, Auenbruggerplatz 25, 8036 Graz, Austria ^{*}Corresponding author: Petr Henyš (petr.henys@tul.cz)</dc:creator>
  <cp:keywords/>
  <dcterms:created xsi:type="dcterms:W3CDTF">2026-09-23T11:40:47Z</dcterms:created>
  <dcterms:modified xsi:type="dcterms:W3CDTF">2026-09-23T11:40:47Z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/mnt/pracovni/Active_projects/Obstretrical_dillema/manuscripts/paper_JAnat_SIJ_micromotion/bib/refs.bib</vt:lpwstr>
  </property>
  <property fmtid="{D5CDD505-2E9C-101B-9397-08002B2CF9AE}" pid="3" name="date">
    <vt:lpwstr/>
  </property>
</Properties>
</file>