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4.png" ContentType="image/png"/>
  <Override PartName="/word/media/rId79.png" ContentType="image/png"/>
  <Override PartName="/word/media/rId33.png" ContentType="image/png"/>
  <Override PartName="/word/media/rId73.png" ContentType="image/png"/>
  <Override PartName="/word/media/rId31.png" ContentType="image/png"/>
  <Override PartName="/word/media/rId50.png" ContentType="image/png"/>
  <Override PartName="/word/media/rId69.png" ContentType="image/png"/>
  <Override PartName="/word/media/rId26.png" ContentType="image/png"/>
  <Override PartName="/word/media/rId28.png" ContentType="image/png"/>
  <Override PartName="/word/media/rId3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Mechanical function of the human pelvis is preserved across anatomical variability by stable and clustered deformation pathways</w:t>
      </w:r>
    </w:p>
    <w:p>
      <w:pPr>
        <w:pStyle w:val="BodyText"/>
      </w:pPr>
      <w:r>
        <w:t xml:space="preserve">Petr Henyš</w:t>
      </w:r>
      <m:oMath>
        <m:sSup>
          <m:e>
            <m:r>
              <m:t>​</m:t>
            </m:r>
          </m:e>
          <m:sup>
            <m:r>
              <m:t>1</m:t>
            </m:r>
            <m:r>
              <m:rPr>
                <m:sty m:val="p"/>
              </m:rPr>
              <m:t>,</m:t>
            </m:r>
            <m:r>
              <m:t>2</m:t>
            </m:r>
          </m:sup>
        </m:sSup>
      </m:oMath>
      <w:r>
        <w:t xml:space="preserve">, Niels Hammer</w:t>
      </w:r>
      <m:oMath>
        <m:sSup>
          <m:e>
            <m:r>
              <m:t>​</m:t>
            </m:r>
          </m:e>
          <m:sup>
            <m:r>
              <m:t>2</m:t>
            </m:r>
            <m:r>
              <m:rPr>
                <m:sty m:val="p"/>
              </m:rPr>
              <m:t>,</m:t>
            </m:r>
            <m:r>
              <m:rPr>
                <m:sty m:val="p"/>
              </m:rPr>
              <m:t>*</m:t>
            </m:r>
          </m:sup>
        </m:sSup>
      </m:oMath>
    </w:p>
    <w:p>
      <w:pPr>
        <w:pStyle w:val="BodyText"/>
      </w:pPr>
      <m:oMath>
        <m:sSup>
          <m:e>
            <m:r>
              <m:t>​</m:t>
            </m:r>
          </m:e>
          <m:sup>
            <m:r>
              <m:t>1</m:t>
            </m:r>
          </m:sup>
        </m:sSup>
      </m:oMath>
      <w:r>
        <w:t xml:space="preserve">Institute of New Technologies and Applied Informatics, Faculty of Mechatronics, Informatics and Interdisciplinary Studies, Technical University of Liberec, Liberec, Czech Republic</w:t>
      </w:r>
    </w:p>
    <w:p>
      <w:pPr>
        <w:pStyle w:val="BodyText"/>
      </w:pPr>
      <m:oMath>
        <m:sSup>
          <m:e>
            <m:r>
              <m:t>​</m:t>
            </m:r>
          </m:e>
          <m:sup>
            <m:r>
              <m:t>2</m:t>
            </m:r>
          </m:sup>
        </m:sSup>
      </m:oMath>
      <w:r>
        <w:t xml:space="preserve">Division of Macroscopic and Clinical Anatomy, Gottfried Schatz Research Center, Medical University of Graz, Graz, Austria</w:t>
      </w:r>
    </w:p>
    <w:p>
      <w:pPr>
        <w:pStyle w:val="BodyText"/>
      </w:pPr>
      <m:oMath>
        <m:sSup>
          <m:e>
            <m:r>
              <m:t>​</m:t>
            </m:r>
          </m:e>
          <m:sup>
            <m:r>
              <m:rPr>
                <m:sty m:val="p"/>
              </m:rPr>
              <m:t>*</m:t>
            </m:r>
          </m:sup>
        </m:sSup>
      </m:oMath>
      <w:r>
        <w:t xml:space="preserve">Corresponding author</w:t>
      </w:r>
    </w:p>
    <w:p>
      <w:pPr>
        <w:pStyle w:val="BodyText"/>
      </w:pPr>
      <w:r>
        <w:t xml:space="preserve">E-mail:</w:t>
      </w:r>
      <w:r>
        <w:t xml:space="preserve"> </w:t>
      </w:r>
      <w:hyperlink r:id="rId20">
        <w:r>
          <w:rPr>
            <w:rStyle w:val="Hyperlink"/>
          </w:rPr>
          <w:t xml:space="preserve">niels.hammer@medunigraz.at</w:t>
        </w:r>
      </w:hyperlink>
      <w:r>
        <w:t xml:space="preserve"> </w:t>
      </w:r>
      <w:r>
        <w:t xml:space="preserve">(NH)</w:t>
      </w:r>
    </w:p>
    <w:p>
      <w:pPr>
        <w:pStyle w:val="BodyText"/>
      </w:pPr>
      <w:r>
        <w:rPr>
          <w:bCs/>
          <w:b/>
        </w:rPr>
        <w:t xml:space="preserve">Short title:</w:t>
      </w:r>
      <w:r>
        <w:t xml:space="preserve"> </w:t>
      </w:r>
      <w:r>
        <w:t xml:space="preserve">Pelvic function across anatomical variability</w:t>
      </w:r>
    </w:p>
    <w:bookmarkStart w:id="21" w:name="abstract"/>
    <w:p>
      <w:pPr>
        <w:pStyle w:val="Heading1"/>
      </w:pPr>
      <w:r>
        <w:t xml:space="preserve">Abstract</w:t>
      </w:r>
    </w:p>
    <w:p>
      <w:pPr>
        <w:pStyle w:val="FirstParagraph"/>
      </w:pPr>
      <w:r>
        <w:t xml:space="preserve">Human pelvic function must be maintained across marked variation in ring geometry, inlet and outlet dimensions, and bone architecture.</w:t>
      </w:r>
      <w:r>
        <w:t xml:space="preserve"> </w:t>
      </w:r>
      <w:r>
        <w:t xml:space="preserve">Yet population biomechanics commonly compares ranked deformation pathways as if the same spectral label carried the same biological meaning in every individual.</w:t>
      </w:r>
      <w:r>
        <w:t xml:space="preserve"> </w:t>
      </w:r>
      <w:r>
        <w:t xml:space="preserve">Here we use the human pelvis to ask whether key mechanical functions remain attached to individually stable pathways or are preserved only within small recurrent groups of interchangeable pathways.</w:t>
      </w:r>
      <w:r>
        <w:t xml:space="preserve"> </w:t>
      </w:r>
      <w:r>
        <w:t xml:space="preserve">We analyse the linearised stiffness spectrum of</w:t>
      </w:r>
      <w:r>
        <w:t xml:space="preserve"> </w:t>
      </w:r>
      <m:oMath>
        <m:r>
          <m:t>N</m:t>
        </m:r>
        <m:r>
          <m:rPr>
            <m:sty m:val="p"/>
          </m:rPr>
          <m:t>=</m:t>
        </m:r>
        <m:r>
          <m:t>278</m:t>
        </m:r>
      </m:oMath>
      <w:r>
        <w:t xml:space="preserve"> </w:t>
      </w:r>
      <w:r>
        <w:t xml:space="preserve">subject-specific finite-element models assembled on a shared reference domain with individual bony geometry and CT-derived bone elasticity.</w:t>
      </w:r>
      <w:r>
        <w:t xml:space="preserve"> </w:t>
      </w:r>
      <w:r>
        <w:t xml:space="preserve">Across the cohort, pelvic mechanics separates into two regimes.</w:t>
      </w:r>
      <w:r>
        <w:t xml:space="preserve"> </w:t>
      </w:r>
      <w:r>
        <w:t xml:space="preserve">Modes 1–3 form a gap-protected low-rank</w:t>
      </w:r>
      <w:r>
        <w:t xml:space="preserve"> </w:t>
      </w:r>
      <w:r>
        <w:rPr>
          <w:iCs/>
          <w:i/>
        </w:rPr>
        <w:t xml:space="preserve">backbone</w:t>
      </w:r>
      <w:r>
        <w:t xml:space="preserve"> </w:t>
      </w:r>
      <w:r>
        <w:t xml:space="preserve">that rarely reorders across subjects (</w:t>
      </w:r>
      <m:oMath>
        <m:r>
          <m:rPr>
            <m:sty m:val="p"/>
          </m:rPr>
          <m:t>&lt;</m:t>
        </m:r>
        <m:r>
          <m:t>0.4</m:t>
        </m:r>
        <m:r>
          <m:rPr>
            <m:sty m:val="p"/>
          </m:rPr>
          <m:t>%</m:t>
        </m:r>
      </m:oMath>
      <w:r>
        <w:t xml:space="preserve"> </w:t>
      </w:r>
      <w:r>
        <w:t xml:space="preserve">swap rate) and dominates standing loads.</w:t>
      </w:r>
      <w:r>
        <w:t xml:space="preserve"> </w:t>
      </w:r>
      <w:r>
        <w:t xml:space="preserve">Higher ranks contain recurrent</w:t>
      </w:r>
      <w:r>
        <w:t xml:space="preserve"> </w:t>
      </w:r>
      <w:r>
        <w:rPr>
          <w:iCs/>
          <w:i/>
        </w:rPr>
        <w:t xml:space="preserve">clustered</w:t>
      </w:r>
      <w:r>
        <w:t xml:space="preserve"> </w:t>
      </w:r>
      <w:r>
        <w:t xml:space="preserve">regions, most prominently an inlet-related 9–10 block present in 54.7% of subjects.</w:t>
      </w:r>
      <w:r>
        <w:t xml:space="preserve"> </w:t>
      </w:r>
      <w:r>
        <w:t xml:space="preserve">Within that block, anterior–posterior inlet coupling shifts between rank labels 9 and 10 when the labels exchange, yet remains substantial in their shared two-dimensional subspace and is strongly recruited under parturition-motivated proxy loading.</w:t>
      </w:r>
      <w:r>
        <w:t xml:space="preserve"> </w:t>
      </w:r>
      <w:r>
        <w:t xml:space="preserve">An outlet-related 5–6 block and a mixed 12–15 block show that clustered behaviour can preserve either a distinct anatomical program or a broader higher-order reserve.</w:t>
      </w:r>
      <w:r>
        <w:t xml:space="preserve"> </w:t>
      </w:r>
      <w:r>
        <w:t xml:space="preserve">These results indicate that pelvic mechanical function is organised across spectral scales: some functions remain tied to stable low-rank pathways, whereas others are preserved only within the smallest recurrent function-preserving subspace.</w:t>
      </w:r>
      <w:r>
        <w:t xml:space="preserve"> </w:t>
      </w:r>
      <w:r>
        <w:t xml:space="preserve">More generally, the analysis provides a way to identify how biological mechanical function is maintained in anatomically variable structures without assuming one-to-one preservation of spectral labels.</w:t>
      </w:r>
    </w:p>
    <w:bookmarkEnd w:id="21"/>
    <w:bookmarkStart w:id="22" w:name="author-summary"/>
    <w:p>
      <w:pPr>
        <w:pStyle w:val="Heading1"/>
      </w:pPr>
      <w:r>
        <w:t xml:space="preserve">Author summary</w:t>
      </w:r>
    </w:p>
    <w:p>
      <w:pPr>
        <w:pStyle w:val="FirstParagraph"/>
      </w:pPr>
      <w:r>
        <w:t xml:space="preserve">People differ substantially in pelvic shape and bone structure, yet the pelvis still has to perform the same basic mechanical tasks.</w:t>
      </w:r>
      <w:r>
        <w:t xml:space="preserve"> </w:t>
      </w:r>
      <w:r>
        <w:t xml:space="preserve">We asked whether those tasks are carried by one fixed deformation pattern in every person or by a small set of similar patterns that can substitute for one another.</w:t>
      </w:r>
      <w:r>
        <w:t xml:space="preserve"> </w:t>
      </w:r>
      <w:r>
        <w:t xml:space="preserve">Using finite-element models of 278 pelves, we compared how deformation patterns are organised across the population.</w:t>
      </w:r>
      <w:r>
        <w:t xml:space="preserve"> </w:t>
      </w:r>
      <w:r>
        <w:t xml:space="preserve">We found that everyday load transfer relies on a small low-rank backbone shared across subjects.</w:t>
      </w:r>
      <w:r>
        <w:t xml:space="preserve"> </w:t>
      </w:r>
      <w:r>
        <w:t xml:space="preserve">In contrast, some higher-order functions, including opening of the pelvic inlet, are not tied to one fixed deformation pattern.</w:t>
      </w:r>
      <w:r>
        <w:t xml:space="preserve"> </w:t>
      </w:r>
      <w:r>
        <w:t xml:space="preserve">Instead, they are preserved within a small group of nearby patterns, even when the individual labels inside that group change order between subjects.</w:t>
      </w:r>
      <w:r>
        <w:t xml:space="preserve"> </w:t>
      </w:r>
      <w:r>
        <w:t xml:space="preserve">This matters because it changes how mechanically variable anatomies should be compared: some functions can be studied mode-by-mode, whereas others are described more faithfully at the level of a small subspace.</w:t>
      </w:r>
      <w:r>
        <w:t xml:space="preserve"> </w:t>
      </w:r>
      <w:r>
        <w:t xml:space="preserve">The same logic may help identify robust mechanical function in other biologically variable structures.</w:t>
      </w:r>
    </w:p>
    <w:bookmarkEnd w:id="22"/>
    <w:bookmarkStart w:id="23" w:name="introduction"/>
    <w:p>
      <w:pPr>
        <w:pStyle w:val="Heading1"/>
      </w:pPr>
      <w:r>
        <w:t xml:space="preserve">Introduction</w:t>
      </w:r>
    </w:p>
    <w:p>
      <w:pPr>
        <w:pStyle w:val="FirstParagraph"/>
      </w:pPr>
      <w:r>
        <w:t xml:space="preserve">Biological structures must maintain function across individuals that differ in size, shape, and tissue composition.</w:t>
      </w:r>
      <w:r>
        <w:t xml:space="preserve"> </w:t>
      </w:r>
      <w:r>
        <w:t xml:space="preserve">In load-bearing anatomy, that problem is especially clear because the same biological tasks must be met despite substantial variation in geometry and material distribution.</w:t>
      </w:r>
      <w:r>
        <w:t xml:space="preserve"> </w:t>
      </w:r>
      <w:r>
        <w:t xml:space="preserve">The human pelvis exemplifies this challenge.</w:t>
      </w:r>
      <w:r>
        <w:t xml:space="preserve"> </w:t>
      </w:r>
      <w:r>
        <w:t xml:space="preserve">It must transfer habitual loads between spine and lower limbs while also accommodating variation in inlet and outlet dimensions that is central to locomotor and reproductive biology [1-4].</w:t>
      </w:r>
      <w:r>
        <w:t xml:space="preserve"> </w:t>
      </w:r>
      <w:r>
        <w:t xml:space="preserve">A central computational question is therefore how pelvic mechanical function remains reliable across anatomically variable individuals.</w:t>
      </w:r>
    </w:p>
    <w:p>
      <w:pPr>
        <w:pStyle w:val="BodyText"/>
      </w:pPr>
      <w:r>
        <w:t xml:space="preserve">Robustness in biology is defined by maintenance of function under perturbation rather than rigid preservation of every internal component [5-7].</w:t>
      </w:r>
      <w:r>
        <w:t xml:space="preserve"> </w:t>
      </w:r>
      <w:r>
        <w:t xml:space="preserve">Degeneracy extends this idea by allowing different internal pathways to support overlapping functions in some contexts while differing in others [8-9].</w:t>
      </w:r>
      <w:r>
        <w:t xml:space="preserve"> </w:t>
      </w:r>
      <w:r>
        <w:t xml:space="preserve">For mechanics, this means that transmitting load, opening a cavity, or resisting shear need not rely on exactly the same internal deformation pathway in every individual.</w:t>
      </w:r>
      <w:r>
        <w:t xml:space="preserve"> </w:t>
      </w:r>
      <w:r>
        <w:t xml:space="preserve">Different pelves may realise a shared function through slightly different low-cost deformation patterns, much as a common motor task can be achieved through a limited but non-unique set of muscle-activation patterns [10].</w:t>
      </w:r>
    </w:p>
    <w:p>
      <w:pPr>
        <w:pStyle w:val="BodyText"/>
      </w:pPr>
      <w:r>
        <w:t xml:space="preserve">Population-scale computational biomechanics has difficulty resolving this issue because it often treats ranked deformation pathways as if their indices were biologically stable across subjects.</w:t>
      </w:r>
      <w:r>
        <w:t xml:space="preserve"> </w:t>
      </w:r>
      <w:r>
        <w:t xml:space="preserve">That assumption conflates three different objects: anatomical coordinates that describe shape, mechanical deformation pathways that describe how a structure can move, and spectral order that ranks those pathways by stiffness.</w:t>
      </w:r>
      <w:r>
        <w:t xml:space="preserve"> </w:t>
      </w:r>
      <w:r>
        <w:t xml:space="preserve">These layers need not vary together.</w:t>
      </w:r>
      <w:r>
        <w:t xml:space="preserve"> </w:t>
      </w:r>
      <w:r>
        <w:t xml:space="preserve">In the generalised eigenproblem of linearised elasticity, rank order is meaningful only while neighbouring eigenvalues remain sufficiently separated.</w:t>
      </w:r>
      <w:r>
        <w:t xml:space="preserve"> </w:t>
      </w:r>
      <w:r>
        <w:t xml:space="preserve">When neighbouring eigenvalues approach one another, small perturbations can rotate eigenvectors, exchange labels, and generate veering-like behaviour even when the mechanically relevant span remains intact [11-12].</w:t>
      </w:r>
      <w:r>
        <w:t xml:space="preserve"> </w:t>
      </w:r>
      <w:r>
        <w:t xml:space="preserve">In that setting, the stable object is often the</w:t>
      </w:r>
      <w:r>
        <w:t xml:space="preserve"> </w:t>
      </w:r>
      <w:r>
        <w:rPr>
          <w:iCs/>
          <w:i/>
        </w:rPr>
        <w:t xml:space="preserve">invariant subspace</w:t>
      </w:r>
      <w:r>
        <w:t xml:space="preserve"> </w:t>
      </w:r>
      <w:r>
        <w:t xml:space="preserve">rather than any individual eigenvector [13].</w:t>
      </w:r>
      <w:r>
        <w:t xml:space="preserve"> </w:t>
      </w:r>
      <w:r>
        <w:t xml:space="preserve">Comparable spectral behaviour is well known in engineered systems [14-15], but its biological meaning at population scale remains unclear.</w:t>
      </w:r>
    </w:p>
    <w:p>
      <w:pPr>
        <w:pStyle w:val="BodyText"/>
      </w:pPr>
      <w:r>
        <w:t xml:space="preserve">Translated back to biology, the key question is not whether every subject can be forced into one universal rank catalogue.</w:t>
      </w:r>
      <w:r>
        <w:t xml:space="preserve"> </w:t>
      </w:r>
      <w:r>
        <w:t xml:space="preserve">It is whether a function remains attached to an individually stable pathway or is preserved only within a small recurrent family of nearby pathways.</w:t>
      </w:r>
      <w:r>
        <w:t xml:space="preserve"> </w:t>
      </w:r>
      <w:r>
        <w:t xml:space="preserve">Not every invariant subspace is biologically informative: the full modal space is trivially invariant, while arbitrarily large blocks dilute functional specificity.</w:t>
      </w:r>
      <w:r>
        <w:t xml:space="preserve"> </w:t>
      </w:r>
      <w:r>
        <w:t xml:space="preserve">The relevant unit is the smallest recurrent function-preserving subspace, namely the smallest externally separated block that preserves a targeted function across subjects.</w:t>
      </w:r>
      <w:r>
        <w:t xml:space="preserve"> </w:t>
      </w:r>
      <w:r>
        <w:t xml:space="preserve">At that scale, robustness and degeneracy can be studied without losing anatomical interpretability.</w:t>
      </w:r>
    </w:p>
    <w:p>
      <w:pPr>
        <w:pStyle w:val="BodyText"/>
      </w:pPr>
      <w:r>
        <w:t xml:space="preserve">The pelvis provides a biologically meaningful testbed for this question rather than a merely convenient finite-element system.</w:t>
      </w:r>
      <w:r>
        <w:t xml:space="preserve"> </w:t>
      </w:r>
      <w:r>
        <w:t xml:space="preserve">Its gross deformation programs are anatomically interpretable because joint geometry, cartilage, and ligamentous restraints strongly constrain how the ring can move [16-18].</w:t>
      </w:r>
      <w:r>
        <w:t xml:space="preserve"> </w:t>
      </w:r>
      <w:r>
        <w:t xml:space="preserve">Previous work has used modal finite-element analysis in pelvic and lower-trunk systems [19-20], and population pelvic anatomy has been summarised through statistical shape models and related representations [4].</w:t>
      </w:r>
      <w:r>
        <w:t xml:space="preserve"> </w:t>
      </w:r>
      <w:r>
        <w:t xml:space="preserve">What remains missing is a population-scale method that links anatomical variability to mechanical function while keeping distinct the three layers of shape, pathway identity, and spectral rank.</w:t>
      </w:r>
    </w:p>
    <w:p>
      <w:pPr>
        <w:pStyle w:val="BodyText"/>
      </w:pPr>
      <w:r>
        <w:t xml:space="preserve">We therefore ask: under subject-specific bony shape and bone elasticity, which pelvic mechanical functions remain carried by individually stable pathways, and which are preserved only within small recurrent clusters of interchangeable pathways?</w:t>
      </w:r>
      <w:r>
        <w:t xml:space="preserve"> </w:t>
      </w:r>
      <w:r>
        <w:t xml:space="preserve">To answer this, we analyse the linearised stiffness spectrum of 278 subject-specific pelvic models on a shared reference domain.</w:t>
      </w:r>
      <w:r>
        <w:t xml:space="preserve"> </w:t>
      </w:r>
      <w:r>
        <w:t xml:space="preserve">The linear spectrum is used here as a description of the mechanically available deformation repertoire before a particular task is imposed, not as a simulation of contact-rich childbirth.</w:t>
      </w:r>
      <w:r>
        <w:t xml:space="preserve"> </w:t>
      </w:r>
      <w:r>
        <w:t xml:space="preserve">The parturition-motivated load cases are comparative probes of routing [21-22], and the analysis remains explicitly linear.</w:t>
      </w:r>
      <w:r>
        <w:t xml:space="preserve"> </w:t>
      </w:r>
      <w:r>
        <w:t xml:space="preserve">Across the cohort, we find a gap-protected low-rank backbone that dominates standing loads, recurrent higher-rank clustered regimes in which function can shift between labels without being lost, and clear evidence that the biologically interpretable unit changes from individual mode to compact subspace when spectral gaps collapse.</w:t>
      </w:r>
    </w:p>
    <w:bookmarkEnd w:id="23"/>
    <w:bookmarkStart w:id="38" w:name="results"/>
    <w:p>
      <w:pPr>
        <w:pStyle w:val="Heading1"/>
      </w:pPr>
      <w:r>
        <w:t xml:space="preserve">Results</w:t>
      </w:r>
    </w:p>
    <w:bookmarkStart w:id="25" w:name="Xa32f2478b3e3a284301d26cb7ce98addea02adb"/>
    <w:p>
      <w:pPr>
        <w:pStyle w:val="Heading2"/>
      </w:pPr>
      <w:r>
        <w:t xml:space="preserve">Interpretable deformation pathways preview two distinct organisational scales</w:t>
      </w:r>
    </w:p>
    <w:p>
      <w:pPr>
        <w:pStyle w:val="FirstParagraph"/>
      </w:pPr>
      <w:r>
        <w:t xml:space="preserve">Before turning to cohort statistics, we asked whether the low-order deformation repertoire already reveals where mechanical meaning is stably localised and where it is likely to be preserved only at the level of a small clustered family.</w:t>
      </w:r>
      <w:r>
        <w:t xml:space="preserve"> </w:t>
      </w:r>
      <w:r>
        <w:t xml:space="preserve">Figure 1 shows the median deformation patterns for the first fifteen modes in anterior–posterior view.</w:t>
      </w:r>
      <w:r>
        <w:t xml:space="preserve"> </w:t>
      </w:r>
      <w:r>
        <w:t xml:space="preserve">The visualisation immediately suggests a contrast between a compact low-rank program and a richer, more fragile higher-rank repertoire.</w:t>
      </w:r>
    </w:p>
    <w:p>
      <w:pPr>
        <w:pStyle w:val="BodyText"/>
      </w:pPr>
      <w:r>
        <w:t xml:space="preserve">Modes 1–3 form the clearest low-rank program.</w:t>
      </w:r>
      <w:r>
        <w:t xml:space="preserve"> </w:t>
      </w:r>
      <w:r>
        <w:t xml:space="preserve">They correspond to the three dominant rotational compliance pathways of the ring: torsion about the craniocaudal axis, sagittal nutation/counternutation about the mediolateral axis, and lateral obliquity about the anteroposterior axis.</w:t>
      </w:r>
      <w:r>
        <w:t xml:space="preserve"> </w:t>
      </w:r>
      <w:r>
        <w:t xml:space="preserve">These are not rigid-body modes in the strict mathematical sense, but they behave as an interpretable low-rank backbone that, as shown below, routes standing-type loads.</w:t>
      </w:r>
    </w:p>
    <w:p>
      <w:pPr>
        <w:pStyle w:val="BodyText"/>
      </w:pPr>
      <w:r>
        <w:t xml:space="preserve">Higher modes raise a different biological question: whether a mechanically interpretable function remains tied to one label or only to a compact family.</w:t>
      </w:r>
      <w:r>
        <w:t xml:space="preserve"> </w:t>
      </w:r>
      <w:r>
        <w:t xml:space="preserve">The most important case is the 9–10 pair.</w:t>
      </w:r>
      <w:r>
        <w:t xml:space="preserve"> </w:t>
      </w:r>
      <w:r>
        <w:t xml:space="preserve">Mode 9 typically exhibits an inlet-opening deformation in which the pubic symphysis and the sacral promontory move apart, widening the pelvic ring.</w:t>
      </w:r>
      <w:r>
        <w:t xml:space="preserve"> </w:t>
      </w:r>
      <w:r>
        <w:t xml:space="preserve">Mode 10 is a near-degenerate partner with an asymmetric field concentrated around the pubic region.</w:t>
      </w:r>
      <w:r>
        <w:t xml:space="preserve"> </w:t>
      </w:r>
      <w:r>
        <w:t xml:space="preserve">Their close spacing already suggests that inlet-related behaviour may not be consistently attached to one fixed rank label across subjects, even if it remains preserved within the two-dimensional span they share.</w:t>
      </w:r>
      <w:r>
        <w:t xml:space="preserve"> </w:t>
      </w:r>
      <w:r>
        <w:t xml:space="preserve">For this region of the spectrum, the pair is therefore a more reliable biological interpretive unit than either label alone.</w:t>
      </w:r>
    </w:p>
    <w:p>
      <w:pPr>
        <w:pStyle w:val="CaptionedFigure"/>
      </w:pPr>
      <w:r>
        <w:drawing>
          <wp:inline>
            <wp:extent cx="5334000" cy="8889999"/>
            <wp:effectExtent b="0" l="0" r="0" t="0"/>
            <wp:docPr descr="Figure 1. Interpretable deformation pathways preview the spectrum’s two organisational scales. Median displacement fields are shown in anterior–posterior view. Modes 1–3 define an order-locked low-rank rotational backbone (craniocaudal torsion, mediolateral nutation, anteroposterior obliquity). Modes 9–10 preview a compact clustered proof case in which inlet-related function is preserved at the block level rather than by a fixed rank label." title="" id="1" name="Picture"/>
            <a:graphic>
              <a:graphicData uri="http://schemas.openxmlformats.org/drawingml/2006/picture">
                <pic:pic>
                  <pic:nvPicPr>
                    <pic:cNvPr descr="/mnt/pracovni/Active_projects/Obstretrical_dillema/results/ref_S1P_fixed_new2/modes_visualisation/modes_median_AP.png" id="0" name="Picture"/>
                    <pic:cNvPicPr>
                      <a:picLocks noChangeArrowheads="1" noChangeAspect="1"/>
                    </pic:cNvPicPr>
                  </pic:nvPicPr>
                  <pic:blipFill>
                    <a:blip r:embed="rId24"/>
                    <a:stretch>
                      <a:fillRect/>
                    </a:stretch>
                  </pic:blipFill>
                  <pic:spPr bwMode="auto">
                    <a:xfrm>
                      <a:off x="0" y="0"/>
                      <a:ext cx="5334000" cy="8889999"/>
                    </a:xfrm>
                    <a:prstGeom prst="rect">
                      <a:avLst/>
                    </a:prstGeom>
                    <a:noFill/>
                    <a:ln w="9525">
                      <a:noFill/>
                      <a:headEnd/>
                      <a:tailEnd/>
                    </a:ln>
                  </pic:spPr>
                </pic:pic>
              </a:graphicData>
            </a:graphic>
          </wp:inline>
        </w:drawing>
      </w:r>
    </w:p>
    <w:p>
      <w:pPr>
        <w:pStyle w:val="ImageCaption"/>
      </w:pPr>
      <w:r>
        <w:t xml:space="preserve">Figure 1.</w:t>
      </w:r>
      <w:r>
        <w:t xml:space="preserve"> </w:t>
      </w:r>
      <w:r>
        <w:rPr>
          <w:bCs/>
          <w:b/>
        </w:rPr>
        <w:t xml:space="preserve">Interpretable deformation pathways preview the spectrum’s two organisational scales.</w:t>
      </w:r>
      <w:r>
        <w:t xml:space="preserve"> </w:t>
      </w:r>
      <w:r>
        <w:t xml:space="preserve">Median displacement fields are shown in anterior–posterior view.</w:t>
      </w:r>
      <w:r>
        <w:t xml:space="preserve"> </w:t>
      </w:r>
      <w:r>
        <w:t xml:space="preserve">Modes 1–3 define an order-locked low-rank rotational backbone (craniocaudal torsion, mediolateral nutation, anteroposterior obliquity).</w:t>
      </w:r>
      <w:r>
        <w:t xml:space="preserve"> </w:t>
      </w:r>
      <w:r>
        <w:t xml:space="preserve">Modes 9–10 preview a compact clustered proof case in which inlet-related function is preserved at the block level rather than by a fixed rank label.</w:t>
      </w:r>
    </w:p>
    <w:bookmarkEnd w:id="25"/>
    <w:bookmarkStart w:id="27" w:name="Xa8ae7ca94b51fa61c3a05bfa6f4ce2a1aec0eba"/>
    <w:p>
      <w:pPr>
        <w:pStyle w:val="Heading2"/>
      </w:pPr>
      <w:r>
        <w:t xml:space="preserve">Population variability separates an order-locked backbone from recurrent clustered regimes</w:t>
      </w:r>
    </w:p>
    <w:p>
      <w:pPr>
        <w:pStyle w:val="FirstParagraph"/>
      </w:pPr>
      <w:r>
        <w:t xml:space="preserve">The cohort of</w:t>
      </w:r>
      <w:r>
        <w:t xml:space="preserve"> </w:t>
      </w:r>
      <m:oMath>
        <m:r>
          <m:t>N</m:t>
        </m:r>
        <m:r>
          <m:rPr>
            <m:sty m:val="p"/>
          </m:rPr>
          <m:t>=</m:t>
        </m:r>
        <m:r>
          <m:t>278</m:t>
        </m:r>
      </m:oMath>
      <w:r>
        <w:t xml:space="preserve"> </w:t>
      </w:r>
      <w:r>
        <w:t xml:space="preserve">subjects resolves the spectrum into two regimes: an order-locked low-rank backbone and recurrent higher-rank clustered blocks (Fig. 2, Table 1).</w:t>
      </w:r>
      <w:r>
        <w:t xml:space="preserve"> </w:t>
      </w:r>
      <w:r>
        <w:t xml:space="preserve">Modes 1–3 are rarely reordered across the cohort (swap rate</w:t>
      </w:r>
      <w:r>
        <w:t xml:space="preserve"> </w:t>
      </w:r>
      <m:oMath>
        <m:r>
          <m:rPr>
            <m:sty m:val="p"/>
          </m:rPr>
          <m:t>&lt;</m:t>
        </m:r>
        <m:r>
          <m:t>0.4</m:t>
        </m:r>
        <m:r>
          <m:rPr>
            <m:sty m:val="p"/>
          </m:rPr>
          <m:t>%</m:t>
        </m:r>
      </m:oMath>
      <w:r>
        <w:t xml:space="preserve">), whereas higher ranks contain small consecutive gaps and frequent label exchange.</w:t>
      </w:r>
      <w:r>
        <w:t xml:space="preserve"> </w:t>
      </w:r>
      <w:r>
        <w:t xml:space="preserve">Using a data-driven cluster threshold</w:t>
      </w:r>
      <w:r>
        <w:t xml:space="preserve"> </w:t>
      </w:r>
      <m:oMath>
        <m:sSub>
          <m:e>
            <m:r>
              <m:t>ε</m:t>
            </m:r>
          </m:e>
          <m:sub>
            <m:r>
              <m:rPr>
                <m:sty m:val="p"/>
              </m:rPr>
              <m:t>i</m:t>
            </m:r>
            <m:r>
              <m:rPr>
                <m:sty m:val="p"/>
              </m:rPr>
              <m:t>n</m:t>
            </m:r>
          </m:sub>
        </m:sSub>
        <m:r>
          <m:rPr>
            <m:sty m:val="p"/>
          </m:rPr>
          <m:t>≈</m:t>
        </m:r>
        <m:r>
          <m:t>0.13</m:t>
        </m:r>
      </m:oMath>
      <w:r>
        <w:t xml:space="preserve"> </w:t>
      </w:r>
      <w:r>
        <w:t xml:space="preserve">(25th percentile of pooled relative consecutive gaps; see Methods), we detect nine near-degenerate rank clusters above a 3% prevalence floor.</w:t>
      </w:r>
      <w:r>
        <w:t xml:space="preserve"> </w:t>
      </w:r>
      <w:r>
        <w:t xml:space="preserve">The most prevalent cluster is rank modes 9–10 (54.7% of subjects), followed by rank modes 12–15 (41.7%) and rank modes 5–6 (33.8%).</w:t>
      </w:r>
      <w:r>
        <w:t xml:space="preserve"> </w:t>
      </w:r>
      <w:r>
        <w:t xml:space="preserve">No exact degeneracy is observed, as expected for a structure without continuous rotational symmetry.</w:t>
      </w:r>
    </w:p>
    <w:p>
      <w:pPr>
        <w:pStyle w:val="BodyText"/>
      </w:pPr>
      <w:r>
        <w:t xml:space="preserve">Anatomical variability does not destabilise the spectrum uniformly.</w:t>
      </w:r>
      <w:r>
        <w:t xml:space="preserve"> </w:t>
      </w:r>
      <w:r>
        <w:t xml:space="preserve">Label fragility is concentrated in a small number of compact families, while low-rank order is preserved.</w:t>
      </w:r>
      <w:r>
        <w:t xml:space="preserve"> </w:t>
      </w:r>
      <w:r>
        <w:t xml:space="preserve">For the dominant 9–10 and 12–15 clusters, median relative internal gaps are small enough that modest perturbations can reverse local ordering.</w:t>
      </w:r>
      <w:r>
        <w:t xml:space="preserve"> </w:t>
      </w:r>
      <w:r>
        <w:t xml:space="preserve">The clusters nevertheless remain externally separated from neighbouring modes, so they are best interpreted as compact clustered subspaces rather than as a global loss of spectral organisation.</w:t>
      </w:r>
      <w:r>
        <w:t xml:space="preserve"> </w:t>
      </w:r>
      <w:r>
        <w:t xml:space="preserve">This pattern is consistent with a pelvic system that preserves stable baseline load-transfer pathways while allowing selected higher-rank functions to vary within a limited local repertoire.</w:t>
      </w:r>
    </w:p>
    <w:p>
      <w:pPr>
        <w:pStyle w:val="BodyText"/>
      </w:pPr>
      <w:r>
        <w:t xml:space="preserve">Permutation statistics reinforce this interpretation.</w:t>
      </w:r>
      <w:r>
        <w:t xml:space="preserve"> </w:t>
      </w:r>
      <w:r>
        <w:t xml:space="preserve">Modes 12 and 13 exhibit the highest swap rates, and mode 15 also shows a sizeable unpaired fraction under strict cross-subject pairing, whereas the backbone is essentially fixed in its ordering.</w:t>
      </w:r>
      <w:r>
        <w:t xml:space="preserve"> </w:t>
      </w:r>
      <w:r>
        <w:t xml:space="preserve">For population computational biology the consequence is concrete: ordinary across-subject comparison is safe for the low-rank regime, but higher-rank comparison must accommodate mode mixing and label exchange.</w:t>
      </w:r>
    </w:p>
    <w:p>
      <w:pPr>
        <w:pStyle w:val="BodyText"/>
      </w:pPr>
      <w:r>
        <w:t xml:space="preserve">A variability decomposition into shape-only and material-only datasets (Fig. 2) shows that shape variability dominates the coefficient of variation for modes 1–8, whereas bone-density variability becomes more comparable in modes 9–15.</w:t>
      </w:r>
      <w:r>
        <w:t xml:space="preserve"> </w:t>
      </w:r>
      <w:r>
        <w:t xml:space="preserve">The combined variability exceeds either source alone, indicating that shape and density do not simply add independent noise.</w:t>
      </w:r>
      <w:r>
        <w:t xml:space="preserve"> </w:t>
      </w:r>
      <w:r>
        <w:t xml:space="preserve">Shape changes alter</w:t>
      </w:r>
      <w:r>
        <w:t xml:space="preserve"> </w:t>
      </w:r>
      <w:r>
        <w:rPr>
          <w:iCs/>
          <w:i/>
        </w:rPr>
        <w:t xml:space="preserve">how</w:t>
      </w:r>
      <w:r>
        <w:t xml:space="preserve"> </w:t>
      </w:r>
      <w:r>
        <w:t xml:space="preserve">the same spatial density heterogeneity enters the stiffness operator.</w:t>
      </w:r>
      <w:r>
        <w:t xml:space="preserve"> </w:t>
      </w:r>
      <w:r>
        <w:t xml:space="preserve">This operator-level interaction between anatomy and material is exactly the kind of reweighting that can preserve a low-rank backbone while pushing selected higher-rank directions toward clustered behaviour.</w:t>
      </w:r>
    </w:p>
    <w:p>
      <w:pPr>
        <w:pStyle w:val="BodyText"/>
      </w:pPr>
      <w:r>
        <w:t xml:space="preserve">These prevalence estimates are not driven by a few outliers or by the order in which subjects are processed.</w:t>
      </w:r>
      <w:r>
        <w:t xml:space="preserve"> </w:t>
      </w:r>
      <w:r>
        <w:t xml:space="preserve">Bootstrap resampling of random 80% subcohorts yields narrow 95% confidence intervals for the dominant clusters (9–10: 51.8–57.7%; 12–15: 38.7–45.0%), and random permutation of subject order leaves cluster prevalence and swap statistics unchanged to machine precision.</w:t>
      </w:r>
      <w:r>
        <w:t xml:space="preserve"> </w:t>
      </w:r>
      <w:r>
        <w:t xml:space="preserve">The central spectral hierarchy is therefore a cohort-level feature rather than a post-processing artefact.</w:t>
      </w:r>
      <w:r>
        <w:t xml:space="preserve"> </w:t>
      </w:r>
      <w:r>
        <w:t xml:space="preserve">Additional cluster-mapping, swap, and robustness diagnostics are provided in Appendix A and Appendix B.</w:t>
      </w:r>
    </w:p>
    <w:p>
      <w:pPr>
        <w:pStyle w:val="CaptionedFigure"/>
      </w:pPr>
      <w:r>
        <w:drawing>
          <wp:inline>
            <wp:extent cx="5334000" cy="1953994"/>
            <wp:effectExtent b="0" l="0" r="0" t="0"/>
            <wp:docPr descr="Figure 2. Population variability partitions the spectrum into an order-locked backbone and clustered higher ranks. (a) Distributions of consecutive relative spectral gaps \mathrm{gap}_{\mathrm{in}}(i) across the cohort; the dashed line marks the data-driven cluster threshold \varepsilon_{\mathrm{in}}. (b) Per-rank swap rate and unpaired fraction. (c) Eigenvalue variability (coefficient of variation) across the full, shape-only, and material-only cohorts." title="" id="1" name="Picture"/>
            <a:graphic>
              <a:graphicData uri="http://schemas.openxmlformats.org/drawingml/2006/picture">
                <pic:pic>
                  <pic:nvPicPr>
                    <pic:cNvPr descr="/tmp/tmp9a1knb99/media/spectral_structure_dashboard_3095e88b5deb.png" id="0" name="Picture"/>
                    <pic:cNvPicPr>
                      <a:picLocks noChangeArrowheads="1" noChangeAspect="1"/>
                    </pic:cNvPicPr>
                  </pic:nvPicPr>
                  <pic:blipFill>
                    <a:blip r:embed="rId26"/>
                    <a:stretch>
                      <a:fillRect/>
                    </a:stretch>
                  </pic:blipFill>
                  <pic:spPr bwMode="auto">
                    <a:xfrm>
                      <a:off x="0" y="0"/>
                      <a:ext cx="5334000" cy="1953994"/>
                    </a:xfrm>
                    <a:prstGeom prst="rect">
                      <a:avLst/>
                    </a:prstGeom>
                    <a:noFill/>
                    <a:ln w="9525">
                      <a:noFill/>
                      <a:headEnd/>
                      <a:tailEnd/>
                    </a:ln>
                  </pic:spPr>
                </pic:pic>
              </a:graphicData>
            </a:graphic>
          </wp:inline>
        </w:drawing>
      </w:r>
    </w:p>
    <w:p>
      <w:pPr>
        <w:pStyle w:val="ImageCaption"/>
      </w:pPr>
      <w:r>
        <w:t xml:space="preserve">Figure 2.</w:t>
      </w:r>
      <w:r>
        <w:t xml:space="preserve"> </w:t>
      </w:r>
      <w:r>
        <w:rPr>
          <w:bCs/>
          <w:b/>
        </w:rPr>
        <w:t xml:space="preserve">Population variability partitions the spectrum into an order-locked backbone and clustered higher ranks.</w:t>
      </w:r>
      <w:r>
        <w:t xml:space="preserve"> </w:t>
      </w:r>
      <w:r>
        <w:rPr>
          <w:bCs/>
          <w:b/>
        </w:rPr>
        <w:t xml:space="preserve">(a)</w:t>
      </w:r>
      <w:r>
        <w:t xml:space="preserve"> Distributions of consecutive relative spectral gaps</w:t>
      </w:r>
      <w:r>
        <w:t xml:space="preserve"> </w:t>
      </w:r>
      <m:oMath>
        <m:sSub>
          <m:e>
            <m:r>
              <m:rPr>
                <m:sty m:val="p"/>
              </m:rPr>
              <m:t>g</m:t>
            </m:r>
            <m:r>
              <m:rPr>
                <m:sty m:val="p"/>
              </m:rPr>
              <m:t>a</m:t>
            </m:r>
            <m:r>
              <m:rPr>
                <m:sty m:val="p"/>
              </m:rPr>
              <m:t>p</m:t>
            </m:r>
          </m:e>
          <m:sub>
            <m:r>
              <m:rPr>
                <m:sty m:val="p"/>
              </m:rPr>
              <m:t>i</m:t>
            </m:r>
            <m:r>
              <m:rPr>
                <m:sty m:val="p"/>
              </m:rPr>
              <m:t>n</m:t>
            </m:r>
          </m:sub>
        </m:sSub>
        <m:r>
          <m:rPr>
            <m:sty m:val="p"/>
          </m:rPr>
          <m:t>(</m:t>
        </m:r>
        <m:r>
          <m:t>i</m:t>
        </m:r>
        <m:r>
          <m:rPr>
            <m:sty m:val="p"/>
          </m:rPr>
          <m:t>)</m:t>
        </m:r>
      </m:oMath>
      <w:r>
        <w:t xml:space="preserve"> </w:t>
      </w:r>
      <w:r>
        <w:t xml:space="preserve">across the cohort; the dashed line marks the data-driven cluster threshold</w:t>
      </w:r>
      <w:r>
        <w:t xml:space="preserve"> </w:t>
      </w:r>
      <m:oMath>
        <m:sSub>
          <m:e>
            <m:r>
              <m:t>ε</m:t>
            </m:r>
          </m:e>
          <m:sub>
            <m:r>
              <m:rPr>
                <m:sty m:val="p"/>
              </m:rPr>
              <m:t>i</m:t>
            </m:r>
            <m:r>
              <m:rPr>
                <m:sty m:val="p"/>
              </m:rPr>
              <m:t>n</m:t>
            </m:r>
          </m:sub>
        </m:sSub>
      </m:oMath>
      <w:r>
        <w:t xml:space="preserve">.</w:t>
      </w:r>
      <w:r>
        <w:t xml:space="preserve"> </w:t>
      </w:r>
      <w:r>
        <w:rPr>
          <w:bCs/>
          <w:b/>
        </w:rPr>
        <w:t xml:space="preserve">(b)</w:t>
      </w:r>
      <w:r>
        <w:t xml:space="preserve"> Per-rank swap rate and unpaired fraction.</w:t>
      </w:r>
      <w:r>
        <w:t xml:space="preserve"> </w:t>
      </w:r>
      <w:r>
        <w:rPr>
          <w:bCs/>
          <w:b/>
        </w:rPr>
        <w:t xml:space="preserve">(c)</w:t>
      </w:r>
      <w:r>
        <w:t xml:space="preserve"> Eigenvalue variability (coefficient of variation) across the full, shape-only, and material-only cohorts.</w:t>
      </w:r>
    </w:p>
    <w:p>
      <w:pPr>
        <w:pStyle w:val="TableCaption"/>
      </w:pPr>
      <w:r>
        <w:t xml:space="preserve">Table 1.</w:t>
      </w:r>
      <w:r>
        <w:t xml:space="preserve"> </w:t>
      </w:r>
      <w:r>
        <w:rPr>
          <w:bCs/>
          <w:b/>
        </w:rPr>
        <w:t xml:space="preserve">Recurrent clustered rank blocks detected above the 3% prevalence floor.</w:t>
      </w:r>
    </w:p>
    <w:tbl>
      <w:tblPr>
        <w:tblStyle w:val="Table"/>
        <w:tblW w:type="pct" w:w="0.0"/>
        <w:tblLook w:firstRow="1" w:lastRow="0" w:firstColumn="0" w:lastColumn="0" w:noHBand="0" w:noVBand="0" w:val="0020"/>
        <w:tblCaption w:val="Table 1. Recurrent clustered rank blocks detected above the 3% prevalence floor."/>
      </w:tblPr>
      <w:tblGrid/>
      <w:tr>
        <w:tc>
          <w:p>
            <w:pPr>
              <w:pStyle w:val="Compact"/>
              <w:jc w:val="left"/>
            </w:pPr>
            <w:r>
              <w:t xml:space="preserve">Cluster</w:t>
            </w:r>
          </w:p>
        </w:tc>
        <w:tc>
          <w:p>
            <w:pPr>
              <w:pStyle w:val="Compact"/>
              <w:jc w:val="right"/>
            </w:pPr>
            <w:r>
              <w:t xml:space="preserve">Dim</w:t>
            </w:r>
          </w:p>
        </w:tc>
        <w:tc>
          <w:p>
            <w:pPr>
              <w:pStyle w:val="Compact"/>
              <w:jc w:val="right"/>
            </w:pPr>
            <m:oMath>
              <m:r>
                <m:t>n</m:t>
              </m:r>
            </m:oMath>
          </w:p>
        </w:tc>
        <w:tc>
          <w:p>
            <w:pPr>
              <w:pStyle w:val="Compact"/>
              <w:jc w:val="left"/>
            </w:pPr>
            <w:r>
              <w:t xml:space="preserve">Prev.</w:t>
            </w:r>
          </w:p>
        </w:tc>
        <w:tc>
          <w:p>
            <w:pPr>
              <w:pStyle w:val="Compact"/>
              <w:jc w:val="right"/>
            </w:pPr>
            <w:r>
              <w:t xml:space="preserve">Med. gap</w:t>
            </w:r>
            <m:oMath>
              <m:sSub>
                <m:e>
                  <m:r>
                    <m:t>​</m:t>
                  </m:r>
                </m:e>
                <m:sub>
                  <m:r>
                    <m:rPr>
                      <m:sty m:val="p"/>
                    </m:rPr>
                    <m:t>i</m:t>
                  </m:r>
                  <m:r>
                    <m:rPr>
                      <m:sty m:val="p"/>
                    </m:rPr>
                    <m:t>n</m:t>
                  </m:r>
                  <m:r>
                    <m:rPr>
                      <m:sty m:val="p"/>
                    </m:rPr>
                    <m:t>,</m:t>
                  </m:r>
                  <m:r>
                    <m:rPr>
                      <m:sty m:val="p"/>
                    </m:rPr>
                    <m:t>m</m:t>
                  </m:r>
                  <m:r>
                    <m:rPr>
                      <m:sty m:val="p"/>
                    </m:rPr>
                    <m:t>i</m:t>
                  </m:r>
                  <m:r>
                    <m:rPr>
                      <m:sty m:val="p"/>
                    </m:rPr>
                    <m:t>n</m:t>
                  </m:r>
                </m:sub>
              </m:sSub>
            </m:oMath>
          </w:p>
        </w:tc>
        <w:tc>
          <w:p>
            <w:pPr>
              <w:pStyle w:val="Compact"/>
              <w:jc w:val="right"/>
            </w:pPr>
            <w:r>
              <w:t xml:space="preserve">Med. sep</w:t>
            </w:r>
            <m:oMath>
              <m:sSub>
                <m:e>
                  <m:r>
                    <m:t>​</m:t>
                  </m:r>
                </m:e>
                <m:sub>
                  <m:r>
                    <m:rPr>
                      <m:sty m:val="p"/>
                    </m:rPr>
                    <m:t>o</m:t>
                  </m:r>
                  <m:r>
                    <m:rPr>
                      <m:sty m:val="p"/>
                    </m:rPr>
                    <m:t>u</m:t>
                  </m:r>
                  <m:r>
                    <m:rPr>
                      <m:sty m:val="p"/>
                    </m:rPr>
                    <m:t>t</m:t>
                  </m:r>
                </m:sub>
              </m:sSub>
            </m:oMath>
          </w:p>
        </w:tc>
        <w:tc>
          <w:p>
            <w:pPr>
              <w:pStyle w:val="Compact"/>
              <w:jc w:val="left"/>
            </w:pPr>
            <w:r>
              <w:t xml:space="preserve">Type</w:t>
            </w:r>
          </w:p>
        </w:tc>
      </w:tr>
      <w:tr>
        <w:tc>
          <w:p>
            <w:pPr>
              <w:pStyle w:val="Compact"/>
              <w:jc w:val="left"/>
            </w:pPr>
            <w:r>
              <w:t xml:space="preserve">Rank modes 9–10</w:t>
            </w:r>
          </w:p>
        </w:tc>
        <w:tc>
          <w:p>
            <w:pPr>
              <w:pStyle w:val="Compact"/>
              <w:jc w:val="right"/>
            </w:pPr>
            <w:r>
              <w:t xml:space="preserve">2</w:t>
            </w:r>
          </w:p>
        </w:tc>
        <w:tc>
          <w:p>
            <w:pPr>
              <w:pStyle w:val="Compact"/>
              <w:jc w:val="right"/>
            </w:pPr>
            <w:r>
              <w:t xml:space="preserve">152</w:t>
            </w:r>
          </w:p>
        </w:tc>
        <w:tc>
          <w:p>
            <w:pPr>
              <w:pStyle w:val="Compact"/>
              <w:jc w:val="left"/>
            </w:pPr>
            <w:r>
              <w:t xml:space="preserve">54.7%</w:t>
            </w:r>
          </w:p>
        </w:tc>
        <w:tc>
          <w:p>
            <w:pPr>
              <w:pStyle w:val="Compact"/>
              <w:jc w:val="right"/>
            </w:pPr>
            <w:r>
              <w:t xml:space="preserve">0.08114</w:t>
            </w:r>
          </w:p>
        </w:tc>
        <w:tc>
          <w:p>
            <w:pPr>
              <w:pStyle w:val="Compact"/>
              <w:jc w:val="right"/>
            </w:pPr>
            <w:r>
              <w:t xml:space="preserve">0.4926</w:t>
            </w:r>
          </w:p>
        </w:tc>
        <w:tc>
          <w:p>
            <w:pPr>
              <w:pStyle w:val="Compact"/>
              <w:jc w:val="left"/>
            </w:pPr>
            <w:r>
              <w:t xml:space="preserve">near-degenerate</w:t>
            </w:r>
          </w:p>
        </w:tc>
      </w:tr>
      <w:tr>
        <w:tc>
          <w:p>
            <w:pPr>
              <w:pStyle w:val="Compact"/>
              <w:jc w:val="left"/>
            </w:pPr>
            <w:r>
              <w:t xml:space="preserve">Rank modes 12–15</w:t>
            </w:r>
          </w:p>
        </w:tc>
        <w:tc>
          <w:p>
            <w:pPr>
              <w:pStyle w:val="Compact"/>
              <w:jc w:val="right"/>
            </w:pPr>
            <w:r>
              <w:t xml:space="preserve">4</w:t>
            </w:r>
          </w:p>
        </w:tc>
        <w:tc>
          <w:p>
            <w:pPr>
              <w:pStyle w:val="Compact"/>
              <w:jc w:val="right"/>
            </w:pPr>
            <w:r>
              <w:t xml:space="preserve">116</w:t>
            </w:r>
          </w:p>
        </w:tc>
        <w:tc>
          <w:p>
            <w:pPr>
              <w:pStyle w:val="Compact"/>
              <w:jc w:val="left"/>
            </w:pPr>
            <w:r>
              <w:t xml:space="preserve">41.7%</w:t>
            </w:r>
          </w:p>
        </w:tc>
        <w:tc>
          <w:p>
            <w:pPr>
              <w:pStyle w:val="Compact"/>
              <w:jc w:val="right"/>
            </w:pPr>
            <w:r>
              <w:t xml:space="preserve">0.03153</w:t>
            </w:r>
          </w:p>
        </w:tc>
        <w:tc>
          <w:p>
            <w:pPr>
              <w:pStyle w:val="Compact"/>
              <w:jc w:val="right"/>
            </w:pPr>
            <w:r>
              <w:t xml:space="preserve">0.4331</w:t>
            </w:r>
          </w:p>
        </w:tc>
        <w:tc>
          <w:p>
            <w:pPr>
              <w:pStyle w:val="Compact"/>
              <w:jc w:val="left"/>
            </w:pPr>
            <w:r>
              <w:t xml:space="preserve">near-degenerate</w:t>
            </w:r>
          </w:p>
        </w:tc>
      </w:tr>
      <w:tr>
        <w:tc>
          <w:p>
            <w:pPr>
              <w:pStyle w:val="Compact"/>
              <w:jc w:val="left"/>
            </w:pPr>
            <w:r>
              <w:t xml:space="preserve">Rank modes 5–6</w:t>
            </w:r>
          </w:p>
        </w:tc>
        <w:tc>
          <w:p>
            <w:pPr>
              <w:pStyle w:val="Compact"/>
              <w:jc w:val="right"/>
            </w:pPr>
            <w:r>
              <w:t xml:space="preserve">2</w:t>
            </w:r>
          </w:p>
        </w:tc>
        <w:tc>
          <w:p>
            <w:pPr>
              <w:pStyle w:val="Compact"/>
              <w:jc w:val="right"/>
            </w:pPr>
            <w:r>
              <w:t xml:space="preserve">94</w:t>
            </w:r>
          </w:p>
        </w:tc>
        <w:tc>
          <w:p>
            <w:pPr>
              <w:pStyle w:val="Compact"/>
              <w:jc w:val="left"/>
            </w:pPr>
            <w:r>
              <w:t xml:space="preserve">33.8%</w:t>
            </w:r>
          </w:p>
        </w:tc>
        <w:tc>
          <w:p>
            <w:pPr>
              <w:pStyle w:val="Compact"/>
              <w:jc w:val="right"/>
            </w:pPr>
            <w:r>
              <w:t xml:space="preserve">0.08737</w:t>
            </w:r>
          </w:p>
        </w:tc>
        <w:tc>
          <w:p>
            <w:pPr>
              <w:pStyle w:val="Compact"/>
              <w:jc w:val="right"/>
            </w:pPr>
            <w:r>
              <w:t xml:space="preserve">0.2345</w:t>
            </w:r>
          </w:p>
        </w:tc>
        <w:tc>
          <w:p>
            <w:pPr>
              <w:pStyle w:val="Compact"/>
              <w:jc w:val="left"/>
            </w:pPr>
            <w:r>
              <w:t xml:space="preserve">near-degenerate</w:t>
            </w:r>
          </w:p>
        </w:tc>
      </w:tr>
      <w:tr>
        <w:tc>
          <w:p>
            <w:pPr>
              <w:pStyle w:val="Compact"/>
              <w:jc w:val="left"/>
            </w:pPr>
            <w:r>
              <w:t xml:space="preserve">Rank modes 12–13</w:t>
            </w:r>
          </w:p>
        </w:tc>
        <w:tc>
          <w:p>
            <w:pPr>
              <w:pStyle w:val="Compact"/>
              <w:jc w:val="right"/>
            </w:pPr>
            <w:r>
              <w:t xml:space="preserve">2</w:t>
            </w:r>
          </w:p>
        </w:tc>
        <w:tc>
          <w:p>
            <w:pPr>
              <w:pStyle w:val="Compact"/>
              <w:jc w:val="right"/>
            </w:pPr>
            <w:r>
              <w:t xml:space="preserve">78</w:t>
            </w:r>
          </w:p>
        </w:tc>
        <w:tc>
          <w:p>
            <w:pPr>
              <w:pStyle w:val="Compact"/>
              <w:jc w:val="left"/>
            </w:pPr>
            <w:r>
              <w:t xml:space="preserve">28.1%</w:t>
            </w:r>
          </w:p>
        </w:tc>
        <w:tc>
          <w:p>
            <w:pPr>
              <w:pStyle w:val="Compact"/>
              <w:jc w:val="right"/>
            </w:pPr>
            <w:r>
              <w:t xml:space="preserve">0.03839</w:t>
            </w:r>
          </w:p>
        </w:tc>
        <w:tc>
          <w:p>
            <w:pPr>
              <w:pStyle w:val="Compact"/>
              <w:jc w:val="right"/>
            </w:pPr>
            <w:r>
              <w:t xml:space="preserve">0.1941</w:t>
            </w:r>
          </w:p>
        </w:tc>
        <w:tc>
          <w:p>
            <w:pPr>
              <w:pStyle w:val="Compact"/>
              <w:jc w:val="left"/>
            </w:pPr>
            <w:r>
              <w:t xml:space="preserve">near-degenerate</w:t>
            </w:r>
          </w:p>
        </w:tc>
      </w:tr>
      <w:tr>
        <w:tc>
          <w:p>
            <w:pPr>
              <w:pStyle w:val="Compact"/>
              <w:jc w:val="left"/>
            </w:pPr>
            <w:r>
              <w:t xml:space="preserve">Rank modes 14–15</w:t>
            </w:r>
          </w:p>
        </w:tc>
        <w:tc>
          <w:p>
            <w:pPr>
              <w:pStyle w:val="Compact"/>
              <w:jc w:val="right"/>
            </w:pPr>
            <w:r>
              <w:t xml:space="preserve">2</w:t>
            </w:r>
          </w:p>
        </w:tc>
        <w:tc>
          <w:p>
            <w:pPr>
              <w:pStyle w:val="Compact"/>
              <w:jc w:val="right"/>
            </w:pPr>
            <w:r>
              <w:t xml:space="preserve">70</w:t>
            </w:r>
          </w:p>
        </w:tc>
        <w:tc>
          <w:p>
            <w:pPr>
              <w:pStyle w:val="Compact"/>
              <w:jc w:val="left"/>
            </w:pPr>
            <w:r>
              <w:t xml:space="preserve">25.2%</w:t>
            </w:r>
          </w:p>
        </w:tc>
        <w:tc>
          <w:p>
            <w:pPr>
              <w:pStyle w:val="Compact"/>
              <w:jc w:val="right"/>
            </w:pPr>
            <w:r>
              <w:t xml:space="preserve">0.05116</w:t>
            </w:r>
          </w:p>
        </w:tc>
        <w:tc>
          <w:p>
            <w:pPr>
              <w:pStyle w:val="Compact"/>
              <w:jc w:val="right"/>
            </w:pPr>
            <w:r>
              <w:t xml:space="preserve">0.1729</w:t>
            </w:r>
          </w:p>
        </w:tc>
        <w:tc>
          <w:p>
            <w:pPr>
              <w:pStyle w:val="Compact"/>
              <w:jc w:val="left"/>
            </w:pPr>
            <w:r>
              <w:t xml:space="preserve">near-degenerate</w:t>
            </w:r>
          </w:p>
        </w:tc>
      </w:tr>
      <w:tr>
        <w:tc>
          <w:p>
            <w:pPr>
              <w:pStyle w:val="Compact"/>
              <w:jc w:val="left"/>
            </w:pPr>
            <w:r>
              <w:t xml:space="preserve">Rank modes 12–14</w:t>
            </w:r>
          </w:p>
        </w:tc>
        <w:tc>
          <w:p>
            <w:pPr>
              <w:pStyle w:val="Compact"/>
              <w:jc w:val="right"/>
            </w:pPr>
            <w:r>
              <w:t xml:space="preserve">3</w:t>
            </w:r>
          </w:p>
        </w:tc>
        <w:tc>
          <w:p>
            <w:pPr>
              <w:pStyle w:val="Compact"/>
              <w:jc w:val="right"/>
            </w:pPr>
            <w:r>
              <w:t xml:space="preserve">45</w:t>
            </w:r>
          </w:p>
        </w:tc>
        <w:tc>
          <w:p>
            <w:pPr>
              <w:pStyle w:val="Compact"/>
              <w:jc w:val="left"/>
            </w:pPr>
            <w:r>
              <w:t xml:space="preserve">16.2%</w:t>
            </w:r>
          </w:p>
        </w:tc>
        <w:tc>
          <w:p>
            <w:pPr>
              <w:pStyle w:val="Compact"/>
              <w:jc w:val="right"/>
            </w:pPr>
            <w:r>
              <w:t xml:space="preserve">0.04109</w:t>
            </w:r>
          </w:p>
        </w:tc>
        <w:tc>
          <w:p>
            <w:pPr>
              <w:pStyle w:val="Compact"/>
              <w:jc w:val="right"/>
            </w:pPr>
            <w:r>
              <w:t xml:space="preserve">0.1855</w:t>
            </w:r>
          </w:p>
        </w:tc>
        <w:tc>
          <w:p>
            <w:pPr>
              <w:pStyle w:val="Compact"/>
              <w:jc w:val="left"/>
            </w:pPr>
            <w:r>
              <w:t xml:space="preserve">near-degenerate</w:t>
            </w:r>
          </w:p>
        </w:tc>
      </w:tr>
      <w:tr>
        <w:tc>
          <w:p>
            <w:pPr>
              <w:pStyle w:val="Compact"/>
              <w:jc w:val="left"/>
            </w:pPr>
            <w:r>
              <w:t xml:space="preserve">Rank modes 4–5</w:t>
            </w:r>
          </w:p>
        </w:tc>
        <w:tc>
          <w:p>
            <w:pPr>
              <w:pStyle w:val="Compact"/>
              <w:jc w:val="right"/>
            </w:pPr>
            <w:r>
              <w:t xml:space="preserve">2</w:t>
            </w:r>
          </w:p>
        </w:tc>
        <w:tc>
          <w:p>
            <w:pPr>
              <w:pStyle w:val="Compact"/>
              <w:jc w:val="right"/>
            </w:pPr>
            <w:r>
              <w:t xml:space="preserve">35</w:t>
            </w:r>
          </w:p>
        </w:tc>
        <w:tc>
          <w:p>
            <w:pPr>
              <w:pStyle w:val="Compact"/>
              <w:jc w:val="left"/>
            </w:pPr>
            <w:r>
              <w:t xml:space="preserve">12.6%</w:t>
            </w:r>
          </w:p>
        </w:tc>
        <w:tc>
          <w:p>
            <w:pPr>
              <w:pStyle w:val="Compact"/>
              <w:jc w:val="right"/>
            </w:pPr>
            <w:r>
              <w:t xml:space="preserve">0.09521</w:t>
            </w:r>
          </w:p>
        </w:tc>
        <w:tc>
          <w:p>
            <w:pPr>
              <w:pStyle w:val="Compact"/>
              <w:jc w:val="right"/>
            </w:pPr>
            <w:r>
              <w:t xml:space="preserve">0.2185</w:t>
            </w:r>
          </w:p>
        </w:tc>
        <w:tc>
          <w:p>
            <w:pPr>
              <w:pStyle w:val="Compact"/>
              <w:jc w:val="left"/>
            </w:pPr>
            <w:r>
              <w:t xml:space="preserve">near-degenerate</w:t>
            </w:r>
          </w:p>
        </w:tc>
      </w:tr>
      <w:tr>
        <w:tc>
          <w:p>
            <w:pPr>
              <w:pStyle w:val="Compact"/>
              <w:jc w:val="left"/>
            </w:pPr>
            <w:r>
              <w:t xml:space="preserve">Rank modes 13–15</w:t>
            </w:r>
          </w:p>
        </w:tc>
        <w:tc>
          <w:p>
            <w:pPr>
              <w:pStyle w:val="Compact"/>
              <w:jc w:val="right"/>
            </w:pPr>
            <w:r>
              <w:t xml:space="preserve">3</w:t>
            </w:r>
          </w:p>
        </w:tc>
        <w:tc>
          <w:p>
            <w:pPr>
              <w:pStyle w:val="Compact"/>
              <w:jc w:val="right"/>
            </w:pPr>
            <w:r>
              <w:t xml:space="preserve">29</w:t>
            </w:r>
          </w:p>
        </w:tc>
        <w:tc>
          <w:p>
            <w:pPr>
              <w:pStyle w:val="Compact"/>
              <w:jc w:val="left"/>
            </w:pPr>
            <w:r>
              <w:t xml:space="preserve">10.4%</w:t>
            </w:r>
          </w:p>
        </w:tc>
        <w:tc>
          <w:p>
            <w:pPr>
              <w:pStyle w:val="Compact"/>
              <w:jc w:val="right"/>
            </w:pPr>
            <w:r>
              <w:t xml:space="preserve">0.04465</w:t>
            </w:r>
          </w:p>
        </w:tc>
        <w:tc>
          <w:p>
            <w:pPr>
              <w:pStyle w:val="Compact"/>
              <w:jc w:val="right"/>
            </w:pPr>
            <w:r>
              <w:t xml:space="preserve">0.1588</w:t>
            </w:r>
          </w:p>
        </w:tc>
        <w:tc>
          <w:p>
            <w:pPr>
              <w:pStyle w:val="Compact"/>
              <w:jc w:val="left"/>
            </w:pPr>
            <w:r>
              <w:t xml:space="preserve">near-degenerate</w:t>
            </w:r>
          </w:p>
        </w:tc>
      </w:tr>
      <w:tr>
        <w:tc>
          <w:p>
            <w:pPr>
              <w:pStyle w:val="Compact"/>
              <w:jc w:val="left"/>
            </w:pPr>
            <w:r>
              <w:t xml:space="preserve">Rank modes 7–8</w:t>
            </w:r>
          </w:p>
        </w:tc>
        <w:tc>
          <w:p>
            <w:pPr>
              <w:pStyle w:val="Compact"/>
              <w:jc w:val="right"/>
            </w:pPr>
            <w:r>
              <w:t xml:space="preserve">2</w:t>
            </w:r>
          </w:p>
        </w:tc>
        <w:tc>
          <w:p>
            <w:pPr>
              <w:pStyle w:val="Compact"/>
              <w:jc w:val="right"/>
            </w:pPr>
            <w:r>
              <w:t xml:space="preserve">21</w:t>
            </w:r>
          </w:p>
        </w:tc>
        <w:tc>
          <w:p>
            <w:pPr>
              <w:pStyle w:val="Compact"/>
              <w:jc w:val="left"/>
            </w:pPr>
            <w:r>
              <w:t xml:space="preserve">7.6%</w:t>
            </w:r>
          </w:p>
        </w:tc>
        <w:tc>
          <w:p>
            <w:pPr>
              <w:pStyle w:val="Compact"/>
              <w:jc w:val="right"/>
            </w:pPr>
            <w:r>
              <w:t xml:space="preserve">0.1051</w:t>
            </w:r>
          </w:p>
        </w:tc>
        <w:tc>
          <w:p>
            <w:pPr>
              <w:pStyle w:val="Compact"/>
              <w:jc w:val="right"/>
            </w:pPr>
            <w:r>
              <w:t xml:space="preserve">0.3676</w:t>
            </w:r>
          </w:p>
        </w:tc>
        <w:tc>
          <w:p>
            <w:pPr>
              <w:pStyle w:val="Compact"/>
              <w:jc w:val="left"/>
            </w:pPr>
            <w:r>
              <w:t xml:space="preserve">near-degenerate</w:t>
            </w:r>
          </w:p>
        </w:tc>
      </w:tr>
    </w:tbl>
    <w:bookmarkEnd w:id="27"/>
    <w:bookmarkStart w:id="29" w:name="X853e26f16fa7ddac14773da233a77a5708daf3f"/>
    <w:p>
      <w:pPr>
        <w:pStyle w:val="Heading2"/>
      </w:pPr>
      <w:r>
        <w:t xml:space="preserve">Clustered subspaces preserve distinct mechanical programs under variability</w:t>
      </w:r>
    </w:p>
    <w:p>
      <w:pPr>
        <w:pStyle w:val="FirstParagraph"/>
      </w:pPr>
      <w:r>
        <w:t xml:space="preserve">Once individual labels become unstable, the next question is whether the corresponding small recurrent subspaces remain mechanically distinct.</w:t>
      </w:r>
      <w:r>
        <w:t xml:space="preserve"> </w:t>
      </w:r>
      <w:r>
        <w:t xml:space="preserve">Figure 3 shows that several do, when interpreted using invariant-subspace descriptors rather than individual eigenvector labels.</w:t>
      </w:r>
      <w:r>
        <w:t xml:space="preserve"> </w:t>
      </w:r>
      <w:r>
        <w:t xml:space="preserve">We use two basis-invariant outputs.</w:t>
      </w:r>
      <w:r>
        <w:t xml:space="preserve"> </w:t>
      </w:r>
      <w:r>
        <w:t xml:space="preserve">First, Grassmann distance from a reference subject quantifies how much a subspace rotates across the cohort.</w:t>
      </w:r>
      <w:r>
        <w:t xml:space="preserve"> </w:t>
      </w:r>
      <w:r>
        <w:t xml:space="preserve">Second, canonical coupling to anatomical diameter functionals (AP and ML inlet; biischiadic and bituberous outlet) provides functionally interpretable coordinates inside each clustered block (Methods).</w:t>
      </w:r>
    </w:p>
    <w:p>
      <w:pPr>
        <w:pStyle w:val="BodyText"/>
      </w:pPr>
      <w:r>
        <w:t xml:space="preserve">The rank 9–10 subspace shows the strongest inlet-related coupling among the prevalent clusters.</w:t>
      </w:r>
      <w:r>
        <w:t xml:space="preserve"> </w:t>
      </w:r>
      <w:r>
        <w:t xml:space="preserve">Its median AP-inlet coupling is 0.41 mm of inlet diameter change per 1 mm of maximum nodal modal amplitude, making 9–10 the clearest higher-rank inlet-related program in the cohort.</w:t>
      </w:r>
      <w:r>
        <w:t xml:space="preserve"> </w:t>
      </w:r>
      <w:r>
        <w:t xml:space="preserve">In contrast, the rank 5–6 cluster shows the strongest outlet-related coupling, with median biischiadic widening 0.92 mm/mm and a negligible bituberous response (0.04 mm/mm).</w:t>
      </w:r>
      <w:r>
        <w:t xml:space="preserve"> </w:t>
      </w:r>
      <w:r>
        <w:t xml:space="preserve">Different clustered subspaces therefore carry different mechanical programs: one is functionally aligned with the inlet, another with the outlet.</w:t>
      </w:r>
    </w:p>
    <w:p>
      <w:pPr>
        <w:pStyle w:val="BodyText"/>
      </w:pPr>
      <w:r>
        <w:t xml:space="preserve">The four-dimensional 12–15 block illustrates a third regime.</w:t>
      </w:r>
      <w:r>
        <w:t xml:space="preserve"> </w:t>
      </w:r>
      <w:r>
        <w:t xml:space="preserve">It has high prevalence, small internal gaps, and a richer pattern of within-block mixing than a simple two-mode exchange.</w:t>
      </w:r>
      <w:r>
        <w:t xml:space="preserve"> </w:t>
      </w:r>
      <w:r>
        <w:t xml:space="preserve">Its canonical coupling structure is more diffuse than in 9–10 or 5–6, consistent with it representing a broader, higher-order reserve rather than a single sharply interpretable program.</w:t>
      </w:r>
      <w:r>
        <w:t xml:space="preserve"> </w:t>
      </w:r>
      <w:r>
        <w:t xml:space="preserve">Not every recurrent cluster corresponds to one clean anatomical function.</w:t>
      </w:r>
      <w:r>
        <w:t xml:space="preserve"> </w:t>
      </w:r>
      <w:r>
        <w:t xml:space="preserve">This heterogeneity is itself biologically informative: the framework separates compact, functionally specific blocks from mixed higher-rank families, and the former are the clearest targets for single-function biological interpretation.</w:t>
      </w:r>
    </w:p>
    <w:p>
      <w:pPr>
        <w:pStyle w:val="BodyText"/>
      </w:pPr>
      <w:r>
        <w:t xml:space="preserve">Subspace rotation also varies systematically with sex.</w:t>
      </w:r>
      <w:r>
        <w:t xml:space="preserve"> </w:t>
      </w:r>
      <w:r>
        <w:t xml:space="preserve">The largest such effect is seen for the 9–10 block, suggesting that subjects can reach the same inlet-related subspace through different basis orientations.</w:t>
      </w:r>
      <w:r>
        <w:t xml:space="preserve"> </w:t>
      </w:r>
      <w:r>
        <w:t xml:space="preserve">This qualifies how clustered behaviour is distributed across the population without altering the central point: recurrent clustered subspaces can retain distinct mechanical meanings even when their internal basis orientation varies.</w:t>
      </w:r>
    </w:p>
    <w:p>
      <w:pPr>
        <w:pStyle w:val="CaptionedFigure"/>
      </w:pPr>
      <w:r>
        <w:drawing>
          <wp:inline>
            <wp:extent cx="5334000" cy="6570164"/>
            <wp:effectExtent b="0" l="0" r="0" t="0"/>
            <wp:docPr descr="Figure 3. Clustered subspaces preserve distinct mechanical programs under variability. Top row: Grassmann distance d_G for the five most prevalent clusters, stratified by sex. Lower rows: canonical inlet and outlet couplings derived from diameter functionals for the same clusters." title="" id="1" name="Picture"/>
            <a:graphic>
              <a:graphicData uri="http://schemas.openxmlformats.org/drawingml/2006/picture">
                <pic:pic>
                  <pic:nvPicPr>
                    <pic:cNvPr descr="/tmp/tmp9a1knb99/media/subspace_analysis_dashboard_f26edba2b160.png" id="0" name="Picture"/>
                    <pic:cNvPicPr>
                      <a:picLocks noChangeArrowheads="1" noChangeAspect="1"/>
                    </pic:cNvPicPr>
                  </pic:nvPicPr>
                  <pic:blipFill>
                    <a:blip r:embed="rId28"/>
                    <a:stretch>
                      <a:fillRect/>
                    </a:stretch>
                  </pic:blipFill>
                  <pic:spPr bwMode="auto">
                    <a:xfrm>
                      <a:off x="0" y="0"/>
                      <a:ext cx="5334000" cy="6570164"/>
                    </a:xfrm>
                    <a:prstGeom prst="rect">
                      <a:avLst/>
                    </a:prstGeom>
                    <a:noFill/>
                    <a:ln w="9525">
                      <a:noFill/>
                      <a:headEnd/>
                      <a:tailEnd/>
                    </a:ln>
                  </pic:spPr>
                </pic:pic>
              </a:graphicData>
            </a:graphic>
          </wp:inline>
        </w:drawing>
      </w:r>
    </w:p>
    <w:p>
      <w:pPr>
        <w:pStyle w:val="ImageCaption"/>
      </w:pPr>
      <w:r>
        <w:t xml:space="preserve">Figure 3.</w:t>
      </w:r>
      <w:r>
        <w:t xml:space="preserve"> </w:t>
      </w:r>
      <w:r>
        <w:rPr>
          <w:bCs/>
          <w:b/>
        </w:rPr>
        <w:t xml:space="preserve">Clustered subspaces preserve distinct mechanical programs under variability.</w:t>
      </w:r>
      <w:r>
        <w:t xml:space="preserve"> </w:t>
      </w:r>
      <w:r>
        <w:t xml:space="preserve">Top row: Grassmann distance</w:t>
      </w:r>
      <w:r>
        <w:t xml:space="preserve"> </w:t>
      </w:r>
      <m:oMath>
        <m:sSub>
          <m:e>
            <m:r>
              <m:t>d</m:t>
            </m:r>
          </m:e>
          <m:sub>
            <m:r>
              <m:t>G</m:t>
            </m:r>
          </m:sub>
        </m:sSub>
      </m:oMath>
      <w:r>
        <w:t xml:space="preserve"> </w:t>
      </w:r>
      <w:r>
        <w:t xml:space="preserve">for the five most prevalent clusters, stratified by sex.</w:t>
      </w:r>
      <w:r>
        <w:t xml:space="preserve"> </w:t>
      </w:r>
      <w:r>
        <w:t xml:space="preserve">Lower rows: canonical inlet and outlet couplings derived from diameter functionals for the same clusters.</w:t>
      </w:r>
    </w:p>
    <w:bookmarkEnd w:id="29"/>
    <w:bookmarkStart w:id="32" w:name="X44e07d493134723c1aedfe5a6bdc1440777d033"/>
    <w:p>
      <w:pPr>
        <w:pStyle w:val="Heading2"/>
      </w:pPr>
      <w:r>
        <w:t xml:space="preserve">Subspace-level preservation is more stable than fixed labels in clustered regimes</w:t>
      </w:r>
    </w:p>
    <w:p>
      <w:pPr>
        <w:pStyle w:val="FirstParagraph"/>
      </w:pPr>
      <w:r>
        <w:t xml:space="preserve">A direct consequence of this framing follows: in a clustered regime, function should be preserved more stably at the scale of the subspace than at the scale of its individual labels.</w:t>
      </w:r>
      <w:r>
        <w:t xml:space="preserve"> </w:t>
      </w:r>
      <w:r>
        <w:t xml:space="preserve">We test this for the most important cluster, rank modes 9–10 (Fig. 4).</w:t>
      </w:r>
    </w:p>
    <w:p>
      <w:pPr>
        <w:pStyle w:val="BodyText"/>
      </w:pPr>
      <w:r>
        <w:t xml:space="preserve">Among subjects within the 9–10 cluster, AP-inlet coupling attached to</w:t>
      </w:r>
      <w:r>
        <w:t xml:space="preserve"> </w:t>
      </w:r>
      <w:r>
        <w:rPr>
          <w:iCs/>
          <w:i/>
        </w:rPr>
        <w:t xml:space="preserve">rank mode 9</w:t>
      </w:r>
      <w:r>
        <w:t xml:space="preserve"> </w:t>
      </w:r>
      <w:r>
        <w:t xml:space="preserve">is high when labels do not swap and low when they do (median 0.369 vs. 0.072 mm/mm;</w:t>
      </w:r>
      <w:r>
        <w:t xml:space="preserve"> </w:t>
      </w:r>
      <m:oMath>
        <m:r>
          <m:t>p</m:t>
        </m:r>
        <m:r>
          <m:rPr>
            <m:sty m:val="p"/>
          </m:rPr>
          <m:t>=</m:t>
        </m:r>
        <m:r>
          <m:t>2.2</m:t>
        </m:r>
        <m:r>
          <m:rPr>
            <m:sty m:val="p"/>
          </m:rPr>
          <m:t>×</m:t>
        </m:r>
        <m:sSup>
          <m:e>
            <m:r>
              <m:t>10</m:t>
            </m:r>
          </m:e>
          <m:sup>
            <m:r>
              <m:rPr>
                <m:sty m:val="p"/>
              </m:rPr>
              <m:t>−</m:t>
            </m:r>
            <m:r>
              <m:t>23</m:t>
            </m:r>
          </m:sup>
        </m:sSup>
      </m:oMath>
      <w:r>
        <w:t xml:space="preserve">).</w:t>
      </w:r>
      <w:r>
        <w:t xml:space="preserve"> </w:t>
      </w:r>
      <w:r>
        <w:t xml:space="preserve">The complementary pattern appears for</w:t>
      </w:r>
      <w:r>
        <w:t xml:space="preserve"> </w:t>
      </w:r>
      <w:r>
        <w:rPr>
          <w:iCs/>
          <w:i/>
        </w:rPr>
        <w:t xml:space="preserve">rank mode 10</w:t>
      </w:r>
      <w:r>
        <w:t xml:space="preserve"> </w:t>
      </w:r>
      <w:r>
        <w:t xml:space="preserve">(median 0.109 vs. 0.334 mm/mm;</w:t>
      </w:r>
      <w:r>
        <w:t xml:space="preserve"> </w:t>
      </w:r>
      <m:oMath>
        <m:r>
          <m:t>p</m:t>
        </m:r>
        <m:r>
          <m:rPr>
            <m:sty m:val="p"/>
          </m:rPr>
          <m:t>=</m:t>
        </m:r>
        <m:r>
          <m:t>2.5</m:t>
        </m:r>
        <m:r>
          <m:rPr>
            <m:sty m:val="p"/>
          </m:rPr>
          <m:t>×</m:t>
        </m:r>
        <m:sSup>
          <m:e>
            <m:r>
              <m:t>10</m:t>
            </m:r>
          </m:e>
          <m:sup>
            <m:r>
              <m:rPr>
                <m:sty m:val="p"/>
              </m:rPr>
              <m:t>−</m:t>
            </m:r>
            <m:r>
              <m:t>20</m:t>
            </m:r>
          </m:sup>
        </m:sSup>
      </m:oMath>
      <w:r>
        <w:t xml:space="preserve">).</w:t>
      </w:r>
      <w:r>
        <w:t xml:space="preserve"> </w:t>
      </w:r>
      <w:r>
        <w:t xml:space="preserve">Label-level coupling therefore redistributes between the two rank indices, not because the inlet-related signal disappears, but because it shifts inside the same two-dimensional block while the solver labels exchange.</w:t>
      </w:r>
    </w:p>
    <w:p>
      <w:pPr>
        <w:pStyle w:val="BodyText"/>
      </w:pPr>
      <w:r>
        <w:t xml:space="preserve">By contrast, the</w:t>
      </w:r>
      <w:r>
        <w:t xml:space="preserve"> </w:t>
      </w:r>
      <w:r>
        <w:rPr>
          <w:iCs/>
          <w:i/>
        </w:rPr>
        <w:t xml:space="preserve">subspace-level</w:t>
      </w:r>
      <w:r>
        <w:t xml:space="preserve"> </w:t>
      </w:r>
      <w:r>
        <w:t xml:space="preserve">AP coupling of the 9–10 block remains substantial in both groups and shifts only modestly (median 0.426 vs. 0.391 mm/mm;</w:t>
      </w:r>
      <w:r>
        <w:t xml:space="preserve"> </w:t>
      </w:r>
      <m:oMath>
        <m:r>
          <m:t>p</m:t>
        </m:r>
        <m:r>
          <m:rPr>
            <m:sty m:val="p"/>
          </m:rPr>
          <m:t>=</m:t>
        </m:r>
        <m:r>
          <m:t>0.018</m:t>
        </m:r>
      </m:oMath>
      <w:r>
        <w:t xml:space="preserve">).</w:t>
      </w:r>
      <w:r>
        <w:t xml:space="preserve"> </w:t>
      </w:r>
      <w:r>
        <w:t xml:space="preserve">What becomes unstable is the attachment of the function to one rank index rather than another, not the function itself.</w:t>
      </w:r>
      <w:r>
        <w:t xml:space="preserve"> </w:t>
      </w:r>
      <w:r>
        <w:t xml:space="preserve">Across-subject comparisons of higher-order clustered modes phrased as though</w:t>
      </w:r>
      <w:r>
        <w:t xml:space="preserve"> </w:t>
      </w:r>
      <w:r>
        <w:t xml:space="preserve">“</w:t>
      </w:r>
      <w:r>
        <w:t xml:space="preserve">mode 9</w:t>
      </w:r>
      <w:r>
        <w:t xml:space="preserve">”</w:t>
      </w:r>
      <w:r>
        <w:t xml:space="preserve"> </w:t>
      </w:r>
      <w:r>
        <w:t xml:space="preserve">or</w:t>
      </w:r>
      <w:r>
        <w:t xml:space="preserve"> </w:t>
      </w:r>
      <w:r>
        <w:t xml:space="preserve">“</w:t>
      </w:r>
      <w:r>
        <w:t xml:space="preserve">mode 10</w:t>
      </w:r>
      <w:r>
        <w:t xml:space="preserve">”</w:t>
      </w:r>
      <w:r>
        <w:t xml:space="preserve"> </w:t>
      </w:r>
      <w:r>
        <w:t xml:space="preserve">were fixed entities across the cohort can therefore be misleading.</w:t>
      </w:r>
      <w:r>
        <w:t xml:space="preserve"> </w:t>
      </w:r>
      <w:r>
        <w:t xml:space="preserve">For this regime, the biologically meaningful unit is the smallest recurrent function-preserving subspace—the shared 9–10 block.</w:t>
      </w:r>
    </w:p>
    <w:p>
      <w:pPr>
        <w:pStyle w:val="BodyText"/>
      </w:pPr>
      <w:r>
        <w:t xml:space="preserve">Load routing reinforces the same conclusion (Fig. 5).</w:t>
      </w:r>
      <w:r>
        <w:t xml:space="preserve"> </w:t>
      </w:r>
      <w:r>
        <w:t xml:space="preserve">The 9–10 exchange is primarily a labelling instability with quantitative tuning, not a loss of the inlet-related program.</w:t>
      </w:r>
      <w:r>
        <w:t xml:space="preserve"> </w:t>
      </w:r>
      <w:r>
        <w:t xml:space="preserve">Subspace rotation and the internal 9–10 gap vary across subjects, AP coupling shifts modestly with swap status, and the throughput of the 9–10 block under LAB</w:t>
      </w:r>
      <m:oMath>
        <m:sSub>
          <m:e>
            <m:r>
              <m:t>​</m:t>
            </m:r>
          </m:e>
          <m:sub>
            <m:r>
              <m:t>1</m:t>
            </m:r>
          </m:sub>
        </m:sSub>
      </m:oMath>
      <w:r>
        <w:t xml:space="preserve">–LAB</w:t>
      </w:r>
      <m:oMath>
        <m:sSub>
          <m:e>
            <m:r>
              <m:t>​</m:t>
            </m:r>
          </m:e>
          <m:sub>
            <m:r>
              <m:t>3</m:t>
            </m:r>
          </m:sub>
        </m:sSub>
      </m:oMath>
      <w:r>
        <w:t xml:space="preserve"> depends on morphology in a phase-specific way.</w:t>
      </w:r>
      <w:r>
        <w:t xml:space="preserve"> </w:t>
      </w:r>
      <w:r>
        <w:t xml:space="preserve">For LAB</w:t>
      </w:r>
      <m:oMath>
        <m:sSub>
          <m:e>
            <m:r>
              <m:t>​</m:t>
            </m:r>
          </m:e>
          <m:sub>
            <m:r>
              <m:t>1</m:t>
            </m:r>
          </m:sub>
        </m:sSub>
      </m:oMath>
      <w:r>
        <w:t xml:space="preserve">, block throughput decreases with larger AP inlet diameter (</w:t>
      </w:r>
      <m:oMath>
        <m:sSub>
          <m:e>
            <m:r>
              <m:t>ρ</m:t>
            </m:r>
          </m:e>
          <m:sub>
            <m:r>
              <m:t>s</m:t>
            </m:r>
          </m:sub>
        </m:sSub>
        <m:r>
          <m:rPr>
            <m:sty m:val="p"/>
          </m:rPr>
          <m:t>=</m:t>
        </m:r>
        <m:r>
          <m:rPr>
            <m:sty m:val="p"/>
          </m:rPr>
          <m:t>−</m:t>
        </m:r>
        <m:r>
          <m:t>0.48</m:t>
        </m:r>
      </m:oMath>
      <w:r>
        <w:t xml:space="preserve">,</w:t>
      </w:r>
      <w:r>
        <w:t xml:space="preserve"> </w:t>
      </w:r>
      <m:oMath>
        <m:r>
          <m:t>p</m:t>
        </m:r>
        <m:r>
          <m:rPr>
            <m:sty m:val="p"/>
          </m:rPr>
          <m:t>=</m:t>
        </m:r>
        <m:r>
          <m:t>4.3</m:t>
        </m:r>
        <m:r>
          <m:rPr>
            <m:sty m:val="p"/>
          </m:rPr>
          <m:t>×</m:t>
        </m:r>
        <m:sSup>
          <m:e>
            <m:r>
              <m:t>10</m:t>
            </m:r>
          </m:e>
          <m:sup>
            <m:r>
              <m:rPr>
                <m:sty m:val="p"/>
              </m:rPr>
              <m:t>−</m:t>
            </m:r>
            <m:r>
              <m:t>17</m:t>
            </m:r>
          </m:sup>
        </m:sSup>
      </m:oMath>
      <w:r>
        <w:t xml:space="preserve">), whereas LAB</w:t>
      </w:r>
      <m:oMath>
        <m:sSub>
          <m:e>
            <m:r>
              <m:t>​</m:t>
            </m:r>
          </m:e>
          <m:sub>
            <m:r>
              <m:t>2</m:t>
            </m:r>
          </m:sub>
        </m:sSub>
      </m:oMath>
      <w:r>
        <w:t xml:space="preserve"> and LAB</w:t>
      </w:r>
      <m:oMath>
        <m:sSub>
          <m:e>
            <m:r>
              <m:t>​</m:t>
            </m:r>
          </m:e>
          <m:sub>
            <m:r>
              <m:t>3</m:t>
            </m:r>
          </m:sub>
        </m:sSub>
      </m:oMath>
      <w:r>
        <w:t xml:space="preserve"> show weaker and differently signed trends.</w:t>
      </w:r>
      <w:r>
        <w:t xml:space="preserve"> </w:t>
      </w:r>
      <w:r>
        <w:t xml:space="preserve">These patterns support the interpretation that inlet-related mechanics remains associated with the 9–10 subspace even as anatomical variability redistributes its basis representation and modulates its phase-specific amplitude.</w:t>
      </w:r>
    </w:p>
    <w:p>
      <w:pPr>
        <w:pStyle w:val="CaptionedFigure"/>
      </w:pPr>
      <w:r>
        <w:drawing>
          <wp:inline>
            <wp:extent cx="5334000" cy="2331720"/>
            <wp:effectExtent b="0" l="0" r="0" t="0"/>
            <wp:docPr descr="Figure 4. Subspace-level preservation is more stable than label assignment in the 9–10 block. AP-inlet coupling is shown for rank mode 9, rank mode 10, and the canonical 9–10 subspace after stratifying cluster members by 9\rightleftarrows10 swap status. Label-level coupling redistributes between the two rank modes, whereas subspace-level coupling remains substantial in both groups." title="" id="1" name="Picture"/>
            <a:graphic>
              <a:graphicData uri="http://schemas.openxmlformats.org/drawingml/2006/picture">
                <pic:pic>
                  <pic:nvPicPr>
                    <pic:cNvPr descr="/tmp/tmp9a1knb99/media/subspace_label_stability_0432acdfc389.png" id="0" name="Picture"/>
                    <pic:cNvPicPr>
                      <a:picLocks noChangeArrowheads="1" noChangeAspect="1"/>
                    </pic:cNvPicPr>
                  </pic:nvPicPr>
                  <pic:blipFill>
                    <a:blip r:embed="rId30"/>
                    <a:stretch>
                      <a:fillRect/>
                    </a:stretch>
                  </pic:blipFill>
                  <pic:spPr bwMode="auto">
                    <a:xfrm>
                      <a:off x="0" y="0"/>
                      <a:ext cx="5334000" cy="2331720"/>
                    </a:xfrm>
                    <a:prstGeom prst="rect">
                      <a:avLst/>
                    </a:prstGeom>
                    <a:noFill/>
                    <a:ln w="9525">
                      <a:noFill/>
                      <a:headEnd/>
                      <a:tailEnd/>
                    </a:ln>
                  </pic:spPr>
                </pic:pic>
              </a:graphicData>
            </a:graphic>
          </wp:inline>
        </w:drawing>
      </w:r>
    </w:p>
    <w:p>
      <w:pPr>
        <w:pStyle w:val="ImageCaption"/>
      </w:pPr>
      <w:r>
        <w:t xml:space="preserve">Figure 4.</w:t>
      </w:r>
      <w:r>
        <w:t xml:space="preserve"> </w:t>
      </w:r>
      <w:r>
        <w:rPr>
          <w:bCs/>
          <w:b/>
        </w:rPr>
        <w:t xml:space="preserve">Subspace-level preservation is more stable than label assignment in the 9–10 block.</w:t>
      </w:r>
      <w:r>
        <w:t xml:space="preserve"> </w:t>
      </w:r>
      <w:r>
        <w:t xml:space="preserve">AP-inlet coupling is shown for rank mode 9, rank mode 10, and the canonical 9–10 subspace after stratifying cluster members by 9</w:t>
      </w:r>
      <m:oMath>
        <m:r>
          <m:rPr>
            <m:sty m:val="p"/>
          </m:rPr>
          <m:t>⇄</m:t>
        </m:r>
      </m:oMath>
      <w:r>
        <w:t xml:space="preserve">10 swap status.</w:t>
      </w:r>
      <w:r>
        <w:t xml:space="preserve"> </w:t>
      </w:r>
      <w:r>
        <w:t xml:space="preserve">Label-level coupling redistributes between the two rank modes, whereas subspace-level coupling remains substantial in both groups.</w:t>
      </w:r>
    </w:p>
    <w:p>
      <w:pPr>
        <w:pStyle w:val="CaptionedFigure"/>
      </w:pPr>
      <w:r>
        <w:drawing>
          <wp:inline>
            <wp:extent cx="5334000" cy="1042166"/>
            <wp:effectExtent b="0" l="0" r="0" t="0"/>
            <wp:docPr descr="Figure 5. Morphology and loading modulate the 9–10 block across the cohort. (A) Grassmann distance versus internal spectral gap for the 9–10 cluster, coloured by sex. (B) Canonical AP-inlet coupling stratified by swap status and sex. (C–E) Block energy fraction for the 9–10 pair under LAB_1, LAB_2, and LAB_3 as a function of AP inlet diameter." title="" id="1" name="Picture"/>
            <a:graphic>
              <a:graphicData uri="http://schemas.openxmlformats.org/drawingml/2006/picture">
                <pic:pic>
                  <pic:nvPicPr>
                    <pic:cNvPr descr="/tmp/tmp9a1knb99/media/labour_routing_tradeoff_af50582d1d90.png" id="0" name="Picture"/>
                    <pic:cNvPicPr>
                      <a:picLocks noChangeArrowheads="1" noChangeAspect="1"/>
                    </pic:cNvPicPr>
                  </pic:nvPicPr>
                  <pic:blipFill>
                    <a:blip r:embed="rId31"/>
                    <a:stretch>
                      <a:fillRect/>
                    </a:stretch>
                  </pic:blipFill>
                  <pic:spPr bwMode="auto">
                    <a:xfrm>
                      <a:off x="0" y="0"/>
                      <a:ext cx="5334000" cy="1042166"/>
                    </a:xfrm>
                    <a:prstGeom prst="rect">
                      <a:avLst/>
                    </a:prstGeom>
                    <a:noFill/>
                    <a:ln w="9525">
                      <a:noFill/>
                      <a:headEnd/>
                      <a:tailEnd/>
                    </a:ln>
                  </pic:spPr>
                </pic:pic>
              </a:graphicData>
            </a:graphic>
          </wp:inline>
        </w:drawing>
      </w:r>
    </w:p>
    <w:p>
      <w:pPr>
        <w:pStyle w:val="ImageCaption"/>
      </w:pPr>
      <w:r>
        <w:t xml:space="preserve">Figure 5.</w:t>
      </w:r>
      <w:r>
        <w:t xml:space="preserve"> </w:t>
      </w:r>
      <w:r>
        <w:rPr>
          <w:bCs/>
          <w:b/>
        </w:rPr>
        <w:t xml:space="preserve">Morphology and loading modulate the 9–10 block across the cohort.</w:t>
      </w:r>
      <w:r>
        <w:t xml:space="preserve"> </w:t>
      </w:r>
      <w:r>
        <w:rPr>
          <w:bCs/>
          <w:b/>
        </w:rPr>
        <w:t xml:space="preserve">(A)</w:t>
      </w:r>
      <w:r>
        <w:t xml:space="preserve"> Grassmann distance versus internal spectral gap for the 9–10 cluster, coloured by sex.</w:t>
      </w:r>
      <w:r>
        <w:t xml:space="preserve"> </w:t>
      </w:r>
      <w:r>
        <w:rPr>
          <w:bCs/>
          <w:b/>
        </w:rPr>
        <w:t xml:space="preserve">(B)</w:t>
      </w:r>
      <w:r>
        <w:t xml:space="preserve"> Canonical AP-inlet coupling stratified by swap status and sex.</w:t>
      </w:r>
      <w:r>
        <w:t xml:space="preserve"> </w:t>
      </w:r>
      <w:r>
        <w:rPr>
          <w:bCs/>
          <w:b/>
        </w:rPr>
        <w:t xml:space="preserve">(C–E)</w:t>
      </w:r>
      <w:r>
        <w:t xml:space="preserve"> Block energy fraction for the 9–10 pair under LAB</w:t>
      </w:r>
      <m:oMath>
        <m:sSub>
          <m:e>
            <m:r>
              <m:t>​</m:t>
            </m:r>
          </m:e>
          <m:sub>
            <m:r>
              <m:t>1</m:t>
            </m:r>
          </m:sub>
        </m:sSub>
      </m:oMath>
      <w:r>
        <w:t xml:space="preserve">, LAB</w:t>
      </w:r>
      <m:oMath>
        <m:sSub>
          <m:e>
            <m:r>
              <m:t>​</m:t>
            </m:r>
          </m:e>
          <m:sub>
            <m:r>
              <m:t>2</m:t>
            </m:r>
          </m:sub>
        </m:sSub>
      </m:oMath>
      <w:r>
        <w:t xml:space="preserve">, and LAB</w:t>
      </w:r>
      <m:oMath>
        <m:sSub>
          <m:e>
            <m:r>
              <m:t>​</m:t>
            </m:r>
          </m:e>
          <m:sub>
            <m:r>
              <m:t>3</m:t>
            </m:r>
          </m:sub>
        </m:sSub>
      </m:oMath>
      <w:r>
        <w:t xml:space="preserve"> as a function of AP inlet diameter.</w:t>
      </w:r>
    </w:p>
    <w:bookmarkEnd w:id="32"/>
    <w:bookmarkStart w:id="34" w:name="Xe2183ce6a4ec2615830b97ebd364527b5acb230"/>
    <w:p>
      <w:pPr>
        <w:pStyle w:val="Heading2"/>
      </w:pPr>
      <w:r>
        <w:t xml:space="preserve">Standing and proxy loads distinguish backbone-dominated routing from higher-rank recruitment</w:t>
      </w:r>
    </w:p>
    <w:p>
      <w:pPr>
        <w:pStyle w:val="FirstParagraph"/>
      </w:pPr>
      <w:r>
        <w:t xml:space="preserve">Load routing reflects the same separation between conserved baseline support and selective higher-rank recruitment (Fig. 6, Table 2).</w:t>
      </w:r>
      <w:r>
        <w:t xml:space="preserve"> </w:t>
      </w:r>
      <w:r>
        <w:t xml:space="preserve">Standing is dominated by the gap-protected low-rank backbone.</w:t>
      </w:r>
      <w:r>
        <w:t xml:space="preserve"> </w:t>
      </w:r>
      <w:r>
        <w:t xml:space="preserve">Symmetric two-leg standing (SP2leg) is concentrated in mode 2 alone, which carries about 80% of the cumulative energy; single-leg standing (SP1leg) distributes energy across the full rotational triad (modes 1–3), reaching a top-3 cumulative share of about 92%.</w:t>
      </w:r>
      <w:r>
        <w:t xml:space="preserve"> </w:t>
      </w:r>
      <w:r>
        <w:t xml:space="preserve">Within this linear setting, habitual load transfer therefore operates through a small, stable, low-dimensional program.</w:t>
      </w:r>
    </w:p>
    <w:p>
      <w:pPr>
        <w:pStyle w:val="BodyText"/>
      </w:pPr>
      <w:r>
        <w:t xml:space="preserve">The proxy load family recruits higher-rank modes.</w:t>
      </w:r>
      <w:r>
        <w:t xml:space="preserve"> </w:t>
      </w:r>
      <w:r>
        <w:t xml:space="preserve">LAB</w:t>
      </w:r>
      <m:oMath>
        <m:sSub>
          <m:e>
            <m:r>
              <m:t>​</m:t>
            </m:r>
          </m:e>
          <m:sub>
            <m:r>
              <m:t>1</m:t>
            </m:r>
          </m:sub>
        </m:sSub>
      </m:oMath>
      <w:r>
        <w:t xml:space="preserve">, bilateral mediolateral ring compression, preferentially engages the rank 9–10 inlet-related subspace, which carries a mean energy share of about 0.51 and is led by the inlet-opening mode.</w:t>
      </w:r>
      <w:r>
        <w:t xml:space="preserve"> </w:t>
      </w:r>
      <w:r>
        <w:t xml:space="preserve">LAB</w:t>
      </w:r>
      <m:oMath>
        <m:sSub>
          <m:e>
            <m:r>
              <m:t>​</m:t>
            </m:r>
          </m:e>
          <m:sub>
            <m:r>
              <m:t>2</m:t>
            </m:r>
          </m:sub>
        </m:sSub>
      </m:oMath>
      <w:r>
        <w:t xml:space="preserve">, bilateral ischial-tuberosity distraction, reroutes energy into the mid-rank block at modes 4–8, where the 5–6 outlet-related pair becomes especially important.</w:t>
      </w:r>
      <w:r>
        <w:t xml:space="preserve"> </w:t>
      </w:r>
      <w:r>
        <w:t xml:space="preserve">LAB</w:t>
      </w:r>
      <m:oMath>
        <m:sSub>
          <m:e>
            <m:r>
              <m:t>​</m:t>
            </m:r>
          </m:e>
          <m:sub>
            <m:r>
              <m:t>3</m:t>
            </m:r>
          </m:sub>
        </m:sSub>
      </m:oMath>
      <w:r>
        <w:t xml:space="preserve">, anteroposterior outlet distraction, is hybrid, retaining sizeable low-rank contributions while also recruiting mid-rank and 9–10 pathways.</w:t>
      </w:r>
      <w:r>
        <w:t xml:space="preserve"> </w:t>
      </w:r>
      <w:r>
        <w:t xml:space="preserve">Different loading geometries recruit different parts of the higher-rank spectrum, while continuing to use the backbone as common support.</w:t>
      </w:r>
    </w:p>
    <w:p>
      <w:pPr>
        <w:pStyle w:val="BodyText"/>
      </w:pPr>
      <w:r>
        <w:t xml:space="preserve">Among the recurrent clustered regimes, 9–10 remains the clearest case because it combines high cohort prevalence, clear inlet-related interpretation, direct label-versus-subspace evidence (Fig. 4), and substantial recruitment under LAB</w:t>
      </w:r>
      <m:oMath>
        <m:sSub>
          <m:e>
            <m:r>
              <m:t>​</m:t>
            </m:r>
          </m:e>
          <m:sub>
            <m:r>
              <m:t>1</m:t>
            </m:r>
          </m:sub>
        </m:sSub>
      </m:oMath>
      <w:r>
        <w:t xml:space="preserve">.</w:t>
      </w:r>
      <w:r>
        <w:t xml:space="preserve"> </w:t>
      </w:r>
      <w:r>
        <w:t xml:space="preserve">The 5–6 pair remains an outlet-related secondary contrast under LAB</w:t>
      </w:r>
      <m:oMath>
        <m:sSub>
          <m:e>
            <m:r>
              <m:t>​</m:t>
            </m:r>
          </m:e>
          <m:sub>
            <m:r>
              <m:t>2</m:t>
            </m:r>
          </m:sub>
        </m:sSub>
      </m:oMath>
      <w:r>
        <w:t xml:space="preserve">, whereas 12–15 is common but behaves, under the present load family, as a mixed higher-rank reserve rather than a single dominant pathway.</w:t>
      </w:r>
      <w:r>
        <w:t xml:space="preserve"> </w:t>
      </w:r>
      <w:r>
        <w:t xml:space="preserve">Additional load-specificity and sex-stratified summaries are reported in Appendix B and Appendix C.</w:t>
      </w:r>
    </w:p>
    <w:p>
      <w:pPr>
        <w:pStyle w:val="BodyText"/>
      </w:pPr>
      <w:r>
        <w:t xml:space="preserve">These are linear comparative proxy loads, not simulations of labour.</w:t>
      </w:r>
      <w:r>
        <w:t xml:space="preserve"> </w:t>
      </w:r>
      <w:r>
        <w:t xml:space="preserve">They do not model fetal contact, tissue remodelling, hormone-dependent softening, or nonlinear late-stage birth mechanics.</w:t>
      </w:r>
      <w:r>
        <w:t xml:space="preserve"> </w:t>
      </w:r>
      <w:r>
        <w:t xml:space="preserve">Their value is comparative: they reveal which deformation programs are preferentially recruited under different loading geometries, not whether the model can predict clinical childbirth outcomes.</w:t>
      </w:r>
    </w:p>
    <w:p>
      <w:pPr>
        <w:pStyle w:val="CaptionedFigure"/>
      </w:pPr>
      <w:r>
        <w:drawing>
          <wp:inline>
            <wp:extent cx="5334000" cy="2138538"/>
            <wp:effectExtent b="0" l="0" r="0" t="0"/>
            <wp:docPr descr="Figure 6. Standing and proxy loads recruit different parts of the spectrum. Sex-stratified distributions of modal strain-energy fractions for standing (SP2leg, SP1leg) and the proxy load family LAB_1–LAB_3. Standing remains concentrated in the low-rank backbone, whereas the proxy loads recruit higher-rank pathways in a phase-specific way." title="" id="1" name="Picture"/>
            <a:graphic>
              <a:graphicData uri="http://schemas.openxmlformats.org/drawingml/2006/picture">
                <pic:pic>
                  <pic:nvPicPr>
                    <pic:cNvPr descr="/tmp/tmp9a1knb99/media/fractions_panel_A_e03b512f3c83.png" id="0" name="Picture"/>
                    <pic:cNvPicPr>
                      <a:picLocks noChangeArrowheads="1" noChangeAspect="1"/>
                    </pic:cNvPicPr>
                  </pic:nvPicPr>
                  <pic:blipFill>
                    <a:blip r:embed="rId33"/>
                    <a:stretch>
                      <a:fillRect/>
                    </a:stretch>
                  </pic:blipFill>
                  <pic:spPr bwMode="auto">
                    <a:xfrm>
                      <a:off x="0" y="0"/>
                      <a:ext cx="5334000" cy="2138538"/>
                    </a:xfrm>
                    <a:prstGeom prst="rect">
                      <a:avLst/>
                    </a:prstGeom>
                    <a:noFill/>
                    <a:ln w="9525">
                      <a:noFill/>
                      <a:headEnd/>
                      <a:tailEnd/>
                    </a:ln>
                  </pic:spPr>
                </pic:pic>
              </a:graphicData>
            </a:graphic>
          </wp:inline>
        </w:drawing>
      </w:r>
    </w:p>
    <w:p>
      <w:pPr>
        <w:pStyle w:val="ImageCaption"/>
      </w:pPr>
      <w:r>
        <w:t xml:space="preserve">Figure 6.</w:t>
      </w:r>
      <w:r>
        <w:t xml:space="preserve"> </w:t>
      </w:r>
      <w:r>
        <w:rPr>
          <w:bCs/>
          <w:b/>
        </w:rPr>
        <w:t xml:space="preserve">Standing and proxy loads recruit different parts of the spectrum.</w:t>
      </w:r>
      <w:r>
        <w:t xml:space="preserve"> </w:t>
      </w:r>
      <w:r>
        <w:t xml:space="preserve">Sex-stratified distributions of modal strain-energy fractions for standing (SP2leg, SP1leg) and the proxy load family LAB</w:t>
      </w:r>
      <m:oMath>
        <m:sSub>
          <m:e>
            <m:r>
              <m:t>​</m:t>
            </m:r>
          </m:e>
          <m:sub>
            <m:r>
              <m:t>1</m:t>
            </m:r>
          </m:sub>
        </m:sSub>
      </m:oMath>
      <w:r>
        <w:t xml:space="preserve">–LAB</w:t>
      </w:r>
      <m:oMath>
        <m:sSub>
          <m:e>
            <m:r>
              <m:t>​</m:t>
            </m:r>
          </m:e>
          <m:sub>
            <m:r>
              <m:t>3</m:t>
            </m:r>
          </m:sub>
        </m:sSub>
      </m:oMath>
      <w:r>
        <w:t xml:space="preserve">.</w:t>
      </w:r>
      <w:r>
        <w:t xml:space="preserve"> </w:t>
      </w:r>
      <w:r>
        <w:t xml:space="preserve">Standing remains concentrated in the low-rank backbone, whereas the proxy loads recruit higher-rank pathways in a phase-specific way.</w:t>
      </w:r>
    </w:p>
    <w:p>
      <w:pPr>
        <w:pStyle w:val="TableCaption"/>
      </w:pPr>
      <w:r>
        <w:t xml:space="preserve">Table 2.</w:t>
      </w:r>
      <w:r>
        <w:t xml:space="preserve"> </w:t>
      </w:r>
      <w:r>
        <w:rPr>
          <w:bCs/>
          <w:b/>
        </w:rPr>
        <w:t xml:space="preserve">Dominant mode sets for the standing and proxy loading cases.</w:t>
      </w:r>
      <w:r>
        <w:t xml:space="preserve"> </w:t>
      </w:r>
      <m:oMath>
        <m:sSub>
          <m:e>
            <m:r>
              <m:t>N</m:t>
            </m:r>
          </m:e>
          <m:sub>
            <m:r>
              <m:t>80</m:t>
            </m:r>
          </m:sub>
        </m:sSub>
      </m:oMath>
      <w:r>
        <w:t xml:space="preserve"> </w:t>
      </w:r>
      <w:r>
        <w:t xml:space="preserve">denotes the smallest set of modes required to reach 80% cumulative mean energy fraction.</w:t>
      </w:r>
    </w:p>
    <w:tbl>
      <w:tblPr>
        <w:tblStyle w:val="Table"/>
        <w:tblW w:type="pct" w:w="0.0"/>
        <w:tblLook w:firstRow="1" w:lastRow="0" w:firstColumn="0" w:lastColumn="0" w:noHBand="0" w:noVBand="0" w:val="0020"/>
        <w:tblCaption w:val="Table 2. Dominant mode sets for the standing and proxy loading cases. N_{80} denotes the smallest set of modes required to reach 80% cumulative mean energy fraction."/>
      </w:tblPr>
      <w:tblGrid/>
      <w:tr>
        <w:tc>
          <w:p>
            <w:pPr>
              <w:pStyle w:val="Compact"/>
              <w:jc w:val="left"/>
            </w:pPr>
            <w:r>
              <w:t xml:space="preserve">Load</w:t>
            </w:r>
          </w:p>
        </w:tc>
        <w:tc>
          <w:p>
            <w:pPr>
              <w:pStyle w:val="Compact"/>
              <w:jc w:val="left"/>
            </w:pPr>
            <w:r>
              <w:t xml:space="preserve">Top mode</w:t>
            </w:r>
          </w:p>
        </w:tc>
        <w:tc>
          <w:p>
            <w:pPr>
              <w:pStyle w:val="Compact"/>
              <w:jc w:val="right"/>
            </w:pPr>
            <w:r>
              <w:t xml:space="preserve">Top mode share (</w:t>
            </w:r>
          </w:p>
        </w:tc>
        <w:tc>
          <w:p/>
        </w:tc>
        <w:tc>
          <w:p/>
        </w:tc>
        <w:tc>
          <w:p/>
        </w:tc>
        <w:tc>
          <w:p/>
        </w:tc>
        <w:tc>
          <w:p/>
        </w:tc>
      </w:tr>
      <w:tr>
        <w:tc>
          <w:p>
            <w:pPr>
              <w:pStyle w:val="Compact"/>
              <w:jc w:val="left"/>
            </w:pPr>
            <w:r>
              <w:t xml:space="preserve">SP2leg</w:t>
            </w:r>
          </w:p>
        </w:tc>
        <w:tc>
          <w:p>
            <w:pPr>
              <w:pStyle w:val="Compact"/>
              <w:jc w:val="left"/>
            </w:pPr>
            <w:r>
              <w:t xml:space="preserve">2 (ML rotation)</w:t>
            </w:r>
          </w:p>
        </w:tc>
        <w:tc>
          <w:p>
            <w:pPr>
              <w:pStyle w:val="Compact"/>
              <w:jc w:val="right"/>
            </w:pPr>
            <w:r>
              <w:t xml:space="preserve">84.49</w:t>
            </w:r>
          </w:p>
        </w:tc>
        <w:tc>
          <w:p>
            <w:pPr>
              <w:pStyle w:val="Compact"/>
              <w:jc w:val="left"/>
            </w:pPr>
            <w:r>
              <w:t xml:space="preserve">2,4,5</w:t>
            </w:r>
          </w:p>
        </w:tc>
        <w:tc>
          <w:p>
            <w:pPr>
              <w:pStyle w:val="Compact"/>
              <w:jc w:val="right"/>
            </w:pPr>
            <w:r>
              <w:t xml:space="preserve">93.79</w:t>
            </w:r>
          </w:p>
        </w:tc>
        <w:tc>
          <w:p>
            <w:pPr>
              <w:pStyle w:val="Compact"/>
              <w:jc w:val="right"/>
            </w:pPr>
            <w:r>
              <w:t xml:space="preserve">1</w:t>
            </w:r>
          </w:p>
        </w:tc>
        <w:tc>
          <w:p>
            <w:pPr>
              <w:pStyle w:val="Compact"/>
              <w:jc w:val="left"/>
            </w:pPr>
            <w:r>
              <w:t xml:space="preserve">2</w:t>
            </w:r>
          </w:p>
        </w:tc>
        <w:tc>
          <w:p>
            <w:pPr>
              <w:pStyle w:val="Compact"/>
              <w:jc w:val="right"/>
            </w:pPr>
            <w:r>
              <w:t xml:space="preserve">84.49</w:t>
            </w:r>
          </w:p>
        </w:tc>
      </w:tr>
      <w:tr>
        <w:tc>
          <w:p>
            <w:pPr>
              <w:pStyle w:val="Compact"/>
              <w:jc w:val="left"/>
            </w:pPr>
            <w:r>
              <w:t xml:space="preserve">SP1leg</w:t>
            </w:r>
          </w:p>
        </w:tc>
        <w:tc>
          <w:p>
            <w:pPr>
              <w:pStyle w:val="Compact"/>
              <w:jc w:val="left"/>
            </w:pPr>
            <w:r>
              <w:t xml:space="preserve">1 (CC rotation)</w:t>
            </w:r>
          </w:p>
        </w:tc>
        <w:tc>
          <w:p>
            <w:pPr>
              <w:pStyle w:val="Compact"/>
              <w:jc w:val="right"/>
            </w:pPr>
            <w:r>
              <w:t xml:space="preserve">39.89</w:t>
            </w:r>
          </w:p>
        </w:tc>
        <w:tc>
          <w:p>
            <w:pPr>
              <w:pStyle w:val="Compact"/>
              <w:jc w:val="left"/>
            </w:pPr>
            <w:r>
              <w:t xml:space="preserve">1,2,3</w:t>
            </w:r>
          </w:p>
        </w:tc>
        <w:tc>
          <w:p>
            <w:pPr>
              <w:pStyle w:val="Compact"/>
              <w:jc w:val="right"/>
            </w:pPr>
            <w:r>
              <w:t xml:space="preserve">92.04</w:t>
            </w:r>
          </w:p>
        </w:tc>
        <w:tc>
          <w:p>
            <w:pPr>
              <w:pStyle w:val="Compact"/>
              <w:jc w:val="right"/>
            </w:pPr>
            <w:r>
              <w:t xml:space="preserve">3</w:t>
            </w:r>
          </w:p>
        </w:tc>
        <w:tc>
          <w:p>
            <w:pPr>
              <w:pStyle w:val="Compact"/>
              <w:jc w:val="left"/>
            </w:pPr>
            <w:r>
              <w:t xml:space="preserve">1,2,3</w:t>
            </w:r>
          </w:p>
        </w:tc>
        <w:tc>
          <w:p>
            <w:pPr>
              <w:pStyle w:val="Compact"/>
              <w:jc w:val="right"/>
            </w:pPr>
            <w:r>
              <w:t xml:space="preserve">92.04</w:t>
            </w:r>
          </w:p>
        </w:tc>
      </w:tr>
      <w:tr>
        <w:tc>
          <w:p>
            <w:pPr>
              <w:pStyle w:val="Compact"/>
              <w:jc w:val="left"/>
            </w:pPr>
            <w:r>
              <w:t xml:space="preserve">LAB</w:t>
            </w:r>
            <m:oMath>
              <m:sSub>
                <m:e>
                  <m:r>
                    <m:t>​</m:t>
                  </m:r>
                </m:e>
                <m:sub>
                  <m:r>
                    <m:t>1</m:t>
                  </m:r>
                </m:sub>
              </m:sSub>
            </m:oMath>
          </w:p>
        </w:tc>
        <w:tc>
          <w:p>
            <w:pPr>
              <w:pStyle w:val="Compact"/>
              <w:jc w:val="left"/>
            </w:pPr>
            <w:r>
              <w:t xml:space="preserve">9 (inlet opening)</w:t>
            </w:r>
          </w:p>
        </w:tc>
        <w:tc>
          <w:p>
            <w:pPr>
              <w:pStyle w:val="Compact"/>
              <w:jc w:val="right"/>
            </w:pPr>
            <w:r>
              <w:t xml:space="preserve">33.49</w:t>
            </w:r>
          </w:p>
        </w:tc>
        <w:tc>
          <w:p>
            <w:pPr>
              <w:pStyle w:val="Compact"/>
              <w:jc w:val="left"/>
            </w:pPr>
            <w:r>
              <w:t xml:space="preserve">9,10,8</w:t>
            </w:r>
          </w:p>
        </w:tc>
        <w:tc>
          <w:p>
            <w:pPr>
              <w:pStyle w:val="Compact"/>
              <w:jc w:val="right"/>
            </w:pPr>
            <w:r>
              <w:t xml:space="preserve">66.12</w:t>
            </w:r>
          </w:p>
        </w:tc>
        <w:tc>
          <w:p>
            <w:pPr>
              <w:pStyle w:val="Compact"/>
              <w:jc w:val="right"/>
            </w:pPr>
            <w:r>
              <w:t xml:space="preserve">5</w:t>
            </w:r>
          </w:p>
        </w:tc>
        <w:tc>
          <w:p>
            <w:pPr>
              <w:pStyle w:val="Compact"/>
              <w:jc w:val="left"/>
            </w:pPr>
            <w:r>
              <w:t xml:space="preserve">9,10,8,4,3</w:t>
            </w:r>
          </w:p>
        </w:tc>
        <w:tc>
          <w:p>
            <w:pPr>
              <w:pStyle w:val="Compact"/>
              <w:jc w:val="right"/>
            </w:pPr>
            <w:r>
              <w:t xml:space="preserve">81.48</w:t>
            </w:r>
          </w:p>
        </w:tc>
      </w:tr>
      <w:tr>
        <w:tc>
          <w:p>
            <w:pPr>
              <w:pStyle w:val="Compact"/>
              <w:jc w:val="left"/>
            </w:pPr>
            <w:r>
              <w:t xml:space="preserve">LAB</w:t>
            </w:r>
            <m:oMath>
              <m:sSub>
                <m:e>
                  <m:r>
                    <m:t>​</m:t>
                  </m:r>
                </m:e>
                <m:sub>
                  <m:r>
                    <m:t>2</m:t>
                  </m:r>
                </m:sub>
              </m:sSub>
            </m:oMath>
          </w:p>
        </w:tc>
        <w:tc>
          <w:p>
            <w:pPr>
              <w:pStyle w:val="Compact"/>
              <w:jc w:val="left"/>
            </w:pPr>
            <w:r>
              <w:t xml:space="preserve">5</w:t>
            </w:r>
          </w:p>
        </w:tc>
        <w:tc>
          <w:p>
            <w:pPr>
              <w:pStyle w:val="Compact"/>
              <w:jc w:val="right"/>
            </w:pPr>
            <w:r>
              <w:t xml:space="preserve">25.15</w:t>
            </w:r>
          </w:p>
        </w:tc>
        <w:tc>
          <w:p>
            <w:pPr>
              <w:pStyle w:val="Compact"/>
              <w:jc w:val="left"/>
            </w:pPr>
            <w:r>
              <w:t xml:space="preserve">5,6,4</w:t>
            </w:r>
          </w:p>
        </w:tc>
        <w:tc>
          <w:p>
            <w:pPr>
              <w:pStyle w:val="Compact"/>
              <w:jc w:val="right"/>
            </w:pPr>
            <w:r>
              <w:t xml:space="preserve">74.77</w:t>
            </w:r>
          </w:p>
        </w:tc>
        <w:tc>
          <w:p>
            <w:pPr>
              <w:pStyle w:val="Compact"/>
              <w:jc w:val="right"/>
            </w:pPr>
            <w:r>
              <w:t xml:space="preserve">4</w:t>
            </w:r>
          </w:p>
        </w:tc>
        <w:tc>
          <w:p>
            <w:pPr>
              <w:pStyle w:val="Compact"/>
              <w:jc w:val="left"/>
            </w:pPr>
            <w:r>
              <w:t xml:space="preserve">5,6,4,9</w:t>
            </w:r>
          </w:p>
        </w:tc>
        <w:tc>
          <w:p>
            <w:pPr>
              <w:pStyle w:val="Compact"/>
              <w:jc w:val="right"/>
            </w:pPr>
            <w:r>
              <w:t xml:space="preserve">85.8</w:t>
            </w:r>
          </w:p>
        </w:tc>
      </w:tr>
      <w:tr>
        <w:tc>
          <w:p>
            <w:pPr>
              <w:pStyle w:val="Compact"/>
              <w:jc w:val="left"/>
            </w:pPr>
            <w:r>
              <w:t xml:space="preserve">LAB</w:t>
            </w:r>
            <m:oMath>
              <m:sSub>
                <m:e>
                  <m:r>
                    <m:t>​</m:t>
                  </m:r>
                </m:e>
                <m:sub>
                  <m:r>
                    <m:t>3</m:t>
                  </m:r>
                </m:sub>
              </m:sSub>
            </m:oMath>
          </w:p>
        </w:tc>
        <w:tc>
          <w:p>
            <w:pPr>
              <w:pStyle w:val="Compact"/>
              <w:jc w:val="left"/>
            </w:pPr>
            <w:r>
              <w:t xml:space="preserve">2 (ML rotation)</w:t>
            </w:r>
          </w:p>
        </w:tc>
        <w:tc>
          <w:p>
            <w:pPr>
              <w:pStyle w:val="Compact"/>
              <w:jc w:val="right"/>
            </w:pPr>
            <w:r>
              <w:t xml:space="preserve">45.81</w:t>
            </w:r>
          </w:p>
        </w:tc>
        <w:tc>
          <w:p>
            <w:pPr>
              <w:pStyle w:val="Compact"/>
              <w:jc w:val="left"/>
            </w:pPr>
            <w:r>
              <w:t xml:space="preserve">2,5,4</w:t>
            </w:r>
          </w:p>
        </w:tc>
        <w:tc>
          <w:p>
            <w:pPr>
              <w:pStyle w:val="Compact"/>
              <w:jc w:val="right"/>
            </w:pPr>
            <w:r>
              <w:t xml:space="preserve">68.09</w:t>
            </w:r>
          </w:p>
        </w:tc>
        <w:tc>
          <w:p>
            <w:pPr>
              <w:pStyle w:val="Compact"/>
              <w:jc w:val="right"/>
            </w:pPr>
            <w:r>
              <w:t xml:space="preserve">5</w:t>
            </w:r>
          </w:p>
        </w:tc>
        <w:tc>
          <w:p>
            <w:pPr>
              <w:pStyle w:val="Compact"/>
              <w:jc w:val="left"/>
            </w:pPr>
            <w:r>
              <w:t xml:space="preserve">2,5,4,9,6</w:t>
            </w:r>
          </w:p>
        </w:tc>
        <w:tc>
          <w:p>
            <w:pPr>
              <w:pStyle w:val="Compact"/>
              <w:jc w:val="right"/>
            </w:pPr>
            <w:r>
              <w:t xml:space="preserve">85.8</w:t>
            </w:r>
          </w:p>
        </w:tc>
      </w:tr>
    </w:tbl>
    <w:bookmarkEnd w:id="34"/>
    <w:bookmarkStart w:id="35" w:name="X33bc8b20b9d9235aee3c3d5e8f359f961ef7c45"/>
    <w:p>
      <w:pPr>
        <w:pStyle w:val="Heading2"/>
      </w:pPr>
      <w:r>
        <w:t xml:space="preserve">Load-routing overlap distinguishes shared backbone support from selective clustered recruitment</w:t>
      </w:r>
    </w:p>
    <w:p>
      <w:pPr>
        <w:pStyle w:val="FirstParagraph"/>
      </w:pPr>
      <w:r>
        <w:t xml:space="preserve">Overlap analysis confirms that shared low-rank support and task-specific higher-rank routing are not the same thing.</w:t>
      </w:r>
      <w:r>
        <w:t xml:space="preserve"> </w:t>
      </w:r>
      <w:r>
        <w:t xml:space="preserve">Both standing cases remain backbone-dominated, yet they are not identical: SP2leg reaches 80% cumulative throughput with mode 2 alone, whereas SP1leg requires the full triad modes 1–3.</w:t>
      </w:r>
      <w:r>
        <w:t xml:space="preserve"> </w:t>
      </w:r>
      <w:r>
        <w:t xml:space="preserve">Among the proxy loads, LAB</w:t>
      </w:r>
      <m:oMath>
        <m:sSub>
          <m:e>
            <m:r>
              <m:t>​</m:t>
            </m:r>
          </m:e>
          <m:sub>
            <m:r>
              <m:t>1</m:t>
            </m:r>
          </m:sub>
        </m:sSub>
      </m:oMath>
      <w:r>
        <w:t xml:space="preserve"> is distinguished by its emphasis on the 9–10 inlet-related subspace, whereas LAB</w:t>
      </w:r>
      <m:oMath>
        <m:sSub>
          <m:e>
            <m:r>
              <m:t>​</m:t>
            </m:r>
          </m:e>
          <m:sub>
            <m:r>
              <m:t>2</m:t>
            </m:r>
          </m:sub>
        </m:sSub>
      </m:oMath>
      <w:r>
        <w:t xml:space="preserve"> and LAB</w:t>
      </w:r>
      <m:oMath>
        <m:sSub>
          <m:e>
            <m:r>
              <m:t>​</m:t>
            </m:r>
          </m:e>
          <m:sub>
            <m:r>
              <m:t>3</m:t>
            </m:r>
          </m:sub>
        </m:sSub>
      </m:oMath>
      <w:r>
        <w:t xml:space="preserve"> share greater mid-rank content, which clarifies why the 5–6 pair is an outlet-related secondary result rather than a side observation.</w:t>
      </w:r>
      <w:r>
        <w:t xml:space="preserve"> </w:t>
      </w:r>
      <w:r>
        <w:t xml:space="preserve">Shared dominant modes and shared full routing profiles are therefore complementary but inequivalent descriptors.</w:t>
      </w:r>
      <w:r>
        <w:t xml:space="preserve"> </w:t>
      </w:r>
      <w:r>
        <w:t xml:space="preserve">Population-scale spectral structure thus separates a conserved low-rank backbone from a selectively recruited higher-rank repertoire whose function is typically more stable at the subspace level than at the level of individual labels.</w:t>
      </w:r>
      <w:r>
        <w:t xml:space="preserve"> </w:t>
      </w:r>
      <w:r>
        <w:t xml:space="preserve">Detailed pairwise overlap values are provided in Appendix C.</w:t>
      </w:r>
    </w:p>
    <w:bookmarkEnd w:id="35"/>
    <w:bookmarkStart w:id="37" w:name="X35d8057bf8bfa0d2d9311b555336859a14e66e7"/>
    <w:p>
      <w:pPr>
        <w:pStyle w:val="Heading2"/>
      </w:pPr>
      <w:r>
        <w:t xml:space="preserve">A minimal two-mode model reproduces the observed label–subspace dissociation</w:t>
      </w:r>
    </w:p>
    <w:p>
      <w:pPr>
        <w:pStyle w:val="FirstParagraph"/>
      </w:pPr>
      <w:r>
        <w:t xml:space="preserve">The organisation observed in the pelvic cohort admits a compact analytical interpretation in terms of the two- and three-degree-of-freedom models of Sec. 4.12.</w:t>
      </w:r>
      <w:r>
        <w:t xml:space="preserve"> </w:t>
      </w:r>
      <w:r>
        <w:t xml:space="preserve">Fig. 7 shows a stochastic cohort in which a morphology coordinate</w:t>
      </w:r>
      <w:r>
        <w:t xml:space="preserve"> </w:t>
      </w:r>
      <m:oMath>
        <m:r>
          <m:t>μ</m:t>
        </m:r>
      </m:oMath>
      <w:r>
        <w:t xml:space="preserve"> </w:t>
      </w:r>
      <w:r>
        <w:t xml:space="preserve">modulates the detuning of a clustered pair on top of a gap-protected backbone, with additional cohort-level nuisance variability introduced through a compliant hidden pathway of scale</w:t>
      </w:r>
      <w:r>
        <w:t xml:space="preserve"> </w:t>
      </w:r>
      <m:oMath>
        <m:r>
          <m:t>η</m:t>
        </m:r>
      </m:oMath>
      <w:r>
        <w:t xml:space="preserve">.</w:t>
      </w:r>
      <w:r>
        <w:t xml:space="preserve"> </w:t>
      </w:r>
      <w:r>
        <w:t xml:space="preserve">The three model behaviours mirror the three empirical findings of the preceding subsections.</w:t>
      </w:r>
      <w:r>
        <w:t xml:space="preserve"> </w:t>
      </w:r>
      <w:r>
        <w:t xml:space="preserve">First, the backbone mode keeps a stable rank across all subjects and all values of</w:t>
      </w:r>
      <w:r>
        <w:t xml:space="preserve"> </w:t>
      </w:r>
      <m:oMath>
        <m:r>
          <m:t>μ</m:t>
        </m:r>
      </m:oMath>
      <w:r>
        <w:t xml:space="preserve"> </w:t>
      </w:r>
      <w:r>
        <w:t xml:space="preserve">(Fig. 7A), matching the order-locked behaviour of modes 1–3 in the FE cohort.</w:t>
      </w:r>
      <w:r>
        <w:t xml:space="preserve"> </w:t>
      </w:r>
      <w:r>
        <w:t xml:space="preserve">Second, as</w:t>
      </w:r>
      <w:r>
        <w:t xml:space="preserve"> </w:t>
      </w:r>
      <m:oMath>
        <m:r>
          <m:t>μ</m:t>
        </m:r>
      </m:oMath>
      <w:r>
        <w:t xml:space="preserve"> </w:t>
      </w:r>
      <w:r>
        <w:t xml:space="preserve">crosses the near-degenerate zone, the two cluster labels exchange their coupling to an inlet-like functional while the two-dimensional cluster subspace continues to carry the function (Fig. 7B), reproducing the label-versus-subspace split documented for the 9–10 pair (Fig. 4).</w:t>
      </w:r>
      <w:r>
        <w:t xml:space="preserve"> </w:t>
      </w:r>
      <w:r>
        <w:t xml:space="preserve">Third, a standing-like load routes almost entirely through the backbone, while a task-like load recruits the clustered block, with the label-level split between its two modes moving between subjects but the block-level recruitment staying high (Fig. 7C), mirroring the backbone-versus-higher-rank contrast in the SP2leg/SP1leg and LAB</w:t>
      </w:r>
      <m:oMath>
        <m:sSub>
          <m:e>
            <m:r>
              <m:t>​</m:t>
            </m:r>
          </m:e>
          <m:sub>
            <m:r>
              <m:t>1</m:t>
            </m:r>
          </m:sub>
        </m:sSub>
      </m:oMath>
      <w:r>
        <w:t xml:space="preserve">–LAB</w:t>
      </w:r>
      <m:oMath>
        <m:sSub>
          <m:e>
            <m:r>
              <m:t>​</m:t>
            </m:r>
          </m:e>
          <m:sub>
            <m:r>
              <m:t>3</m:t>
            </m:r>
          </m:sub>
        </m:sSub>
      </m:oMath>
      <w:r>
        <w:t xml:space="preserve"> load cases.</w:t>
      </w:r>
      <w:r>
        <w:t xml:space="preserve"> </w:t>
      </w:r>
      <w:r>
        <w:t xml:space="preserve">Increasing the hidden-pathway variability scale </w:t>
      </w:r>
      <m:oMath>
        <m:r>
          <m:t>η</m:t>
        </m:r>
      </m:oMath>
      <w:r>
        <w:t xml:space="preserve"> </w:t>
      </w:r>
      <w:r>
        <w:t xml:space="preserve">at fixed morphology broadens the label-swap rate while leaving subspace coupling and task routing essentially unchanged (Fig. 7D), illustrating how cohort-level nuisance variability expected from unmodelled tissue heterogeneity can change which mode carries the function without changing whether the function is carried.</w:t>
      </w:r>
      <w:r>
        <w:t xml:space="preserve"> </w:t>
      </w:r>
      <w:r>
        <w:t xml:space="preserve">The two-dimensional cluster in the toy model plays the same role as</w:t>
      </w:r>
      <w:r>
        <w:t xml:space="preserve"> </w:t>
      </w:r>
      <m:oMath>
        <m:r>
          <m:rPr>
            <m:sty m:val="p"/>
          </m:rPr>
          <m:t>s</m:t>
        </m:r>
        <m:r>
          <m:rPr>
            <m:sty m:val="p"/>
          </m:rPr>
          <m:t>p</m:t>
        </m:r>
        <m:r>
          <m:rPr>
            <m:sty m:val="p"/>
          </m:rPr>
          <m:t>a</m:t>
        </m:r>
        <m:r>
          <m:rPr>
            <m:sty m:val="p"/>
          </m:rPr>
          <m:t>n</m:t>
        </m:r>
        <m:r>
          <m:rPr>
            <m:sty m:val="p"/>
          </m:rPr>
          <m:t>(</m:t>
        </m:r>
        <m:sSub>
          <m:e>
            <m:r>
              <m:t>Q</m:t>
            </m:r>
          </m:e>
          <m:sub>
            <m:r>
              <m:t>s</m:t>
            </m:r>
          </m:sub>
        </m:sSub>
        <m:r>
          <m:rPr>
            <m:sty m:val="p"/>
          </m:rPr>
          <m:t>)</m:t>
        </m:r>
      </m:oMath>
      <w:r>
        <w:t xml:space="preserve"> </w:t>
      </w:r>
      <w:r>
        <w:t xml:space="preserve">in the FE framework, and the morphology coordinate </w:t>
      </w:r>
      <m:oMath>
        <m:r>
          <m:t>μ</m:t>
        </m:r>
      </m:oMath>
      <w:r>
        <w:t xml:space="preserve"> </w:t>
      </w:r>
      <w:r>
        <w:t xml:space="preserve">plays the role of the empirical AP-inlet diameter: both are gentle anatomical parameters that can drive a well-defined functional pair across the near-degenerate zone without abolishing its biological content.</w:t>
      </w:r>
      <w:r>
        <w:t xml:space="preserve"> </w:t>
      </w:r>
      <w:r>
        <w:t xml:space="preserve">This minimal model therefore formalises why the interpretive unit must shift from</w:t>
      </w:r>
      <w:r>
        <w:t xml:space="preserve"> </w:t>
      </w:r>
      <w:r>
        <w:rPr>
          <w:iCs/>
          <w:i/>
        </w:rPr>
        <w:t xml:space="preserve">mode label</w:t>
      </w:r>
      <w:r>
        <w:t xml:space="preserve"> </w:t>
      </w:r>
      <w:r>
        <w:t xml:space="preserve">to</w:t>
      </w:r>
      <w:r>
        <w:t xml:space="preserve"> </w:t>
      </w:r>
      <w:r>
        <w:rPr>
          <w:iCs/>
          <w:i/>
        </w:rPr>
        <w:t xml:space="preserve">cluster subspace</w:t>
      </w:r>
      <w:r>
        <w:t xml:space="preserve"> </w:t>
      </w:r>
      <w:r>
        <w:t xml:space="preserve">precisely in the regime in which gaps collapse, and why this shift does not imply loss of mechanical specificity.</w:t>
      </w:r>
    </w:p>
    <w:p>
      <w:pPr>
        <w:pStyle w:val="CaptionedFigure"/>
      </w:pPr>
      <w:r>
        <w:drawing>
          <wp:inline>
            <wp:extent cx="5334000" cy="3409207"/>
            <wp:effectExtent b="0" l="0" r="0" t="0"/>
            <wp:docPr descr="Figure 7. Two-mode analytical model reproduces the label–subspace dissociation observed in the pelvic cohort. A stochastic cohort of the 2-DOF/3-DOF model in Sec. 4.12 with morphology coordinate \mu and hidden-pathway scale \eta. (A) Spectrum: the backbone mode keeps a stable rank across subjects, while a clustered higher-rank pair enters a near-degenerate zone at \mu\!\approx\!0. (B) Coupling of an inlet-like linear functional: label-level coupling exchanges between the two cluster modes across the near-degenerate zone, while coupling to the shared 2D cluster subspace remains consistently high. (C) Median modal routing fractions: a standing-like load concentrates in the backbone, while a task-like load routes \approx 97\% through the clustered block with a variable between-label split. (D) Effect of hidden-pathway variability scale \eta at fixed morphology: the label-swap rate increases with \eta, whereas subspace coupling and task routing remain nearly constant. The analytical model mirrors the cohort findings of Figs. 4–6: rank identity can be broken inside a clustered block without degrading the block’s mechanical function." title="" id="1" name="Picture"/>
            <a:graphic>
              <a:graphicData uri="http://schemas.openxmlformats.org/drawingml/2006/picture">
                <pic:pic>
                  <pic:nvPicPr>
                    <pic:cNvPr descr="/tmp/tmp9a1knb99/media/toy_subspace_dashboard_716fda442617.png" id="0" name="Picture"/>
                    <pic:cNvPicPr>
                      <a:picLocks noChangeArrowheads="1" noChangeAspect="1"/>
                    </pic:cNvPicPr>
                  </pic:nvPicPr>
                  <pic:blipFill>
                    <a:blip r:embed="rId36"/>
                    <a:stretch>
                      <a:fillRect/>
                    </a:stretch>
                  </pic:blipFill>
                  <pic:spPr bwMode="auto">
                    <a:xfrm>
                      <a:off x="0" y="0"/>
                      <a:ext cx="5334000" cy="3409207"/>
                    </a:xfrm>
                    <a:prstGeom prst="rect">
                      <a:avLst/>
                    </a:prstGeom>
                    <a:noFill/>
                    <a:ln w="9525">
                      <a:noFill/>
                      <a:headEnd/>
                      <a:tailEnd/>
                    </a:ln>
                  </pic:spPr>
                </pic:pic>
              </a:graphicData>
            </a:graphic>
          </wp:inline>
        </w:drawing>
      </w:r>
    </w:p>
    <w:p>
      <w:pPr>
        <w:pStyle w:val="ImageCaption"/>
      </w:pPr>
      <w:r>
        <w:t xml:space="preserve">Figure 7.</w:t>
      </w:r>
      <w:r>
        <w:t xml:space="preserve"> </w:t>
      </w:r>
      <w:r>
        <w:rPr>
          <w:bCs/>
          <w:b/>
        </w:rPr>
        <w:t xml:space="preserve">Two-mode analytical model reproduces the label–subspace dissociation observed in the pelvic cohort.</w:t>
      </w:r>
      <w:r>
        <w:t xml:space="preserve"> </w:t>
      </w:r>
      <w:r>
        <w:t xml:space="preserve">A stochastic cohort of the 2-DOF/3-DOF model in Sec. 4.12 with morphology coordinate </w:t>
      </w:r>
      <m:oMath>
        <m:r>
          <m:t>μ</m:t>
        </m:r>
      </m:oMath>
      <w:r>
        <w:t xml:space="preserve"> </w:t>
      </w:r>
      <w:r>
        <w:t xml:space="preserve">and hidden-pathway scale </w:t>
      </w:r>
      <m:oMath>
        <m:r>
          <m:t>η</m:t>
        </m:r>
      </m:oMath>
      <w:r>
        <w:t xml:space="preserve">.</w:t>
      </w:r>
      <w:r>
        <w:t xml:space="preserve"> </w:t>
      </w:r>
      <w:r>
        <w:rPr>
          <w:bCs/>
          <w:b/>
        </w:rPr>
        <w:t xml:space="preserve">(A)</w:t>
      </w:r>
      <w:r>
        <w:t xml:space="preserve"> Spectrum: the backbone mode keeps a stable rank across subjects, while a clustered higher-rank pair enters a near-degenerate zone at</w:t>
      </w:r>
      <w:r>
        <w:t xml:space="preserve"> </w:t>
      </w:r>
      <m:oMath>
        <m:r>
          <m:t>μ</m:t>
        </m:r>
        <m:r>
          <m:t>​</m:t>
        </m:r>
        <m:r>
          <m:rPr>
            <m:sty m:val="p"/>
          </m:rPr>
          <m:t>≈</m:t>
        </m:r>
        <m:r>
          <m:t>​</m:t>
        </m:r>
        <m:r>
          <m:t>0</m:t>
        </m:r>
      </m:oMath>
      <w:r>
        <w:t xml:space="preserve">.</w:t>
      </w:r>
      <w:r>
        <w:t xml:space="preserve"> </w:t>
      </w:r>
      <w:r>
        <w:rPr>
          <w:bCs/>
          <w:b/>
        </w:rPr>
        <w:t xml:space="preserve">(B)</w:t>
      </w:r>
      <w:r>
        <w:t xml:space="preserve"> Coupling of an inlet-like linear functional: label-level coupling exchanges between the two cluster modes across the near-degenerate zone, while coupling to the shared 2D cluster subspace remains consistently high.</w:t>
      </w:r>
      <w:r>
        <w:t xml:space="preserve"> </w:t>
      </w:r>
      <w:r>
        <w:rPr>
          <w:bCs/>
          <w:b/>
        </w:rPr>
        <w:t xml:space="preserve">(C)</w:t>
      </w:r>
      <w:r>
        <w:t xml:space="preserve"> Median modal routing fractions: a standing-like load concentrates in the backbone, while a task-like load routes</w:t>
      </w:r>
      <w:r>
        <w:t xml:space="preserve"> </w:t>
      </w:r>
      <m:oMath>
        <m:r>
          <m:rPr>
            <m:sty m:val="p"/>
          </m:rPr>
          <m:t>≈</m:t>
        </m:r>
        <m:r>
          <m:t>97</m:t>
        </m:r>
        <m:r>
          <m:rPr>
            <m:sty m:val="p"/>
          </m:rPr>
          <m:t>%</m:t>
        </m:r>
      </m:oMath>
      <w:r>
        <w:t xml:space="preserve"> </w:t>
      </w:r>
      <w:r>
        <w:t xml:space="preserve">through the clustered block with a variable between-label split.</w:t>
      </w:r>
      <w:r>
        <w:t xml:space="preserve"> </w:t>
      </w:r>
      <w:r>
        <w:rPr>
          <w:bCs/>
          <w:b/>
        </w:rPr>
        <w:t xml:space="preserve">(D)</w:t>
      </w:r>
      <w:r>
        <w:t xml:space="preserve"> Effect of hidden-pathway variability scale </w:t>
      </w:r>
      <m:oMath>
        <m:r>
          <m:t>η</m:t>
        </m:r>
      </m:oMath>
      <w:r>
        <w:t xml:space="preserve"> </w:t>
      </w:r>
      <w:r>
        <w:t xml:space="preserve">at fixed morphology: the label-swap rate increases with </w:t>
      </w:r>
      <m:oMath>
        <m:r>
          <m:t>η</m:t>
        </m:r>
      </m:oMath>
      <w:r>
        <w:t xml:space="preserve">, whereas subspace coupling and task routing remain nearly constant.</w:t>
      </w:r>
      <w:r>
        <w:t xml:space="preserve"> </w:t>
      </w:r>
      <w:r>
        <w:t xml:space="preserve">The analytical model mirrors the cohort findings of Figs. 4–6: rank identity can be broken inside a clustered block without degrading the block’s mechanical function.</w:t>
      </w:r>
    </w:p>
    <w:bookmarkEnd w:id="37"/>
    <w:bookmarkEnd w:id="38"/>
    <w:bookmarkStart w:id="39" w:name="discussion"/>
    <w:p>
      <w:pPr>
        <w:pStyle w:val="Heading1"/>
      </w:pPr>
      <w:r>
        <w:t xml:space="preserve">Discussion</w:t>
      </w:r>
    </w:p>
    <w:p>
      <w:pPr>
        <w:pStyle w:val="FirstParagraph"/>
      </w:pPr>
      <w:r>
        <w:t xml:space="preserve">The pelvic cohort shows that mechanical function can remain robust across substantial anatomical variability without preserving a one-to-one mapping between function and spectral rank.</w:t>
      </w:r>
      <w:r>
        <w:t xml:space="preserve"> </w:t>
      </w:r>
      <w:r>
        <w:t xml:space="preserve">In this dataset, habitual load transfer is concentrated in a low-rank backbone, whereas selected higher-rank functions are preserved only at the level of compact clustered subspaces.</w:t>
      </w:r>
      <w:r>
        <w:t xml:space="preserve"> </w:t>
      </w:r>
      <w:r>
        <w:t xml:space="preserve">The biological point is not simply that mode labels can become unstable.</w:t>
      </w:r>
      <w:r>
        <w:t xml:space="preserve"> </w:t>
      </w:r>
      <w:r>
        <w:t xml:space="preserve">It is that anatomical variation can redistribute function within a small local repertoire while leaving the function itself available.</w:t>
      </w:r>
    </w:p>
    <w:p>
      <w:pPr>
        <w:pStyle w:val="BodyText"/>
      </w:pPr>
      <w:r>
        <w:t xml:space="preserve">That distinction separates three objects that are often treated as if they were interchangeable: anatomical shape, deformation pathway, and spectral order.</w:t>
      </w:r>
      <w:r>
        <w:t xml:space="preserve"> </w:t>
      </w:r>
      <w:r>
        <w:t xml:space="preserve">Shape can vary without preserving a label, and labels can exchange without erasing a function.</w:t>
      </w:r>
      <w:r>
        <w:t xml:space="preserve"> </w:t>
      </w:r>
      <w:r>
        <w:t xml:space="preserve">For population studies, the first question is therefore whether a function is order-locked or cluster-preserved.</w:t>
      </w:r>
      <w:r>
        <w:t xml:space="preserve"> </w:t>
      </w:r>
      <w:r>
        <w:t xml:space="preserve">Only after that distinction is made is it sensible to interpret a given spectral label biologically.</w:t>
      </w:r>
    </w:p>
    <w:p>
      <w:pPr>
        <w:pStyle w:val="BodyText"/>
      </w:pPr>
      <w:r>
        <w:t xml:space="preserve">The low-rank backbone represents the order-locked regime.</w:t>
      </w:r>
      <w:r>
        <w:t xml:space="preserve"> </w:t>
      </w:r>
      <w:r>
        <w:t xml:space="preserve">Modes 1–3 remain spectrally separated, rarely reorder, and dominate the standing loads.</w:t>
      </w:r>
      <w:r>
        <w:t xml:space="preserve"> </w:t>
      </w:r>
      <w:r>
        <w:t xml:space="preserve">Within the present linear framework, this supports the view that the most reusable pelvic load-transfer functions are carried by a small conserved set of low-cost pathways.</w:t>
      </w:r>
      <w:r>
        <w:t xml:space="preserve"> </w:t>
      </w:r>
      <w:r>
        <w:t xml:space="preserve">We do not infer an evolutionary or optimisation principle from these data, but the result is consistent with biological robustness being concentrated in a compact baseline program [6,8].</w:t>
      </w:r>
    </w:p>
    <w:p>
      <w:pPr>
        <w:pStyle w:val="BodyText"/>
      </w:pPr>
      <w:r>
        <w:t xml:space="preserve">The higher ranks reveal a different organisation.</w:t>
      </w:r>
      <w:r>
        <w:t xml:space="preserve"> </w:t>
      </w:r>
      <w:r>
        <w:t xml:space="preserve">The 9–10 pair shows that inlet-related behaviour is not reliably attached to one fixed rank label across the cohort, even though the shared two-dimensional block retains substantial AP-inlet coupling and is recruited under LAB</w:t>
      </w:r>
      <m:oMath>
        <m:sSub>
          <m:e>
            <m:r>
              <m:t>​</m:t>
            </m:r>
          </m:e>
          <m:sub>
            <m:r>
              <m:t>1</m:t>
            </m:r>
          </m:sub>
        </m:sSub>
      </m:oMath>
      <w:r>
        <w:t xml:space="preserve">.</w:t>
      </w:r>
      <w:r>
        <w:t xml:space="preserve"> </w:t>
      </w:r>
      <w:r>
        <w:t xml:space="preserve">This is the clearest evidence here for a mechanically grounded form of degeneracy: nearby internal realisations can preserve overlapping function without one higher-rank pathway being uniquely privileged [8-9].</w:t>
      </w:r>
      <w:r>
        <w:t xml:space="preserve"> </w:t>
      </w:r>
      <w:r>
        <w:t xml:space="preserve">The 5–6 pair provides a more outlet-related contrast, whereas 12–15 behaves as a broader mixed reserve.</w:t>
      </w:r>
      <w:r>
        <w:t xml:space="preserve"> </w:t>
      </w:r>
      <w:r>
        <w:t xml:space="preserve">Together, these results show that higher-rank pelvic mechanics is not well described as a homogeneous noise floor; some clustered regions remain biologically interpretable, whereas others are better viewed as diffuse reserves.</w:t>
      </w:r>
    </w:p>
    <w:p>
      <w:pPr>
        <w:pStyle w:val="BodyText"/>
      </w:pPr>
      <w:r>
        <w:t xml:space="preserve">What generalises from this study is the logic for testing robustness, not the exact pelvic cluster layout.</w:t>
      </w:r>
      <w:r>
        <w:t xml:space="preserve"> </w:t>
      </w:r>
      <w:r>
        <w:t xml:space="preserve">Combining gap structure, subspace comparison, anatomically defined functionals, and load-routing analysis makes it possible to ask whether function is preserved through stable pathways or through stable subspaces in anatomically variable, load-bearing systems.</w:t>
      </w:r>
      <w:r>
        <w:t xml:space="preserve"> </w:t>
      </w:r>
      <w:r>
        <w:t xml:space="preserve">The specific rank partition observed here should not be transferred unchanged to other structures or physiological states, and not every recurrent cluster should be expected to map cleanly onto one anatomical function.</w:t>
      </w:r>
    </w:p>
    <w:p>
      <w:pPr>
        <w:pStyle w:val="BodyText"/>
      </w:pPr>
      <w:r>
        <w:t xml:space="preserve">Several limitations bound the interpretation.</w:t>
      </w:r>
      <w:r>
        <w:t xml:space="preserve"> </w:t>
      </w:r>
      <w:r>
        <w:t xml:space="preserve">The analysis is linear, whereas childbirth is nonlinear and contact-driven, with viscoelastic yielding and hormonal softening [17,21-23].</w:t>
      </w:r>
      <w:r>
        <w:t xml:space="preserve"> </w:t>
      </w:r>
      <w:r>
        <w:t xml:space="preserve">The present model therefore characterises the initial tangent stiffness and the deformation programs first available under loading; it does not simulate fetal passage or predict clinical delivery outcomes [24].</w:t>
      </w:r>
      <w:r>
        <w:t xml:space="preserve"> </w:t>
      </w:r>
      <w:r>
        <w:t xml:space="preserve">The cohort is fixed and assembled from clinical CT scans with a mean age of</w:t>
      </w:r>
      <w:r>
        <w:t xml:space="preserve"> </w:t>
      </w:r>
      <m:oMath>
        <m:r>
          <m:rPr>
            <m:sty m:val="p"/>
          </m:rPr>
          <m:t>≈</m:t>
        </m:r>
        <m:r>
          <m:t>54</m:t>
        </m:r>
      </m:oMath>
      <w:r>
        <w:t xml:space="preserve"> years, which may over-represent older adults.</w:t>
      </w:r>
      <w:r>
        <w:t xml:space="preserve"> </w:t>
      </w:r>
      <w:r>
        <w:t xml:space="preserve">Ligament and cartilage parameters are not individualised in the main analysis.</w:t>
      </w:r>
      <w:r>
        <w:t xml:space="preserve"> </w:t>
      </w:r>
      <w:r>
        <w:t xml:space="preserve">Complementary sensitivity analyses (Appendix D) indicate that plausible material uncertainty raises the absolute spectral noise floor without reorganising the relative gap architecture, and post-hoc allometry shows that body size modulates swap probability and eigenvalue magnitudes in a mode-specific way even though the registration pipeline removes bulk size from the main analysis.</w:t>
      </w:r>
      <w:r>
        <w:t xml:space="preserve"> </w:t>
      </w:r>
      <w:r>
        <w:t xml:space="preserve">The proxy load cases remain comparative probes rather than contact-rich simulations of labour.</w:t>
      </w:r>
      <w:r>
        <w:t xml:space="preserve"> </w:t>
      </w:r>
      <w:r>
        <w:t xml:space="preserve">Within these limits, the main biological conclusion remains: some pelvic functions are preserved by stable low-rank pathways, whereas others are preserved only within the smallest recurrent subspace that retains the function under anatomical variability.</w:t>
      </w:r>
    </w:p>
    <w:bookmarkEnd w:id="39"/>
    <w:bookmarkStart w:id="55" w:name="materials-and-methods"/>
    <w:p>
      <w:pPr>
        <w:pStyle w:val="Heading1"/>
      </w:pPr>
      <w:r>
        <w:t xml:space="preserve">Materials and methods</w:t>
      </w:r>
    </w:p>
    <w:p>
      <w:pPr>
        <w:pStyle w:val="FirstParagraph"/>
      </w:pPr>
      <w:r>
        <w:t xml:space="preserve">The Methods below state the computational framework in self-contained form.</w:t>
      </w:r>
      <w:r>
        <w:t xml:space="preserve"> </w:t>
      </w:r>
      <w:r>
        <w:t xml:space="preserve">The core objects are (i) a pullback-assembled linear-elasticity problem on a shared reference domain, (ii) a subject-specific generalised eigenproblem, (iii) a cross-subject pairing on a common mass metric, (iv) a gap-based detector for recurrent clustered regimes, (v) invariant-subspace comparison via principal angles and the Grassmann distance, and (vi) basis-invariant anatomical functionals that supply physically interpretable coordinates inside otherwise ambiguous clustered subspaces.</w:t>
      </w:r>
      <w:r>
        <w:t xml:space="preserve"> </w:t>
      </w:r>
      <w:r>
        <w:t xml:space="preserve">Wherever possible, we use notation that separates three distinct objects: the solver</w:t>
      </w:r>
      <w:r>
        <w:t xml:space="preserve"> </w:t>
      </w:r>
      <w:r>
        <w:rPr>
          <w:iCs/>
          <w:i/>
        </w:rPr>
        <w:t xml:space="preserve">rank</w:t>
      </w:r>
      <w:r>
        <w:t xml:space="preserve"> </w:t>
      </w:r>
      <w:r>
        <w:t xml:space="preserve">index </w:t>
      </w:r>
      <m:oMath>
        <m:r>
          <m:t>i</m:t>
        </m:r>
      </m:oMath>
      <w:r>
        <w:t xml:space="preserve"> </w:t>
      </w:r>
      <w:r>
        <w:t xml:space="preserve">(the</w:t>
      </w:r>
      <w:r>
        <w:t xml:space="preserve"> </w:t>
      </w:r>
      <m:oMath>
        <m:r>
          <m:t>i</m:t>
        </m:r>
      </m:oMath>
      <w:r>
        <w:t xml:space="preserve">-th smallest eigenvalue for each subject), the paired</w:t>
      </w:r>
      <w:r>
        <w:t xml:space="preserve"> </w:t>
      </w:r>
      <w:r>
        <w:rPr>
          <w:iCs/>
          <w:i/>
        </w:rPr>
        <w:t xml:space="preserve">reference</w:t>
      </w:r>
      <w:r>
        <w:t xml:space="preserve"> </w:t>
      </w:r>
      <w:r>
        <w:t xml:space="preserve">label</w:t>
      </w:r>
      <w:r>
        <w:t xml:space="preserve"> </w:t>
      </w:r>
      <m:oMath>
        <m:sSub>
          <m:e>
            <m:r>
              <m:t>π</m:t>
            </m:r>
          </m:e>
          <m:sub>
            <m:r>
              <m:t>s</m:t>
            </m:r>
          </m:sub>
        </m:sSub>
        <m:r>
          <m:rPr>
            <m:sty m:val="p"/>
          </m:rPr>
          <m:t>(</m:t>
        </m:r>
        <m:r>
          <m:t>i</m:t>
        </m:r>
        <m:r>
          <m:rPr>
            <m:sty m:val="p"/>
          </m:rPr>
          <m:t>)</m:t>
        </m:r>
      </m:oMath>
      <w:r>
        <w:t xml:space="preserve"> </w:t>
      </w:r>
      <w:r>
        <w:t xml:space="preserve">(a cross-subject identifier), and the</w:t>
      </w:r>
      <w:r>
        <w:t xml:space="preserve"> </w:t>
      </w:r>
      <w:r>
        <w:rPr>
          <w:iCs/>
          <w:i/>
        </w:rPr>
        <w:t xml:space="preserve">anatomical</w:t>
      </w:r>
      <w:r>
        <w:t xml:space="preserve"> </w:t>
      </w:r>
      <w:r>
        <w:t xml:space="preserve">functional </w:t>
      </w:r>
      <m:oMath>
        <m:r>
          <m:rPr>
            <m:sty m:val="p"/>
          </m:rPr>
          <m:t>ℓ</m:t>
        </m:r>
      </m:oMath>
      <w:r>
        <w:t xml:space="preserve"> </w:t>
      </w:r>
      <w:r>
        <w:t xml:space="preserve">(a linear observable defined on the template mesh).</w:t>
      </w:r>
    </w:p>
    <w:bookmarkStart w:id="40" w:name="ethics-statement"/>
    <w:p>
      <w:pPr>
        <w:pStyle w:val="Heading2"/>
      </w:pPr>
      <w:r>
        <w:t xml:space="preserve">Ethics statement</w:t>
      </w:r>
    </w:p>
    <w:p>
      <w:pPr>
        <w:pStyle w:val="FirstParagraph"/>
      </w:pPr>
      <w:r>
        <w:t xml:space="preserve">This study analysed a previously published, anonymised imaging-derived dataset and its associated precomputed finite-element repository (BoneDat) [3].</w:t>
      </w:r>
      <w:r>
        <w:t xml:space="preserve"> </w:t>
      </w:r>
      <w:r>
        <w:t xml:space="preserve">No new human imaging or interventions were performed for this work.</w:t>
      </w:r>
      <w:r>
        <w:t xml:space="preserve"> </w:t>
      </w:r>
      <w:r>
        <w:t xml:space="preserve">According to the BoneDat descriptor, use of the source imaging data was approved by the Ethics Committee of the University Hospital Hradec Kralove (reference 202411IO3P) with waiver of informed consent; we refer readers to the dataset publication for full ethical and governance details.</w:t>
      </w:r>
    </w:p>
    <w:bookmarkEnd w:id="40"/>
    <w:bookmarkStart w:id="42" w:name="cohort-and-geometry-normalisation"/>
    <w:p>
      <w:pPr>
        <w:pStyle w:val="Heading2"/>
      </w:pPr>
      <w:r>
        <w:t xml:space="preserve">Cohort and geometry normalisation</w:t>
      </w:r>
    </w:p>
    <w:p>
      <w:pPr>
        <w:pStyle w:val="FirstParagraph"/>
      </w:pPr>
      <w:r>
        <w:t xml:space="preserve">We analysed a precomputed set of</w:t>
      </w:r>
      <w:r>
        <w:t xml:space="preserve"> </w:t>
      </w:r>
      <m:oMath>
        <m:r>
          <m:t>N</m:t>
        </m:r>
        <m:r>
          <m:rPr>
            <m:sty m:val="p"/>
          </m:rPr>
          <m:t>=</m:t>
        </m:r>
        <m:r>
          <m:t>278</m:t>
        </m:r>
      </m:oMath>
      <w:r>
        <w:t xml:space="preserve"> </w:t>
      </w:r>
      <w:r>
        <w:t xml:space="preserve">CT-derived pelvic finite-element models assembled on a common reference domain (</w:t>
      </w:r>
      <m:oMath>
        <m:sSub>
          <m:e>
            <m:r>
              <m:t>n</m:t>
            </m:r>
          </m:e>
          <m:sub>
            <m:r>
              <m:t>F</m:t>
            </m:r>
          </m:sub>
        </m:sSub>
        <m:r>
          <m:rPr>
            <m:sty m:val="p"/>
          </m:rPr>
          <m:t>=</m:t>
        </m:r>
        <m:r>
          <m:t>150</m:t>
        </m:r>
      </m:oMath>
      <w:r>
        <w:t xml:space="preserve">,</w:t>
      </w:r>
      <w:r>
        <w:t xml:space="preserve"> </w:t>
      </w:r>
      <m:oMath>
        <m:sSub>
          <m:e>
            <m:r>
              <m:t>n</m:t>
            </m:r>
          </m:e>
          <m:sub>
            <m:r>
              <m:t>M</m:t>
            </m:r>
          </m:sub>
        </m:sSub>
        <m:r>
          <m:rPr>
            <m:sty m:val="p"/>
          </m:rPr>
          <m:t>=</m:t>
        </m:r>
        <m:r>
          <m:t>128</m:t>
        </m:r>
      </m:oMath>
      <w:r>
        <w:t xml:space="preserve">; age 16–91 yr, mean</w:t>
      </w:r>
      <w:r>
        <w:t xml:space="preserve"> </w:t>
      </w:r>
      <m:oMath>
        <m:r>
          <m:t>54</m:t>
        </m:r>
        <m:r>
          <m:rPr>
            <m:sty m:val="p"/>
          </m:rPr>
          <m:t>±</m:t>
        </m:r>
        <m:r>
          <m:t>19</m:t>
        </m:r>
      </m:oMath>
      <w:r>
        <w:t xml:space="preserve">).</w:t>
      </w:r>
      <w:r>
        <w:t xml:space="preserve"> </w:t>
      </w:r>
      <w:r>
        <w:t xml:space="preserve">No new cohort was recruited.</w:t>
      </w:r>
      <w:r>
        <w:t xml:space="preserve"> </w:t>
      </w:r>
      <w:r>
        <w:t xml:space="preserve">The source repository provides standardised pelvic geometries suitable for in silico analysis [3].</w:t>
      </w:r>
      <w:r>
        <w:t xml:space="preserve"> </w:t>
      </w:r>
      <w:r>
        <w:t xml:space="preserve">A diffeomorphic registration</w:t>
      </w:r>
      <w:r>
        <w:t xml:space="preserve"> </w:t>
      </w:r>
      <m:oMath>
        <m:sSub>
          <m:e>
            <m:r>
              <m:t>χ</m:t>
            </m:r>
          </m:e>
          <m:sub>
            <m:r>
              <m:t>s</m:t>
            </m:r>
          </m:sub>
        </m:sSub>
        <m:r>
          <m:rPr>
            <m:sty m:val="p"/>
          </m:rPr>
          <m:t>:</m:t>
        </m:r>
        <m:sSub>
          <m:e>
            <m:r>
              <m:t>Ω</m:t>
            </m:r>
          </m:e>
          <m:sub>
            <m:r>
              <m:rPr>
                <m:sty m:val="p"/>
              </m:rPr>
              <m:t>r</m:t>
            </m:r>
            <m:r>
              <m:rPr>
                <m:sty m:val="p"/>
              </m:rPr>
              <m:t>e</m:t>
            </m:r>
            <m:r>
              <m:rPr>
                <m:sty m:val="p"/>
              </m:rPr>
              <m:t>f</m:t>
            </m:r>
          </m:sub>
        </m:sSub>
        <m:r>
          <m:rPr>
            <m:sty m:val="p"/>
          </m:rPr>
          <m:t>→</m:t>
        </m:r>
        <m:sSub>
          <m:e>
            <m:r>
              <m:t>Ω</m:t>
            </m:r>
          </m:e>
          <m:sub>
            <m:r>
              <m:t>s</m:t>
            </m:r>
          </m:sub>
        </m:sSub>
      </m:oMath>
      <w:r>
        <w:t xml:space="preserve"> </w:t>
      </w:r>
      <w:r>
        <w:t xml:space="preserve">with deformation gradient</w:t>
      </w:r>
      <w:r>
        <w:t xml:space="preserve"> </w:t>
      </w:r>
      <m:oMath>
        <m:sSub>
          <m:e>
            <m:r>
              <m:t>F</m:t>
            </m:r>
          </m:e>
          <m:sub>
            <m:r>
              <m:t>s</m:t>
            </m:r>
          </m:sub>
        </m:sSub>
        <m:r>
          <m:rPr>
            <m:sty m:val="p"/>
          </m:rPr>
          <m:t>(</m:t>
        </m:r>
        <m:r>
          <m:t>X</m:t>
        </m:r>
        <m:r>
          <m:rPr>
            <m:sty m:val="p"/>
          </m:rPr>
          <m:t>)</m:t>
        </m:r>
        <m:r>
          <m:rPr>
            <m:sty m:val="p"/>
          </m:rPr>
          <m:t>=</m:t>
        </m:r>
        <m:sSub>
          <m:e>
            <m:r>
              <m:rPr>
                <m:sty m:val="p"/>
              </m:rPr>
              <m:t>∇</m:t>
            </m:r>
          </m:e>
          <m:sub>
            <m:r>
              <m:t>X</m:t>
            </m:r>
          </m:sub>
        </m:sSub>
        <m:sSub>
          <m:e>
            <m:r>
              <m:t>χ</m:t>
            </m:r>
          </m:e>
          <m:sub>
            <m:r>
              <m:t>s</m:t>
            </m:r>
          </m:sub>
        </m:sSub>
        <m:r>
          <m:rPr>
            <m:sty m:val="p"/>
          </m:rPr>
          <m:t>(</m:t>
        </m:r>
        <m:r>
          <m:t>X</m:t>
        </m:r>
        <m:r>
          <m:rPr>
            <m:sty m:val="p"/>
          </m:rPr>
          <m:t>)</m:t>
        </m:r>
      </m:oMath>
      <w:r>
        <w:t xml:space="preserve"> </w:t>
      </w:r>
      <w:r>
        <w:t xml:space="preserve">and Jacobian</w:t>
      </w:r>
      <w:r>
        <w:t xml:space="preserve"> </w:t>
      </w:r>
      <m:oMath>
        <m:sSub>
          <m:e>
            <m:r>
              <m:t>J</m:t>
            </m:r>
          </m:e>
          <m:sub>
            <m:r>
              <m:t>s</m:t>
            </m:r>
          </m:sub>
        </m:sSub>
        <m:r>
          <m:rPr>
            <m:sty m:val="p"/>
          </m:rPr>
          <m:t>=</m:t>
        </m:r>
        <m:r>
          <m:rPr>
            <m:nor/>
            <m:sty m:val="p"/>
          </m:rPr>
          <m:t>det</m:t>
        </m:r>
        <m:sSub>
          <m:e>
            <m:r>
              <m:t>F</m:t>
            </m:r>
          </m:e>
          <m:sub>
            <m:r>
              <m:t>s</m:t>
            </m:r>
          </m:sub>
        </m:sSub>
        <m:r>
          <m:rPr>
            <m:sty m:val="p"/>
          </m:rPr>
          <m:t>&gt;</m:t>
        </m:r>
        <m:r>
          <m:t>0</m:t>
        </m:r>
      </m:oMath>
      <w:r>
        <w:t xml:space="preserve"> </w:t>
      </w:r>
      <w:r>
        <w:t xml:space="preserve">maps the template domain</w:t>
      </w:r>
      <w:r>
        <w:t xml:space="preserve"> </w:t>
      </w:r>
      <m:oMath>
        <m:sSub>
          <m:e>
            <m:r>
              <m:t>Ω</m:t>
            </m:r>
          </m:e>
          <m:sub>
            <m:r>
              <m:rPr>
                <m:sty m:val="p"/>
              </m:rPr>
              <m:t>r</m:t>
            </m:r>
            <m:r>
              <m:rPr>
                <m:sty m:val="p"/>
              </m:rPr>
              <m:t>e</m:t>
            </m:r>
            <m:r>
              <m:rPr>
                <m:sty m:val="p"/>
              </m:rPr>
              <m:t>f</m:t>
            </m:r>
          </m:sub>
        </m:sSub>
      </m:oMath>
      <w:r>
        <w:t xml:space="preserve"> </w:t>
      </w:r>
      <w:r>
        <w:t xml:space="preserve">onto each subject domain</w:t>
      </w:r>
      <w:r>
        <w:t xml:space="preserve"> </w:t>
      </w:r>
      <m:oMath>
        <m:sSub>
          <m:e>
            <m:r>
              <m:t>Ω</m:t>
            </m:r>
          </m:e>
          <m:sub>
            <m:r>
              <m:t>s</m:t>
            </m:r>
          </m:sub>
        </m:sSub>
      </m:oMath>
      <w:r>
        <w:t xml:space="preserve">.</w:t>
      </w:r>
      <w:r>
        <w:t xml:space="preserve"> </w:t>
      </w:r>
      <w:r>
        <w:t xml:space="preserve">The pipeline standardises bulk pelvic size so that the main population analysis isolates shape-driven and material-driven variability rather than absolute scale.</w:t>
      </w:r>
      <w:r>
        <w:t xml:space="preserve"> </w:t>
      </w:r>
      <w:r>
        <w:t xml:space="preserve">Body-size effects are recovered post-hoc in the allometric analysis reported in Appendix D.</w:t>
      </w:r>
      <w:r>
        <w:t xml:space="preserve"> </w:t>
      </w:r>
      <w:r>
        <w:t xml:space="preserve">Figure 8 summarises the anatomical dimensions, ligament representation, and boundary-condition layout used to define the pelvic models analysed here.</w:t>
      </w:r>
    </w:p>
    <w:p>
      <w:pPr>
        <w:pStyle w:val="CaptionedFigure"/>
      </w:pPr>
      <w:r>
        <w:drawing>
          <wp:inline>
            <wp:extent cx="5334000" cy="1395086"/>
            <wp:effectExtent b="0" l="0" r="0" t="0"/>
            <wp:docPr descr="Figure 8. Overview of the pelvic model definition used throughout the manuscript. The schematic summarises the landmark-based anatomical dimensions, ligament representation, and boundary-condition layout used in the subject-specific finite-element models and their standardised loading configuration." title="" id="1" name="Picture"/>
            <a:graphic>
              <a:graphicData uri="http://schemas.openxmlformats.org/drawingml/2006/picture">
                <pic:pic>
                  <pic:nvPicPr>
                    <pic:cNvPr descr="/mnt/pracovni/Active_projects/Obstretrical_dillema/manuscripts/natcomm/images/image1-2.png" id="0" name="Picture"/>
                    <pic:cNvPicPr>
                      <a:picLocks noChangeArrowheads="1" noChangeAspect="1"/>
                    </pic:cNvPicPr>
                  </pic:nvPicPr>
                  <pic:blipFill>
                    <a:blip r:embed="rId41"/>
                    <a:stretch>
                      <a:fillRect/>
                    </a:stretch>
                  </pic:blipFill>
                  <pic:spPr bwMode="auto">
                    <a:xfrm>
                      <a:off x="0" y="0"/>
                      <a:ext cx="5334000" cy="1395086"/>
                    </a:xfrm>
                    <a:prstGeom prst="rect">
                      <a:avLst/>
                    </a:prstGeom>
                    <a:noFill/>
                    <a:ln w="9525">
                      <a:noFill/>
                      <a:headEnd/>
                      <a:tailEnd/>
                    </a:ln>
                  </pic:spPr>
                </pic:pic>
              </a:graphicData>
            </a:graphic>
          </wp:inline>
        </w:drawing>
      </w:r>
    </w:p>
    <w:p>
      <w:pPr>
        <w:pStyle w:val="ImageCaption"/>
      </w:pPr>
      <w:r>
        <w:t xml:space="preserve">Figure 8.</w:t>
      </w:r>
      <w:r>
        <w:t xml:space="preserve"> </w:t>
      </w:r>
      <w:r>
        <w:rPr>
          <w:bCs/>
          <w:b/>
        </w:rPr>
        <w:t xml:space="preserve">Overview of the pelvic model definition used throughout the manuscript.</w:t>
      </w:r>
      <w:r>
        <w:t xml:space="preserve"> </w:t>
      </w:r>
      <w:r>
        <w:t xml:space="preserve">The schematic summarises the landmark-based anatomical dimensions, ligament representation, and boundary-condition layout used in the subject-specific finite-element models and their standardised loading configuration.</w:t>
      </w:r>
    </w:p>
    <w:bookmarkEnd w:id="42"/>
    <w:bookmarkStart w:id="43" w:name="X045f98c4bbe5b2091371a721882a3145d695066"/>
    <w:p>
      <w:pPr>
        <w:pStyle w:val="Heading2"/>
      </w:pPr>
      <w:r>
        <w:t xml:space="preserve">Pullback-assembled linear elasticity on a common reference domain</w:t>
      </w:r>
    </w:p>
    <w:p>
      <w:pPr>
        <w:pStyle w:val="FirstParagraph"/>
      </w:pPr>
      <w:r>
        <w:t xml:space="preserve">Let</w:t>
      </w:r>
      <w:r>
        <w:t xml:space="preserve"> </w:t>
      </w:r>
      <m:oMath>
        <m:sSub>
          <m:e>
            <m:r>
              <m:t>Ω</m:t>
            </m:r>
          </m:e>
          <m:sub>
            <m:r>
              <m:rPr>
                <m:sty m:val="p"/>
              </m:rPr>
              <m:t>r</m:t>
            </m:r>
            <m:r>
              <m:rPr>
                <m:sty m:val="p"/>
              </m:rPr>
              <m:t>e</m:t>
            </m:r>
            <m:r>
              <m:rPr>
                <m:sty m:val="p"/>
              </m:rPr>
              <m:t>f</m:t>
            </m:r>
          </m:sub>
        </m:sSub>
        <m:r>
          <m:rPr>
            <m:sty m:val="p"/>
          </m:rPr>
          <m:t>⊂</m:t>
        </m:r>
        <m:sSup>
          <m:e>
            <m:r>
              <m:rPr>
                <m:sty m:val="p"/>
                <m:scr m:val="double-struck"/>
              </m:rPr>
              <m:t>R</m:t>
            </m:r>
          </m:e>
          <m:sup>
            <m:r>
              <m:t>3</m:t>
            </m:r>
          </m:sup>
        </m:sSup>
      </m:oMath>
      <w:r>
        <w:t xml:space="preserve"> </w:t>
      </w:r>
      <w:r>
        <w:t xml:space="preserve">be the template domain and</w:t>
      </w:r>
      <w:r>
        <w:t xml:space="preserve"> </w:t>
      </w:r>
      <m:oMath>
        <m:sSub>
          <m:e>
            <m:r>
              <m:t>Ω</m:t>
            </m:r>
          </m:e>
          <m:sub>
            <m:r>
              <m:t>s</m:t>
            </m:r>
          </m:sub>
        </m:sSub>
      </m:oMath>
      <w:r>
        <w:t xml:space="preserve"> </w:t>
      </w:r>
      <w:r>
        <w:t xml:space="preserve">the subject domain, related by a fixed diffeomorphic registration</w:t>
      </w:r>
      <w:r>
        <w:t xml:space="preserve"> </w:t>
      </w:r>
      <m:oMath>
        <m:r>
          <m:t>x</m:t>
        </m:r>
        <m:r>
          <m:rPr>
            <m:sty m:val="p"/>
          </m:rPr>
          <m:t>=</m:t>
        </m:r>
        <m:sSub>
          <m:e>
            <m:r>
              <m:t>χ</m:t>
            </m:r>
          </m:e>
          <m:sub>
            <m:r>
              <m:t>s</m:t>
            </m:r>
          </m:sub>
        </m:sSub>
        <m:r>
          <m:rPr>
            <m:sty m:val="p"/>
          </m:rPr>
          <m:t>(</m:t>
        </m:r>
        <m:r>
          <m:t>X</m:t>
        </m:r>
        <m:r>
          <m:rPr>
            <m:sty m:val="p"/>
          </m:rPr>
          <m:t>)</m:t>
        </m:r>
      </m:oMath>
      <w:r>
        <w:t xml:space="preserve"> </w:t>
      </w:r>
      <w:r>
        <w:t xml:space="preserve">with deformation gradient</w:t>
      </w:r>
      <w:r>
        <w:t xml:space="preserve"> </w:t>
      </w:r>
      <m:oMath>
        <m:sSub>
          <m:e>
            <m:r>
              <m:t>F</m:t>
            </m:r>
          </m:e>
          <m:sub>
            <m:r>
              <m:t>s</m:t>
            </m:r>
          </m:sub>
        </m:sSub>
        <m:r>
          <m:rPr>
            <m:sty m:val="p"/>
          </m:rPr>
          <m:t>(</m:t>
        </m:r>
        <m:r>
          <m:t>X</m:t>
        </m:r>
        <m:r>
          <m:rPr>
            <m:sty m:val="p"/>
          </m:rPr>
          <m:t>)</m:t>
        </m:r>
        <m:r>
          <m:rPr>
            <m:sty m:val="p"/>
          </m:rPr>
          <m:t>=</m:t>
        </m:r>
        <m:sSub>
          <m:e>
            <m:r>
              <m:rPr>
                <m:sty m:val="p"/>
              </m:rPr>
              <m:t>∇</m:t>
            </m:r>
          </m:e>
          <m:sub>
            <m:r>
              <m:t>X</m:t>
            </m:r>
          </m:sub>
        </m:sSub>
        <m:sSub>
          <m:e>
            <m:r>
              <m:t>χ</m:t>
            </m:r>
          </m:e>
          <m:sub>
            <m:r>
              <m:t>s</m:t>
            </m:r>
          </m:sub>
        </m:sSub>
        <m:r>
          <m:rPr>
            <m:sty m:val="p"/>
          </m:rPr>
          <m:t>(</m:t>
        </m:r>
        <m:r>
          <m:t>X</m:t>
        </m:r>
        <m:r>
          <m:rPr>
            <m:sty m:val="p"/>
          </m:rPr>
          <m:t>)</m:t>
        </m:r>
      </m:oMath>
      <w:r>
        <w:t xml:space="preserve"> </w:t>
      </w:r>
      <w:r>
        <w:t xml:space="preserve">and Jacobian</w:t>
      </w:r>
      <w:r>
        <w:t xml:space="preserve"> </w:t>
      </w:r>
      <m:oMath>
        <m:sSub>
          <m:e>
            <m:r>
              <m:t>J</m:t>
            </m:r>
          </m:e>
          <m:sub>
            <m:r>
              <m:t>s</m:t>
            </m:r>
          </m:sub>
        </m:sSub>
        <m:r>
          <m:rPr>
            <m:sty m:val="p"/>
          </m:rPr>
          <m:t>(</m:t>
        </m:r>
        <m:r>
          <m:t>X</m:t>
        </m:r>
        <m:r>
          <m:rPr>
            <m:sty m:val="p"/>
          </m:rPr>
          <m:t>)</m:t>
        </m:r>
        <m:r>
          <m:rPr>
            <m:sty m:val="p"/>
          </m:rPr>
          <m:t>=</m:t>
        </m:r>
        <m:r>
          <m:rPr>
            <m:nor/>
            <m:sty m:val="p"/>
          </m:rPr>
          <m:t>det</m:t>
        </m:r>
        <m:sSub>
          <m:e>
            <m:r>
              <m:t>F</m:t>
            </m:r>
          </m:e>
          <m:sub>
            <m:r>
              <m:t>s</m:t>
            </m:r>
          </m:sub>
        </m:sSub>
        <m:r>
          <m:rPr>
            <m:sty m:val="p"/>
          </m:rPr>
          <m:t>&gt;</m:t>
        </m:r>
        <m:r>
          <m:t>0</m:t>
        </m:r>
      </m:oMath>
      <w:r>
        <w:t xml:space="preserve">.</w:t>
      </w:r>
      <w:r>
        <w:t xml:space="preserve"> </w:t>
      </w:r>
      <w:r>
        <w:t xml:space="preserve">Writing</w:t>
      </w:r>
      <w:r>
        <w:t xml:space="preserve"> </w:t>
      </w:r>
      <m:oMath>
        <m:sSub>
          <m:e>
            <m:r>
              <m:t>χ</m:t>
            </m:r>
          </m:e>
          <m:sub>
            <m:r>
              <m:t>s</m:t>
            </m:r>
          </m:sub>
        </m:sSub>
        <m:r>
          <m:rPr>
            <m:sty m:val="p"/>
          </m:rPr>
          <m:t>(</m:t>
        </m:r>
        <m:r>
          <m:t>X</m:t>
        </m:r>
        <m:r>
          <m:rPr>
            <m:sty m:val="p"/>
          </m:rPr>
          <m:t>)</m:t>
        </m:r>
        <m:r>
          <m:rPr>
            <m:sty m:val="p"/>
          </m:rPr>
          <m:t>=</m:t>
        </m:r>
        <m:r>
          <m:t>X</m:t>
        </m:r>
        <m:r>
          <m:rPr>
            <m:sty m:val="p"/>
          </m:rPr>
          <m:t>+</m:t>
        </m:r>
        <m:sSub>
          <m:e>
            <m:r>
              <m:t>φ</m:t>
            </m:r>
          </m:e>
          <m:sub>
            <m:r>
              <m:t>s</m:t>
            </m:r>
          </m:sub>
        </m:sSub>
        <m:r>
          <m:rPr>
            <m:sty m:val="p"/>
          </m:rPr>
          <m:t>(</m:t>
        </m:r>
        <m:r>
          <m:t>X</m:t>
        </m:r>
        <m:r>
          <m:rPr>
            <m:sty m:val="p"/>
          </m:rPr>
          <m:t>)</m:t>
        </m:r>
      </m:oMath>
      <w:r>
        <w:t xml:space="preserve">, so</w:t>
      </w:r>
      <w:r>
        <w:t xml:space="preserve"> </w:t>
      </w:r>
      <m:oMath>
        <m:sSub>
          <m:e>
            <m:r>
              <m:t>F</m:t>
            </m:r>
          </m:e>
          <m:sub>
            <m:r>
              <m:t>s</m:t>
            </m:r>
          </m:sub>
        </m:sSub>
        <m:r>
          <m:rPr>
            <m:sty m:val="p"/>
          </m:rPr>
          <m:t>=</m:t>
        </m:r>
        <m:r>
          <m:t>I</m:t>
        </m:r>
        <m:r>
          <m:rPr>
            <m:sty m:val="p"/>
          </m:rPr>
          <m:t>+</m:t>
        </m:r>
        <m:sSub>
          <m:e>
            <m:r>
              <m:rPr>
                <m:sty m:val="p"/>
              </m:rPr>
              <m:t>∇</m:t>
            </m:r>
          </m:e>
          <m:sub>
            <m:r>
              <m:t>X</m:t>
            </m:r>
          </m:sub>
        </m:sSub>
        <m:sSub>
          <m:e>
            <m:r>
              <m:t>φ</m:t>
            </m:r>
          </m:e>
          <m:sub>
            <m:r>
              <m:t>s</m:t>
            </m:r>
          </m:sub>
        </m:sSub>
      </m:oMath>
      <w:r>
        <w:t xml:space="preserve">, small-strain linear elasticity is solved on</w:t>
      </w:r>
      <w:r>
        <w:t xml:space="preserve"> </w:t>
      </w:r>
      <m:oMath>
        <m:sSub>
          <m:e>
            <m:r>
              <m:t>Ω</m:t>
            </m:r>
          </m:e>
          <m:sub>
            <m:r>
              <m:t>s</m:t>
            </m:r>
          </m:sub>
        </m:sSub>
      </m:oMath>
      <w:r>
        <w:t xml:space="preserve"> </w:t>
      </w:r>
      <w:r>
        <w:t xml:space="preserve">but integrated on</w:t>
      </w:r>
      <w:r>
        <w:t xml:space="preserve"> </w:t>
      </w:r>
      <m:oMath>
        <m:sSub>
          <m:e>
            <m:r>
              <m:t>Ω</m:t>
            </m:r>
          </m:e>
          <m:sub>
            <m:r>
              <m:rPr>
                <m:sty m:val="p"/>
              </m:rPr>
              <m:t>r</m:t>
            </m:r>
            <m:r>
              <m:rPr>
                <m:sty m:val="p"/>
              </m:rPr>
              <m:t>e</m:t>
            </m:r>
            <m:r>
              <m:rPr>
                <m:sty m:val="p"/>
              </m:rPr>
              <m:t>f</m:t>
            </m:r>
          </m:sub>
        </m:sSub>
      </m:oMath>
      <w:r>
        <w:t xml:space="preserve"> </w:t>
      </w:r>
      <w:r>
        <w:t xml:space="preserve">through the standard change of variables [24-25].</w:t>
      </w:r>
      <w:r>
        <w:t xml:space="preserve"> </w:t>
      </w:r>
      <w:r>
        <w:t xml:space="preserve">For trial and test fields</w:t>
      </w:r>
      <w:r>
        <w:t xml:space="preserve"> </w:t>
      </w:r>
      <m:oMath>
        <m:acc>
          <m:accPr>
            <m:chr m:val="̂"/>
          </m:accPr>
          <m:e>
            <m:r>
              <m:rPr>
                <m:sty m:val="b"/>
              </m:rPr>
              <m:t>u</m:t>
            </m:r>
          </m:e>
        </m:acc>
        <m:r>
          <m:rPr>
            <m:sty m:val="p"/>
          </m:rPr>
          <m:t>,</m:t>
        </m:r>
        <m:acc>
          <m:accPr>
            <m:chr m:val="̂"/>
          </m:accPr>
          <m:e>
            <m:r>
              <m:rPr>
                <m:sty m:val="b"/>
              </m:rPr>
              <m:t>v</m:t>
            </m:r>
          </m:e>
        </m:acc>
        <m:r>
          <m:rPr>
            <m:sty m:val="p"/>
          </m:rPr>
          <m:t>∈</m:t>
        </m:r>
        <m:r>
          <m:t>V</m:t>
        </m:r>
        <m:r>
          <m:rPr>
            <m:sty m:val="p"/>
          </m:rPr>
          <m:t>⊂</m:t>
        </m:r>
        <m:r>
          <m:rPr>
            <m:sty m:val="p"/>
          </m:rPr>
          <m:t>[</m:t>
        </m:r>
        <m:sSup>
          <m:e>
            <m:r>
              <m:t>H</m:t>
            </m:r>
          </m:e>
          <m:sup>
            <m:r>
              <m:t>1</m:t>
            </m:r>
          </m:sup>
        </m:sSup>
        <m:r>
          <m:rPr>
            <m:sty m:val="p"/>
          </m:rPr>
          <m:t>(</m:t>
        </m:r>
        <m:sSub>
          <m:e>
            <m:r>
              <m:t>Ω</m:t>
            </m:r>
          </m:e>
          <m:sub>
            <m:r>
              <m:rPr>
                <m:sty m:val="p"/>
              </m:rPr>
              <m:t>r</m:t>
            </m:r>
            <m:r>
              <m:rPr>
                <m:sty m:val="p"/>
              </m:rPr>
              <m:t>e</m:t>
            </m:r>
            <m:r>
              <m:rPr>
                <m:sty m:val="p"/>
              </m:rPr>
              <m:t>f</m:t>
            </m:r>
          </m:sub>
        </m:sSub>
        <m:r>
          <m:rPr>
            <m:sty m:val="p"/>
          </m:rPr>
          <m:t>)</m:t>
        </m:r>
        <m:sSup>
          <m:e>
            <m:r>
              <m:rPr>
                <m:sty m:val="p"/>
              </m:rPr>
              <m:t>]</m:t>
            </m:r>
          </m:e>
          <m:sup>
            <m:r>
              <m:t>3</m:t>
            </m:r>
          </m:sup>
        </m:sSup>
      </m:oMath>
      <w:r>
        <w:t xml:space="preserve">, the physical strain tensor at</w:t>
      </w:r>
      <w:r>
        <w:t xml:space="preserve"> </w:t>
      </w:r>
      <m:oMath>
        <m:r>
          <m:t>x</m:t>
        </m:r>
        <m:r>
          <m:rPr>
            <m:sty m:val="p"/>
          </m:rPr>
          <m:t>=</m:t>
        </m:r>
        <m:sSub>
          <m:e>
            <m:r>
              <m:t>χ</m:t>
            </m:r>
          </m:e>
          <m:sub>
            <m:r>
              <m:t>s</m:t>
            </m:r>
          </m:sub>
        </m:sSub>
        <m:r>
          <m:rPr>
            <m:sty m:val="p"/>
          </m:rPr>
          <m:t>(</m:t>
        </m:r>
        <m:r>
          <m:t>X</m:t>
        </m:r>
        <m:r>
          <m:rPr>
            <m:sty m:val="p"/>
          </m:rPr>
          <m:t>)</m:t>
        </m:r>
      </m:oMath>
      <w:r>
        <w:t xml:space="preserve"> </w:t>
      </w:r>
      <w:r>
        <w:t xml:space="preserve">is</w:t>
      </w:r>
    </w:p>
    <w:p>
      <w:pPr>
        <w:pStyle w:val="BodyText"/>
      </w:pPr>
      <m:oMathPara>
        <m:oMathParaPr>
          <m:jc m:val="center"/>
        </m:oMathParaPr>
        <m:oMath>
          <m:sSub>
            <m:e>
              <m:r>
                <m:rPr>
                  <m:sty m:val="b"/>
                </m:rPr>
                <m:t>ε</m:t>
              </m:r>
            </m:e>
            <m:sub>
              <m:r>
                <m:t>x</m:t>
              </m:r>
            </m:sub>
          </m:sSub>
          <m:r>
            <m:rPr>
              <m:sty m:val="p"/>
            </m:rPr>
            <m:t>(</m:t>
          </m:r>
          <m:r>
            <m:rPr>
              <m:sty m:val="b"/>
            </m:rPr>
            <m:t>u</m:t>
          </m:r>
          <m:r>
            <m:rPr>
              <m:sty m:val="p"/>
            </m:rPr>
            <m:t>)</m:t>
          </m:r>
          <m:r>
            <m:rPr>
              <m:sty m:val="p"/>
            </m:rPr>
            <m:t>=</m:t>
          </m:r>
          <m:r>
            <m:rPr>
              <m:sty m:val="p"/>
            </m:rPr>
            <m:t>s</m:t>
          </m:r>
          <m:r>
            <m:rPr>
              <m:sty m:val="p"/>
            </m:rPr>
            <m:t>y</m:t>
          </m:r>
          <m:r>
            <m:rPr>
              <m:sty m:val="p"/>
            </m:rPr>
            <m:t>m</m:t>
          </m:r>
          <m:r>
            <m:rPr>
              <m:sty m:val="p"/>
            </m:rPr>
            <m:t>(</m:t>
          </m:r>
          <m:sSub>
            <m:e>
              <m:r>
                <m:rPr>
                  <m:sty m:val="p"/>
                </m:rPr>
                <m:t>∇</m:t>
              </m:r>
            </m:e>
            <m:sub>
              <m:r>
                <m:t>x</m:t>
              </m:r>
            </m:sub>
          </m:sSub>
          <m:r>
            <m:rPr>
              <m:sty m:val="b"/>
            </m:rPr>
            <m:t>u</m:t>
          </m:r>
          <m:r>
            <m:rPr>
              <m:sty m:val="p"/>
            </m:rPr>
            <m:t>)</m:t>
          </m:r>
          <m:r>
            <m:rPr>
              <m:sty m:val="p"/>
            </m:rPr>
            <m:t>=</m:t>
          </m:r>
          <m:r>
            <m:rPr>
              <m:sty m:val="p"/>
            </m:rPr>
            <m:t>s</m:t>
          </m:r>
          <m:r>
            <m:rPr>
              <m:sty m:val="p"/>
            </m:rPr>
            <m:t>y</m:t>
          </m:r>
          <m:r>
            <m:rPr>
              <m:sty m:val="p"/>
            </m:rPr>
            <m:t>m</m:t>
          </m:r>
          <m:r>
            <m:t>​</m:t>
          </m:r>
          <m:r>
            <m:rPr>
              <m:sty m:val="p"/>
            </m:rPr>
            <m:t>(</m:t>
          </m:r>
          <m:sSub>
            <m:e>
              <m:r>
                <m:rPr>
                  <m:sty m:val="p"/>
                </m:rPr>
                <m:t>∇</m:t>
              </m:r>
            </m:e>
            <m:sub>
              <m:r>
                <m:t>X</m:t>
              </m:r>
            </m:sub>
          </m:sSub>
          <m:acc>
            <m:accPr>
              <m:chr m:val="̂"/>
            </m:accPr>
            <m:e>
              <m:r>
                <m:rPr>
                  <m:sty m:val="b"/>
                </m:rPr>
                <m:t>u</m:t>
              </m:r>
            </m:e>
          </m:acc>
          <m:r>
            <m:t> </m:t>
          </m:r>
          <m:sSubSup>
            <m:e>
              <m:r>
                <m:t>F</m:t>
              </m:r>
            </m:e>
            <m:sub>
              <m:r>
                <m:t>s</m:t>
              </m:r>
            </m:sub>
            <m:sup>
              <m:r>
                <m:rPr>
                  <m:sty m:val="p"/>
                </m:rPr>
                <m:t>−</m:t>
              </m:r>
              <m:r>
                <m:t>1</m:t>
              </m:r>
            </m:sup>
          </m:sSubSup>
          <m:r>
            <m:rPr>
              <m:sty m:val="p"/>
            </m:rPr>
            <m:t>)</m:t>
          </m:r>
          <m:r>
            <m:rPr>
              <m:sty m:val="p"/>
            </m:rPr>
            <m:t>,</m:t>
          </m:r>
          <m:r>
            <m:t>  </m:t>
          </m:r>
          <m:sSub>
            <m:e>
              <m:r>
                <m:rPr>
                  <m:sty m:val="b"/>
                </m:rPr>
                <m:t>σ</m:t>
              </m:r>
            </m:e>
            <m:sub>
              <m:r>
                <m:t>x</m:t>
              </m:r>
            </m:sub>
          </m:sSub>
          <m:r>
            <m:rPr>
              <m:sty m:val="p"/>
            </m:rPr>
            <m:t>=</m:t>
          </m:r>
          <m:sSub>
            <m:e>
              <m:r>
                <m:t>C</m:t>
              </m:r>
            </m:e>
            <m:sub>
              <m:r>
                <m:rPr>
                  <m:sty m:val="p"/>
                </m:rPr>
                <m:t>p</m:t>
              </m:r>
              <m:r>
                <m:rPr>
                  <m:sty m:val="p"/>
                </m:rPr>
                <m:t>h</m:t>
              </m:r>
              <m:r>
                <m:rPr>
                  <m:sty m:val="p"/>
                </m:rPr>
                <m:t>y</m:t>
              </m:r>
              <m:r>
                <m:rPr>
                  <m:sty m:val="p"/>
                </m:rPr>
                <m:t>s</m:t>
              </m:r>
            </m:sub>
          </m:sSub>
          <m:r>
            <m:rPr>
              <m:sty m:val="p"/>
            </m:rPr>
            <m:t>(</m:t>
          </m:r>
          <m:r>
            <m:t>x</m:t>
          </m:r>
          <m:r>
            <m:rPr>
              <m:sty m:val="p"/>
            </m:rPr>
            <m:t>)</m:t>
          </m:r>
          <m:r>
            <m:rPr>
              <m:sty m:val="p"/>
            </m:rPr>
            <m:t>:</m:t>
          </m:r>
          <m:sSub>
            <m:e>
              <m:r>
                <m:rPr>
                  <m:sty m:val="b"/>
                </m:rPr>
                <m:t>ε</m:t>
              </m:r>
            </m:e>
            <m:sub>
              <m:r>
                <m:t>x</m:t>
              </m:r>
            </m:sub>
          </m:sSub>
          <m:r>
            <m:rPr>
              <m:sty m:val="p"/>
            </m:rPr>
            <m:t>(</m:t>
          </m:r>
          <m:r>
            <m:rPr>
              <m:sty m:val="b"/>
            </m:rPr>
            <m:t>u</m:t>
          </m:r>
          <m:r>
            <m:rPr>
              <m:sty m:val="p"/>
            </m:rPr>
            <m:t>)</m:t>
          </m:r>
          <m:r>
            <m:rPr>
              <m:sty m:val="p"/>
            </m:rPr>
            <m:t>,</m:t>
          </m:r>
        </m:oMath>
      </m:oMathPara>
    </w:p>
    <w:p>
      <w:pPr>
        <w:pStyle w:val="FirstParagraph"/>
      </w:pPr>
      <w:r>
        <w:t xml:space="preserve">and the pullback-assembled elastic bilinear form reads</w:t>
      </w:r>
    </w:p>
    <w:p>
      <w:pPr>
        <w:pStyle w:val="BodyText"/>
      </w:pPr>
      <m:oMathPara>
        <m:oMathParaPr>
          <m:jc m:val="center"/>
        </m:oMathParaPr>
        <m:oMath>
          <m:r>
            <m:t>a</m:t>
          </m:r>
          <m:r>
            <m:rPr>
              <m:sty m:val="p"/>
            </m:rPr>
            <m:t>(</m:t>
          </m:r>
          <m:acc>
            <m:accPr>
              <m:chr m:val="̂"/>
            </m:accPr>
            <m:e>
              <m:r>
                <m:rPr>
                  <m:sty m:val="b"/>
                </m:rPr>
                <m:t>u</m:t>
              </m:r>
            </m:e>
          </m:acc>
          <m:r>
            <m:rPr>
              <m:sty m:val="p"/>
            </m:rPr>
            <m:t>,</m:t>
          </m:r>
          <m:acc>
            <m:accPr>
              <m:chr m:val="̂"/>
            </m:accPr>
            <m:e>
              <m:r>
                <m:rPr>
                  <m:sty m:val="b"/>
                </m:rPr>
                <m:t>v</m:t>
              </m:r>
            </m:e>
          </m:acc>
          <m:r>
            <m:rPr>
              <m:sty m:val="p"/>
            </m:rPr>
            <m:t>)</m:t>
          </m:r>
          <m:r>
            <m:rPr>
              <m:sty m:val="p"/>
            </m:rPr>
            <m:t>=</m:t>
          </m:r>
          <m:nary>
            <m:naryPr>
              <m:chr m:val="∫"/>
              <m:limLoc m:val="subSup"/>
              <m:subHide m:val="0"/>
              <m:supHide m:val="1"/>
            </m:naryPr>
            <m:sub>
              <m:sSub>
                <m:e>
                  <m:r>
                    <m:t>Ω</m:t>
                  </m:r>
                </m:e>
                <m:sub>
                  <m:r>
                    <m:rPr>
                      <m:sty m:val="p"/>
                    </m:rPr>
                    <m:t>r</m:t>
                  </m:r>
                  <m:r>
                    <m:rPr>
                      <m:sty m:val="p"/>
                    </m:rPr>
                    <m:t>e</m:t>
                  </m:r>
                  <m:r>
                    <m:rPr>
                      <m:sty m:val="p"/>
                    </m:rPr>
                    <m:t>f</m:t>
                  </m:r>
                </m:sub>
              </m:sSub>
            </m:sub>
            <m:sup>
              <m:r>
                <m:t>​</m:t>
              </m:r>
            </m:sup>
            <m:e>
              <m:r>
                <m:t>​</m:t>
              </m:r>
            </m:e>
          </m:nary>
          <m:r>
            <m:rPr>
              <m:sty m:val="p"/>
            </m:rPr>
            <m:t>[</m:t>
          </m:r>
          <m:sSub>
            <m:e>
              <m:r>
                <m:t>C</m:t>
              </m:r>
            </m:e>
            <m:sub>
              <m:r>
                <m:rPr>
                  <m:sty m:val="p"/>
                </m:rPr>
                <m:t>p</m:t>
              </m:r>
              <m:r>
                <m:rPr>
                  <m:sty m:val="p"/>
                </m:rPr>
                <m:t>h</m:t>
              </m:r>
              <m:r>
                <m:rPr>
                  <m:sty m:val="p"/>
                </m:rPr>
                <m:t>y</m:t>
              </m:r>
              <m:r>
                <m:rPr>
                  <m:sty m:val="p"/>
                </m:rPr>
                <m:t>s</m:t>
              </m:r>
            </m:sub>
          </m:sSub>
          <m:r>
            <m:t>​</m:t>
          </m:r>
          <m:r>
            <m:rPr>
              <m:sty m:val="p"/>
            </m:rPr>
            <m:t>(</m:t>
          </m:r>
          <m:sSub>
            <m:e>
              <m:r>
                <m:t>χ</m:t>
              </m:r>
            </m:e>
            <m:sub>
              <m:r>
                <m:t>s</m:t>
              </m:r>
            </m:sub>
          </m:sSub>
          <m:r>
            <m:rPr>
              <m:sty m:val="p"/>
            </m:rPr>
            <m:t>(</m:t>
          </m:r>
          <m:r>
            <m:t>X</m:t>
          </m:r>
          <m:r>
            <m:rPr>
              <m:sty m:val="p"/>
            </m:rPr>
            <m:t>)</m:t>
          </m:r>
          <m:r>
            <m:rPr>
              <m:sty m:val="p"/>
            </m:rPr>
            <m:t>)</m:t>
          </m:r>
          <m:r>
            <m:rPr>
              <m:sty m:val="p"/>
            </m:rPr>
            <m:t>:</m:t>
          </m:r>
          <m:r>
            <m:rPr>
              <m:sty m:val="p"/>
            </m:rPr>
            <m:t>s</m:t>
          </m:r>
          <m:r>
            <m:rPr>
              <m:sty m:val="p"/>
            </m:rPr>
            <m:t>y</m:t>
          </m:r>
          <m:r>
            <m:rPr>
              <m:sty m:val="p"/>
            </m:rPr>
            <m:t>m</m:t>
          </m:r>
          <m:r>
            <m:t>​</m:t>
          </m:r>
          <m:r>
            <m:rPr>
              <m:sty m:val="p"/>
            </m:rPr>
            <m:t>(</m:t>
          </m:r>
          <m:sSub>
            <m:e>
              <m:r>
                <m:rPr>
                  <m:sty m:val="p"/>
                </m:rPr>
                <m:t>∇</m:t>
              </m:r>
            </m:e>
            <m:sub>
              <m:r>
                <m:t>X</m:t>
              </m:r>
            </m:sub>
          </m:sSub>
          <m:acc>
            <m:accPr>
              <m:chr m:val="̂"/>
            </m:accPr>
            <m:e>
              <m:r>
                <m:rPr>
                  <m:sty m:val="b"/>
                </m:rPr>
                <m:t>u</m:t>
              </m:r>
            </m:e>
          </m:acc>
          <m:r>
            <m:t> </m:t>
          </m:r>
          <m:sSubSup>
            <m:e>
              <m:r>
                <m:t>F</m:t>
              </m:r>
            </m:e>
            <m:sub>
              <m:r>
                <m:t>s</m:t>
              </m:r>
            </m:sub>
            <m:sup>
              <m:r>
                <m:rPr>
                  <m:sty m:val="p"/>
                </m:rPr>
                <m:t>−</m:t>
              </m:r>
              <m:r>
                <m:t>1</m:t>
              </m:r>
            </m:sup>
          </m:sSubSup>
          <m:r>
            <m:rPr>
              <m:sty m:val="p"/>
            </m:rPr>
            <m:t>)</m:t>
          </m:r>
          <m:r>
            <m:rPr>
              <m:sty m:val="p"/>
            </m:rPr>
            <m:t>]</m:t>
          </m:r>
          <m:r>
            <m:rPr>
              <m:sty m:val="p"/>
            </m:rPr>
            <m:t>:</m:t>
          </m:r>
          <m:r>
            <m:rPr>
              <m:sty m:val="p"/>
            </m:rPr>
            <m:t>s</m:t>
          </m:r>
          <m:r>
            <m:rPr>
              <m:sty m:val="p"/>
            </m:rPr>
            <m:t>y</m:t>
          </m:r>
          <m:r>
            <m:rPr>
              <m:sty m:val="p"/>
            </m:rPr>
            <m:t>m</m:t>
          </m:r>
          <m:r>
            <m:t>​</m:t>
          </m:r>
          <m:r>
            <m:rPr>
              <m:sty m:val="p"/>
            </m:rPr>
            <m:t>(</m:t>
          </m:r>
          <m:sSub>
            <m:e>
              <m:r>
                <m:rPr>
                  <m:sty m:val="p"/>
                </m:rPr>
                <m:t>∇</m:t>
              </m:r>
            </m:e>
            <m:sub>
              <m:r>
                <m:t>X</m:t>
              </m:r>
            </m:sub>
          </m:sSub>
          <m:acc>
            <m:accPr>
              <m:chr m:val="̂"/>
            </m:accPr>
            <m:e>
              <m:r>
                <m:rPr>
                  <m:sty m:val="b"/>
                </m:rPr>
                <m:t>v</m:t>
              </m:r>
            </m:e>
          </m:acc>
          <m:r>
            <m:t> </m:t>
          </m:r>
          <m:sSubSup>
            <m:e>
              <m:r>
                <m:t>F</m:t>
              </m:r>
            </m:e>
            <m:sub>
              <m:r>
                <m:t>s</m:t>
              </m:r>
            </m:sub>
            <m:sup>
              <m:r>
                <m:rPr>
                  <m:sty m:val="p"/>
                </m:rPr>
                <m:t>−</m:t>
              </m:r>
              <m:r>
                <m:t>1</m:t>
              </m:r>
            </m:sup>
          </m:sSubSup>
          <m:r>
            <m:rPr>
              <m:sty m:val="p"/>
            </m:rPr>
            <m:t>)</m:t>
          </m:r>
          <m:r>
            <m:t> </m:t>
          </m:r>
          <m:sSub>
            <m:e>
              <m:r>
                <m:t>J</m:t>
              </m:r>
            </m:e>
            <m:sub>
              <m:r>
                <m:t>s</m:t>
              </m:r>
            </m:sub>
          </m:sSub>
          <m:r>
            <m:t> </m:t>
          </m:r>
          <m:r>
            <m:rPr>
              <m:sty m:val="p"/>
            </m:rPr>
            <m:t>d</m:t>
          </m:r>
          <m:r>
            <m:t>X</m:t>
          </m:r>
          <m:r>
            <m:rPr>
              <m:sty m:val="p"/>
            </m:rPr>
            <m:t>.</m:t>
          </m:r>
        </m:oMath>
      </m:oMathPara>
    </w:p>
    <w:p>
      <w:pPr>
        <w:pStyle w:val="FirstParagraph"/>
      </w:pPr>
      <w:r>
        <w:t xml:space="preserve">Here</w:t>
      </w:r>
      <w:r>
        <w:t xml:space="preserve"> </w:t>
      </w:r>
      <m:oMath>
        <m:sSub>
          <m:e>
            <m:r>
              <m:t>F</m:t>
            </m:r>
          </m:e>
          <m:sub>
            <m:r>
              <m:t>s</m:t>
            </m:r>
          </m:sub>
        </m:sSub>
      </m:oMath>
      <w:r>
        <w:t xml:space="preserve"> </w:t>
      </w:r>
      <w:r>
        <w:t xml:space="preserve">and</w:t>
      </w:r>
      <w:r>
        <w:t xml:space="preserve"> </w:t>
      </w:r>
      <m:oMath>
        <m:sSub>
          <m:e>
            <m:r>
              <m:t>J</m:t>
            </m:r>
          </m:e>
          <m:sub>
            <m:r>
              <m:t>s</m:t>
            </m:r>
          </m:sub>
        </m:sSub>
      </m:oMath>
      <w:r>
        <w:t xml:space="preserve"> </w:t>
      </w:r>
      <w:r>
        <w:t xml:space="preserve">arise only from the fixed image registration; no finite-strain mechanics is implied.</w:t>
      </w:r>
      <w:r>
        <w:t xml:space="preserve"> </w:t>
      </w:r>
      <w:r>
        <w:t xml:space="preserve">The mass bilinear form inherits the volume factor,</w:t>
      </w:r>
    </w:p>
    <w:p>
      <w:pPr>
        <w:pStyle w:val="BodyText"/>
      </w:pPr>
      <m:oMathPara>
        <m:oMathParaPr>
          <m:jc m:val="center"/>
        </m:oMathParaPr>
        <m:oMath>
          <m:r>
            <m:t>m</m:t>
          </m:r>
          <m:r>
            <m:rPr>
              <m:sty m:val="p"/>
            </m:rPr>
            <m:t>(</m:t>
          </m:r>
          <m:acc>
            <m:accPr>
              <m:chr m:val="̂"/>
            </m:accPr>
            <m:e>
              <m:r>
                <m:rPr>
                  <m:sty m:val="b"/>
                </m:rPr>
                <m:t>u</m:t>
              </m:r>
            </m:e>
          </m:acc>
          <m:r>
            <m:rPr>
              <m:sty m:val="p"/>
            </m:rPr>
            <m:t>,</m:t>
          </m:r>
          <m:acc>
            <m:accPr>
              <m:chr m:val="̂"/>
            </m:accPr>
            <m:e>
              <m:r>
                <m:rPr>
                  <m:sty m:val="b"/>
                </m:rPr>
                <m:t>v</m:t>
              </m:r>
            </m:e>
          </m:acc>
          <m:r>
            <m:rPr>
              <m:sty m:val="p"/>
            </m:rPr>
            <m:t>)</m:t>
          </m:r>
          <m:r>
            <m:rPr>
              <m:sty m:val="p"/>
            </m:rPr>
            <m:t>=</m:t>
          </m:r>
          <m:nary>
            <m:naryPr>
              <m:chr m:val="∫"/>
              <m:limLoc m:val="subSup"/>
              <m:subHide m:val="0"/>
              <m:supHide m:val="1"/>
            </m:naryPr>
            <m:sub>
              <m:sSub>
                <m:e>
                  <m:r>
                    <m:t>Ω</m:t>
                  </m:r>
                </m:e>
                <m:sub>
                  <m:r>
                    <m:rPr>
                      <m:sty m:val="p"/>
                    </m:rPr>
                    <m:t>r</m:t>
                  </m:r>
                  <m:r>
                    <m:rPr>
                      <m:sty m:val="p"/>
                    </m:rPr>
                    <m:t>e</m:t>
                  </m:r>
                  <m:r>
                    <m:rPr>
                      <m:sty m:val="p"/>
                    </m:rPr>
                    <m:t>f</m:t>
                  </m:r>
                </m:sub>
              </m:sSub>
            </m:sub>
            <m:sup>
              <m:r>
                <m:t>​</m:t>
              </m:r>
            </m:sup>
            <m:e>
              <m:sSub>
                <m:e>
                  <m:r>
                    <m:t>J</m:t>
                  </m:r>
                </m:e>
                <m:sub>
                  <m:r>
                    <m:t>s</m:t>
                  </m:r>
                </m:sub>
              </m:sSub>
            </m:e>
          </m:nary>
          <m:r>
            <m:rPr>
              <m:sty m:val="p"/>
            </m:rPr>
            <m:t>(</m:t>
          </m:r>
          <m:r>
            <m:t>X</m:t>
          </m:r>
          <m:r>
            <m:rPr>
              <m:sty m:val="p"/>
            </m:rPr>
            <m:t>)</m:t>
          </m:r>
          <m:r>
            <m:t> </m:t>
          </m:r>
          <m:acc>
            <m:accPr>
              <m:chr m:val="̂"/>
            </m:accPr>
            <m:e>
              <m:r>
                <m:rPr>
                  <m:sty m:val="b"/>
                </m:rPr>
                <m:t>u</m:t>
              </m:r>
            </m:e>
          </m:acc>
          <m:r>
            <m:rPr>
              <m:sty m:val="p"/>
            </m:rPr>
            <m:t>⋅</m:t>
          </m:r>
          <m:acc>
            <m:accPr>
              <m:chr m:val="̂"/>
            </m:accPr>
            <m:e>
              <m:r>
                <m:rPr>
                  <m:sty m:val="b"/>
                </m:rPr>
                <m:t>v</m:t>
              </m:r>
            </m:e>
          </m:acc>
          <m:r>
            <m:t> </m:t>
          </m:r>
          <m:r>
            <m:rPr>
              <m:sty m:val="p"/>
            </m:rPr>
            <m:t>d</m:t>
          </m:r>
          <m:r>
            <m:t>X</m:t>
          </m:r>
          <m:r>
            <m:rPr>
              <m:sty m:val="p"/>
            </m:rPr>
            <m:t>,</m:t>
          </m:r>
        </m:oMath>
      </m:oMathPara>
    </w:p>
    <w:p>
      <w:pPr>
        <w:pStyle w:val="FirstParagraph"/>
      </w:pPr>
      <w:r>
        <w:t xml:space="preserve">whereas the</w:t>
      </w:r>
      <w:r>
        <w:t xml:space="preserve"> </w:t>
      </w:r>
      <w:r>
        <w:rPr>
          <w:iCs/>
          <w:i/>
        </w:rPr>
        <w:t xml:space="preserve">unmapped</w:t>
      </w:r>
      <w:r>
        <w:t xml:space="preserve"> </w:t>
      </w:r>
      <w:r>
        <w:t xml:space="preserve">reference mass matrix</w:t>
      </w:r>
      <w:r>
        <w:t xml:space="preserve"> </w:t>
      </w:r>
      <m:oMath>
        <m:sSubSup>
          <m:e>
            <m:r>
              <m:t>M</m:t>
            </m:r>
          </m:e>
          <m:sub>
            <m:r>
              <m:rPr>
                <m:sty m:val="p"/>
              </m:rPr>
              <m:t>r</m:t>
            </m:r>
            <m:r>
              <m:rPr>
                <m:sty m:val="p"/>
              </m:rPr>
              <m:t>e</m:t>
            </m:r>
            <m:r>
              <m:rPr>
                <m:sty m:val="p"/>
              </m:rPr>
              <m:t>f</m:t>
            </m:r>
          </m:sub>
          <m:sup>
            <m:r>
              <m:t>0</m:t>
            </m:r>
          </m:sup>
        </m:sSubSup>
      </m:oMath>
      <w:r>
        <w:t xml:space="preserve"> </w:t>
      </w:r>
      <w:r>
        <w:t xml:space="preserve">is obtained from (3) with</w:t>
      </w:r>
      <w:r>
        <w:t xml:space="preserve"> </w:t>
      </w:r>
      <m:oMath>
        <m:r>
          <m:t>J</m:t>
        </m:r>
        <m:r>
          <m:rPr>
            <m:sty m:val="p"/>
          </m:rPr>
          <m:t>≡</m:t>
        </m:r>
        <m:r>
          <m:t>1</m:t>
        </m:r>
      </m:oMath>
      <w:r>
        <w:t xml:space="preserve"> </w:t>
      </w:r>
      <w:r>
        <w:t xml:space="preserve">and provides a shared inner product across subjects that is independent of any particular subject-specific registration.</w:t>
      </w:r>
    </w:p>
    <w:p>
      <w:pPr>
        <w:pStyle w:val="BodyText"/>
      </w:pPr>
      <w:r>
        <w:rPr>
          <w:bCs/>
          <w:b/>
        </w:rPr>
        <w:t xml:space="preserve">Material model.</w:t>
      </w:r>
      <w:r>
        <w:t xml:space="preserve"> </w:t>
      </w:r>
      <w:r>
        <w:t xml:space="preserve">The physical elasticity tensor</w:t>
      </w:r>
      <w:r>
        <w:t xml:space="preserve"> </w:t>
      </w:r>
      <m:oMath>
        <m:sSub>
          <m:e>
            <m:r>
              <m:t>C</m:t>
            </m:r>
          </m:e>
          <m:sub>
            <m:r>
              <m:rPr>
                <m:sty m:val="p"/>
              </m:rPr>
              <m:t>p</m:t>
            </m:r>
            <m:r>
              <m:rPr>
                <m:sty m:val="p"/>
              </m:rPr>
              <m:t>h</m:t>
            </m:r>
            <m:r>
              <m:rPr>
                <m:sty m:val="p"/>
              </m:rPr>
              <m:t>y</m:t>
            </m:r>
            <m:r>
              <m:rPr>
                <m:sty m:val="p"/>
              </m:rPr>
              <m:t>s</m:t>
            </m:r>
          </m:sub>
        </m:sSub>
        <m:r>
          <m:rPr>
            <m:sty m:val="p"/>
          </m:rPr>
          <m:t>(</m:t>
        </m:r>
        <m:r>
          <m:t>x</m:t>
        </m:r>
        <m:r>
          <m:rPr>
            <m:sty m:val="p"/>
          </m:rPr>
          <m:t>)</m:t>
        </m:r>
      </m:oMath>
      <w:r>
        <w:t xml:space="preserve"> </w:t>
      </w:r>
      <w:r>
        <w:t xml:space="preserve">is isotropic and heterogeneous.</w:t>
      </w:r>
      <w:r>
        <w:t xml:space="preserve"> </w:t>
      </w:r>
      <w:r>
        <w:t xml:space="preserve">For bone, the CT-derived hydroxyapatite density</w:t>
      </w:r>
      <w:r>
        <w:t xml:space="preserve"> </w:t>
      </w:r>
      <m:oMath>
        <m:r>
          <m:t>ρ</m:t>
        </m:r>
        <m:r>
          <m:rPr>
            <m:sty m:val="p"/>
          </m:rPr>
          <m:t>(</m:t>
        </m:r>
        <m:r>
          <m:t>x</m:t>
        </m:r>
        <m:r>
          <m:rPr>
            <m:sty m:val="p"/>
          </m:rPr>
          <m:t>)</m:t>
        </m:r>
      </m:oMath>
      <w:r>
        <w:t xml:space="preserve"> </w:t>
      </w:r>
      <w:r>
        <w:t xml:space="preserve">is converted to ash density</w:t>
      </w:r>
      <w:r>
        <w:t xml:space="preserve"> </w:t>
      </w:r>
      <m:oMath>
        <m:sSub>
          <m:e>
            <m:r>
              <m:t>ρ</m:t>
            </m:r>
          </m:e>
          <m:sub>
            <m:r>
              <m:rPr>
                <m:sty m:val="p"/>
              </m:rPr>
              <m:t>a</m:t>
            </m:r>
            <m:r>
              <m:rPr>
                <m:sty m:val="p"/>
              </m:rPr>
              <m:t>s</m:t>
            </m:r>
            <m:r>
              <m:rPr>
                <m:sty m:val="p"/>
              </m:rPr>
              <m:t>h</m:t>
            </m:r>
          </m:sub>
        </m:sSub>
        <m:r>
          <m:rPr>
            <m:sty m:val="p"/>
          </m:rPr>
          <m:t>=</m:t>
        </m:r>
        <m:r>
          <m:rPr>
            <m:sty m:val="p"/>
          </m:rPr>
          <m:t>(</m:t>
        </m:r>
        <m:r>
          <m:t>ρ</m:t>
        </m:r>
        <m:r>
          <m:rPr>
            <m:sty m:val="p"/>
          </m:rPr>
          <m:t>+</m:t>
        </m:r>
        <m:r>
          <m:t>0.09</m:t>
        </m:r>
        <m:r>
          <m:rPr>
            <m:sty m:val="p"/>
          </m:rPr>
          <m:t>)</m:t>
        </m:r>
        <m:r>
          <m:rPr>
            <m:sty m:val="p"/>
          </m:rPr>
          <m:t>/</m:t>
        </m:r>
        <m:r>
          <m:t>1.14</m:t>
        </m:r>
      </m:oMath>
      <w:r>
        <w:t xml:space="preserve"> </w:t>
      </w:r>
      <w:r>
        <w:t xml:space="preserve">and mapped to a Young’s modulus</w:t>
      </w:r>
      <w:r>
        <w:t xml:space="preserve"> </w:t>
      </w:r>
      <m:oMath>
        <m:r>
          <m:t>E</m:t>
        </m:r>
        <m:r>
          <m:rPr>
            <m:sty m:val="p"/>
          </m:rPr>
          <m:t>(</m:t>
        </m:r>
        <m:r>
          <m:t>x</m:t>
        </m:r>
        <m:r>
          <m:rPr>
            <m:sty m:val="p"/>
          </m:rPr>
          <m:t>)</m:t>
        </m:r>
      </m:oMath>
      <w:r>
        <w:t xml:space="preserve"> </w:t>
      </w:r>
      <w:r>
        <w:t xml:space="preserve">via the Keller [26] piecewise power law,</w:t>
      </w:r>
    </w:p>
    <w:p>
      <w:pPr>
        <w:pStyle w:val="BodyText"/>
      </w:pPr>
      <m:oMathPara>
        <m:oMathParaPr>
          <m:jc m:val="center"/>
        </m:oMathParaPr>
        <m:oMath>
          <m:r>
            <m:t>E</m:t>
          </m:r>
          <m:r>
            <m:rPr>
              <m:sty m:val="p"/>
            </m:rPr>
            <m:t>(</m:t>
          </m:r>
          <m:r>
            <m:t>x</m:t>
          </m:r>
          <m:r>
            <m:rPr>
              <m:sty m:val="p"/>
            </m:rPr>
            <m:t>)</m:t>
          </m:r>
          <m:r>
            <m:rPr>
              <m:sty m:val="p"/>
            </m:rPr>
            <m:t>=</m:t>
          </m:r>
          <m:d>
            <m:dPr>
              <m:begChr m:val="{"/>
              <m:endChr m:val=""/>
              <m:grow/>
            </m:dPr>
            <m:e>
              <m:m>
                <m:mPr>
                  <m:baseJc m:val="center"/>
                  <m:plcHide m:val="1"/>
                  <m:mcs>
                    <m:mc>
                      <m:mcPr>
                        <m:mcJc m:val="left"/>
                        <m:count m:val="1"/>
                      </m:mcPr>
                    </m:mc>
                    <m:mc>
                      <m:mcPr>
                        <m:mcJc m:val="left"/>
                        <m:count m:val="1"/>
                      </m:mcPr>
                    </m:mc>
                  </m:mcs>
                </m:mPr>
                <m:mr>
                  <m:e>
                    <m:r>
                      <m:t>2398</m:t>
                    </m:r>
                    <m:r>
                      <m:t> </m:t>
                    </m:r>
                    <m:r>
                      <m:rPr>
                        <m:sty m:val="p"/>
                      </m:rPr>
                      <m:t>M</m:t>
                    </m:r>
                    <m:r>
                      <m:rPr>
                        <m:sty m:val="p"/>
                      </m:rPr>
                      <m:t>P</m:t>
                    </m:r>
                    <m:r>
                      <m:rPr>
                        <m:sty m:val="p"/>
                      </m:rPr>
                      <m:t>a</m:t>
                    </m:r>
                    <m:r>
                      <m:rPr>
                        <m:sty m:val="p"/>
                      </m:rPr>
                      <m:t>,</m:t>
                    </m:r>
                  </m:e>
                  <m:e>
                    <m:sSub>
                      <m:e>
                        <m:r>
                          <m:t>ρ</m:t>
                        </m:r>
                      </m:e>
                      <m:sub>
                        <m:r>
                          <m:rPr>
                            <m:sty m:val="p"/>
                          </m:rPr>
                          <m:t>a</m:t>
                        </m:r>
                        <m:r>
                          <m:rPr>
                            <m:sty m:val="p"/>
                          </m:rPr>
                          <m:t>s</m:t>
                        </m:r>
                        <m:r>
                          <m:rPr>
                            <m:sty m:val="p"/>
                          </m:rPr>
                          <m:t>h</m:t>
                        </m:r>
                      </m:sub>
                    </m:sSub>
                    <m:r>
                      <m:rPr>
                        <m:sty m:val="p"/>
                      </m:rPr>
                      <m:t>(</m:t>
                    </m:r>
                    <m:r>
                      <m:t>x</m:t>
                    </m:r>
                    <m:r>
                      <m:rPr>
                        <m:sty m:val="p"/>
                      </m:rPr>
                      <m:t>)</m:t>
                    </m:r>
                    <m:r>
                      <m:rPr>
                        <m:sty m:val="p"/>
                      </m:rPr>
                      <m:t>≤</m:t>
                    </m:r>
                    <m:r>
                      <m:t>0.486</m:t>
                    </m:r>
                    <m:r>
                      <m:rPr>
                        <m:sty m:val="p"/>
                      </m:rPr>
                      <m:t>,</m:t>
                    </m:r>
                  </m:e>
                </m:mr>
                <m:mr>
                  <m:e>
                    <m:r>
                      <m:t>α</m:t>
                    </m:r>
                    <m:r>
                      <m:t> </m:t>
                    </m:r>
                    <m:sSub>
                      <m:e>
                        <m:r>
                          <m:t>ρ</m:t>
                        </m:r>
                      </m:e>
                      <m:sub>
                        <m:r>
                          <m:rPr>
                            <m:sty m:val="p"/>
                          </m:rPr>
                          <m:t>a</m:t>
                        </m:r>
                        <m:r>
                          <m:rPr>
                            <m:sty m:val="p"/>
                          </m:rPr>
                          <m:t>s</m:t>
                        </m:r>
                        <m:r>
                          <m:rPr>
                            <m:sty m:val="p"/>
                          </m:rPr>
                          <m:t>h</m:t>
                        </m:r>
                      </m:sub>
                    </m:sSub>
                    <m:r>
                      <m:rPr>
                        <m:sty m:val="p"/>
                      </m:rPr>
                      <m:t>(</m:t>
                    </m:r>
                    <m:r>
                      <m:t>x</m:t>
                    </m:r>
                    <m:sSup>
                      <m:e>
                        <m:r>
                          <m:rPr>
                            <m:sty m:val="p"/>
                          </m:rPr>
                          <m:t>)</m:t>
                        </m:r>
                      </m:e>
                      <m:sup>
                        <m:r>
                          <m:t>β</m:t>
                        </m:r>
                      </m:sup>
                    </m:sSup>
                    <m:r>
                      <m:rPr>
                        <m:sty m:val="p"/>
                      </m:rPr>
                      <m:t>,</m:t>
                    </m:r>
                  </m:e>
                  <m:e>
                    <m:sSub>
                      <m:e>
                        <m:r>
                          <m:t>ρ</m:t>
                        </m:r>
                      </m:e>
                      <m:sub>
                        <m:r>
                          <m:rPr>
                            <m:sty m:val="p"/>
                          </m:rPr>
                          <m:t>a</m:t>
                        </m:r>
                        <m:r>
                          <m:rPr>
                            <m:sty m:val="p"/>
                          </m:rPr>
                          <m:t>s</m:t>
                        </m:r>
                        <m:r>
                          <m:rPr>
                            <m:sty m:val="p"/>
                          </m:rPr>
                          <m:t>h</m:t>
                        </m:r>
                      </m:sub>
                    </m:sSub>
                    <m:r>
                      <m:rPr>
                        <m:sty m:val="p"/>
                      </m:rPr>
                      <m:t>(</m:t>
                    </m:r>
                    <m:r>
                      <m:t>x</m:t>
                    </m:r>
                    <m:r>
                      <m:rPr>
                        <m:sty m:val="p"/>
                      </m:rPr>
                      <m:t>)</m:t>
                    </m:r>
                    <m:r>
                      <m:rPr>
                        <m:sty m:val="p"/>
                      </m:rPr>
                      <m:t>&gt;</m:t>
                    </m:r>
                    <m:r>
                      <m:t>0.486</m:t>
                    </m:r>
                    <m:r>
                      <m:rPr>
                        <m:sty m:val="p"/>
                      </m:rPr>
                      <m:t>,</m:t>
                    </m:r>
                  </m:e>
                </m:mr>
              </m:m>
            </m:e>
          </m:d>
          <m:r>
            <m:t>  </m:t>
          </m:r>
          <m:r>
            <m:t>α</m:t>
          </m:r>
          <m:r>
            <m:rPr>
              <m:sty m:val="p"/>
            </m:rPr>
            <m:t>=</m:t>
          </m:r>
          <m:r>
            <m:t>10</m:t>
          </m:r>
          <m:r>
            <m:t> </m:t>
          </m:r>
          <m:r>
            <m:t>200</m:t>
          </m:r>
          <m:r>
            <m:rPr>
              <m:sty m:val="p"/>
            </m:rPr>
            <m:t>,</m:t>
          </m:r>
          <m:r>
            <m:t> </m:t>
          </m:r>
          <m:r>
            <m:t>β</m:t>
          </m:r>
          <m:r>
            <m:rPr>
              <m:sty m:val="p"/>
            </m:rPr>
            <m:t>=</m:t>
          </m:r>
          <m:r>
            <m:t>2.0</m:t>
          </m:r>
          <m:r>
            <m:rPr>
              <m:sty m:val="p"/>
            </m:rPr>
            <m:t>,</m:t>
          </m:r>
        </m:oMath>
      </m:oMathPara>
    </w:p>
    <w:p>
      <w:pPr>
        <w:pStyle w:val="FirstParagraph"/>
      </w:pPr>
      <w:r>
        <w:t xml:space="preserve">with Poisson’s ratio</w:t>
      </w:r>
      <w:r>
        <w:t xml:space="preserve"> </w:t>
      </w:r>
      <m:oMath>
        <m:r>
          <m:t>ν</m:t>
        </m:r>
        <m:r>
          <m:rPr>
            <m:sty m:val="p"/>
          </m:rPr>
          <m:t>=</m:t>
        </m:r>
        <m:r>
          <m:t>0.3</m:t>
        </m:r>
      </m:oMath>
      <w:r>
        <w:t xml:space="preserve">.</w:t>
      </w:r>
      <w:r>
        <w:t xml:space="preserve"> </w:t>
      </w:r>
      <w:r>
        <w:t xml:space="preserve">This family of density–modulus relations brackets published calibrations spanning the classical Carter–Hayes exponent [27] and the site-dependent regressions of Morgan et al. [28].</w:t>
      </w:r>
      <w:r>
        <w:t xml:space="preserve"> </w:t>
      </w:r>
      <w:r>
        <w:t xml:space="preserve">Cartilage (sacroiliac joints and pubic symphysis) is homogeneous linear elastic with</w:t>
      </w:r>
      <w:r>
        <w:t xml:space="preserve"> </w:t>
      </w:r>
      <m:oMath>
        <m:r>
          <m:t>E</m:t>
        </m:r>
        <m:r>
          <m:rPr>
            <m:sty m:val="p"/>
          </m:rPr>
          <m:t>=</m:t>
        </m:r>
        <m:r>
          <m:t>1.0</m:t>
        </m:r>
      </m:oMath>
      <w:r>
        <w:t xml:space="preserve"> MPa and</w:t>
      </w:r>
      <w:r>
        <w:t xml:space="preserve"> </w:t>
      </w:r>
      <m:oMath>
        <m:r>
          <m:t>ν</m:t>
        </m:r>
        <m:r>
          <m:rPr>
            <m:sty m:val="p"/>
          </m:rPr>
          <m:t>=</m:t>
        </m:r>
        <m:r>
          <m:t>0.45</m:t>
        </m:r>
      </m:oMath>
      <w:r>
        <w:t xml:space="preserve">.</w:t>
      </w:r>
      <w:r>
        <w:t xml:space="preserve"> </w:t>
      </w:r>
      <w:r>
        <w:t xml:space="preserve">These choices are consistent with structural adaptation and architecture–stiffness arguments in bone biomechanics [29-32] and with the broader sacroiliac and pubic-symphysis mechanics literature used to motivate linearised pelvic models [16-18].</w:t>
      </w:r>
    </w:p>
    <w:p>
      <w:pPr>
        <w:pStyle w:val="BodyText"/>
      </w:pPr>
      <w:r>
        <w:rPr>
          <w:bCs/>
          <w:b/>
        </w:rPr>
        <w:t xml:space="preserve">Ligaments in pullback coordinates.</w:t>
      </w:r>
      <w:r>
        <w:t xml:space="preserve"> </w:t>
      </w:r>
      <w:r>
        <w:t xml:space="preserve">Ligament families are represented as polyline bundles mapped from template nodes</w:t>
      </w:r>
      <w:r>
        <w:t xml:space="preserve"> </w:t>
      </w:r>
      <m:oMath>
        <m:sSub>
          <m:e>
            <m:r>
              <m:t>X</m:t>
            </m:r>
          </m:e>
          <m:sub>
            <m:r>
              <m:t>i</m:t>
            </m:r>
          </m:sub>
        </m:sSub>
      </m:oMath>
      <w:r>
        <w:t xml:space="preserve"> </w:t>
      </w:r>
      <w:r>
        <w:t xml:space="preserve">to physical points</w:t>
      </w:r>
      <w:r>
        <w:t xml:space="preserve"> </w:t>
      </w:r>
      <m:oMath>
        <m:sSub>
          <m:e>
            <m:r>
              <m:t>x</m:t>
            </m:r>
          </m:e>
          <m:sub>
            <m:r>
              <m:t>i</m:t>
            </m:r>
          </m:sub>
        </m:sSub>
        <m:r>
          <m:rPr>
            <m:sty m:val="p"/>
          </m:rPr>
          <m:t>=</m:t>
        </m:r>
        <m:sSub>
          <m:e>
            <m:r>
              <m:t>χ</m:t>
            </m:r>
          </m:e>
          <m:sub>
            <m:r>
              <m:t>s</m:t>
            </m:r>
          </m:sub>
        </m:sSub>
        <m:r>
          <m:rPr>
            <m:sty m:val="p"/>
          </m:rPr>
          <m:t>(</m:t>
        </m:r>
        <m:sSub>
          <m:e>
            <m:r>
              <m:t>X</m:t>
            </m:r>
          </m:e>
          <m:sub>
            <m:r>
              <m:t>i</m:t>
            </m:r>
          </m:sub>
        </m:sSub>
        <m:r>
          <m:rPr>
            <m:sty m:val="p"/>
          </m:rPr>
          <m:t>)</m:t>
        </m:r>
      </m:oMath>
      <w:r>
        <w:t xml:space="preserve">.</w:t>
      </w:r>
      <w:r>
        <w:t xml:space="preserve"> </w:t>
      </w:r>
      <w:r>
        <w:t xml:space="preserve">For each segment</w:t>
      </w:r>
      <w:r>
        <w:t xml:space="preserve"> </w:t>
      </w:r>
      <m:oMath>
        <m:r>
          <m:rPr>
            <m:sty m:val="p"/>
          </m:rPr>
          <m:t>(</m:t>
        </m:r>
        <m:sSub>
          <m:e>
            <m:r>
              <m:t>X</m:t>
            </m:r>
          </m:e>
          <m:sub>
            <m:r>
              <m:t>i</m:t>
            </m:r>
          </m:sub>
        </m:sSub>
        <m:r>
          <m:rPr>
            <m:sty m:val="p"/>
          </m:rPr>
          <m:t>,</m:t>
        </m:r>
        <m:sSub>
          <m:e>
            <m:r>
              <m:t>X</m:t>
            </m:r>
          </m:e>
          <m:sub>
            <m:r>
              <m:t>j</m:t>
            </m:r>
          </m:sub>
        </m:sSub>
        <m:r>
          <m:rPr>
            <m:sty m:val="p"/>
          </m:rPr>
          <m:t>)</m:t>
        </m:r>
      </m:oMath>
      <w:r>
        <w:t xml:space="preserve"> </w:t>
      </w:r>
      <w:r>
        <w:t xml:space="preserve">define the physical unit tangent</w:t>
      </w:r>
      <w:r>
        <w:t xml:space="preserve"> </w:t>
      </w:r>
      <m:oMath>
        <m:r>
          <m:rPr>
            <m:sty m:val="b"/>
          </m:rPr>
          <m:t>e</m:t>
        </m:r>
        <m:r>
          <m:rPr>
            <m:sty m:val="p"/>
          </m:rPr>
          <m:t>=</m:t>
        </m:r>
        <m:r>
          <m:rPr>
            <m:sty m:val="p"/>
          </m:rPr>
          <m:t>(</m:t>
        </m:r>
        <m:sSub>
          <m:e>
            <m:r>
              <m:t>x</m:t>
            </m:r>
          </m:e>
          <m:sub>
            <m:r>
              <m:t>j</m:t>
            </m:r>
          </m:sub>
        </m:sSub>
        <m:r>
          <m:rPr>
            <m:sty m:val="p"/>
          </m:rPr>
          <m:t>−</m:t>
        </m:r>
        <m:sSub>
          <m:e>
            <m:r>
              <m:t>x</m:t>
            </m:r>
          </m:e>
          <m:sub>
            <m:r>
              <m:t>i</m:t>
            </m:r>
          </m:sub>
        </m:sSub>
        <m:r>
          <m:rPr>
            <m:sty m:val="p"/>
          </m:rPr>
          <m:t>)</m:t>
        </m:r>
        <m:r>
          <m:rPr>
            <m:sty m:val="p"/>
          </m:rPr>
          <m:t>/</m:t>
        </m:r>
        <m:r>
          <m:rPr>
            <m:sty m:val="p"/>
          </m:rPr>
          <m:t>∥</m:t>
        </m:r>
        <m:sSub>
          <m:e>
            <m:r>
              <m:t>x</m:t>
            </m:r>
          </m:e>
          <m:sub>
            <m:r>
              <m:t>j</m:t>
            </m:r>
          </m:sub>
        </m:sSub>
        <m:r>
          <m:rPr>
            <m:sty m:val="p"/>
          </m:rPr>
          <m:t>−</m:t>
        </m:r>
        <m:sSub>
          <m:e>
            <m:r>
              <m:t>x</m:t>
            </m:r>
          </m:e>
          <m:sub>
            <m:r>
              <m:t>i</m:t>
            </m:r>
          </m:sub>
        </m:sSub>
        <m:r>
          <m:rPr>
            <m:sty m:val="p"/>
          </m:rPr>
          <m:t>∥</m:t>
        </m:r>
      </m:oMath>
      <w:r>
        <w:t xml:space="preserve"> </w:t>
      </w:r>
      <w:r>
        <w:t xml:space="preserve">and length</w:t>
      </w:r>
      <w:r>
        <w:t xml:space="preserve"> </w:t>
      </w:r>
      <m:oMath>
        <m:r>
          <m:t>L</m:t>
        </m:r>
        <m:r>
          <m:rPr>
            <m:sty m:val="p"/>
          </m:rPr>
          <m:t>=</m:t>
        </m:r>
        <m:r>
          <m:rPr>
            <m:sty m:val="p"/>
          </m:rPr>
          <m:t>∥</m:t>
        </m:r>
        <m:sSub>
          <m:e>
            <m:r>
              <m:t>x</m:t>
            </m:r>
          </m:e>
          <m:sub>
            <m:r>
              <m:t>j</m:t>
            </m:r>
          </m:sub>
        </m:sSub>
        <m:r>
          <m:rPr>
            <m:sty m:val="p"/>
          </m:rPr>
          <m:t>−</m:t>
        </m:r>
        <m:sSub>
          <m:e>
            <m:r>
              <m:t>x</m:t>
            </m:r>
          </m:e>
          <m:sub>
            <m:r>
              <m:t>i</m:t>
            </m:r>
          </m:sub>
        </m:sSub>
        <m:r>
          <m:rPr>
            <m:sty m:val="p"/>
          </m:rPr>
          <m:t>∥</m:t>
        </m:r>
      </m:oMath>
      <w:r>
        <w:t xml:space="preserve">.</w:t>
      </w:r>
      <w:r>
        <w:t xml:space="preserve"> </w:t>
      </w:r>
      <w:r>
        <w:t xml:space="preserve">The total bundle stiffness and pretension are distributed across</w:t>
      </w:r>
      <w:r>
        <w:t xml:space="preserve"> </w:t>
      </w:r>
      <m:oMath>
        <m:sSub>
          <m:e>
            <m:r>
              <m:t>N</m:t>
            </m:r>
          </m:e>
          <m:sub>
            <m:r>
              <m:rPr>
                <m:sty m:val="p"/>
              </m:rPr>
              <m:t>s</m:t>
            </m:r>
            <m:r>
              <m:rPr>
                <m:sty m:val="p"/>
              </m:rPr>
              <m:t>e</m:t>
            </m:r>
            <m:r>
              <m:rPr>
                <m:sty m:val="p"/>
              </m:rPr>
              <m:t>g</m:t>
            </m:r>
          </m:sub>
        </m:sSub>
      </m:oMath>
      <w:r>
        <w:t xml:space="preserve"> </w:t>
      </w:r>
      <w:r>
        <w:t xml:space="preserve">segments, yielding per-segment</w:t>
      </w:r>
      <w:r>
        <w:t xml:space="preserve"> </w:t>
      </w:r>
      <m:oMath>
        <m:sSub>
          <m:e>
            <m:r>
              <m:t>k</m:t>
            </m:r>
          </m:e>
          <m:sub>
            <m:r>
              <m:rPr>
                <m:sty m:val="p"/>
              </m:rPr>
              <m:t>s</m:t>
            </m:r>
            <m:r>
              <m:rPr>
                <m:sty m:val="p"/>
              </m:rPr>
              <m:t>e</m:t>
            </m:r>
            <m:r>
              <m:rPr>
                <m:sty m:val="p"/>
              </m:rPr>
              <m:t>g</m:t>
            </m:r>
          </m:sub>
        </m:sSub>
        <m:r>
          <m:rPr>
            <m:sty m:val="p"/>
          </m:rPr>
          <m:t>=</m:t>
        </m:r>
        <m:sSub>
          <m:e>
            <m:r>
              <m:t>K</m:t>
            </m:r>
          </m:e>
          <m:sub>
            <m:r>
              <m:rPr>
                <m:sty m:val="p"/>
              </m:rPr>
              <m:t>b</m:t>
            </m:r>
            <m:r>
              <m:rPr>
                <m:sty m:val="p"/>
              </m:rPr>
              <m:t>u</m:t>
            </m:r>
            <m:r>
              <m:rPr>
                <m:sty m:val="p"/>
              </m:rPr>
              <m:t>n</m:t>
            </m:r>
            <m:r>
              <m:rPr>
                <m:sty m:val="p"/>
              </m:rPr>
              <m:t>d</m:t>
            </m:r>
            <m:r>
              <m:rPr>
                <m:sty m:val="p"/>
              </m:rPr>
              <m:t>l</m:t>
            </m:r>
            <m:r>
              <m:rPr>
                <m:sty m:val="p"/>
              </m:rPr>
              <m:t>e</m:t>
            </m:r>
          </m:sub>
        </m:sSub>
        <m:r>
          <m:rPr>
            <m:sty m:val="p"/>
          </m:rPr>
          <m:t>/</m:t>
        </m:r>
        <m:sSub>
          <m:e>
            <m:r>
              <m:t>N</m:t>
            </m:r>
          </m:e>
          <m:sub>
            <m:r>
              <m:rPr>
                <m:sty m:val="p"/>
              </m:rPr>
              <m:t>s</m:t>
            </m:r>
            <m:r>
              <m:rPr>
                <m:sty m:val="p"/>
              </m:rPr>
              <m:t>e</m:t>
            </m:r>
            <m:r>
              <m:rPr>
                <m:sty m:val="p"/>
              </m:rPr>
              <m:t>g</m:t>
            </m:r>
          </m:sub>
        </m:sSub>
      </m:oMath>
      <w:r>
        <w:t xml:space="preserve"> </w:t>
      </w:r>
      <w:r>
        <w:t xml:space="preserve">and</w:t>
      </w:r>
      <w:r>
        <w:t xml:space="preserve"> </w:t>
      </w:r>
      <m:oMath>
        <m:sSub>
          <m:e>
            <m:r>
              <m:t>T</m:t>
            </m:r>
          </m:e>
          <m:sub>
            <m:r>
              <m:rPr>
                <m:sty m:val="p"/>
              </m:rPr>
              <m:t>s</m:t>
            </m:r>
            <m:r>
              <m:rPr>
                <m:sty m:val="p"/>
              </m:rPr>
              <m:t>e</m:t>
            </m:r>
            <m:r>
              <m:rPr>
                <m:sty m:val="p"/>
              </m:rPr>
              <m:t>g</m:t>
            </m:r>
          </m:sub>
        </m:sSub>
        <m:r>
          <m:rPr>
            <m:sty m:val="p"/>
          </m:rPr>
          <m:t>=</m:t>
        </m:r>
        <m:sSub>
          <m:e>
            <m:r>
              <m:t>T</m:t>
            </m:r>
          </m:e>
          <m:sub>
            <m:r>
              <m:rPr>
                <m:sty m:val="p"/>
              </m:rPr>
              <m:t>b</m:t>
            </m:r>
            <m:r>
              <m:rPr>
                <m:sty m:val="p"/>
              </m:rPr>
              <m:t>u</m:t>
            </m:r>
            <m:r>
              <m:rPr>
                <m:sty m:val="p"/>
              </m:rPr>
              <m:t>n</m:t>
            </m:r>
            <m:r>
              <m:rPr>
                <m:sty m:val="p"/>
              </m:rPr>
              <m:t>d</m:t>
            </m:r>
            <m:r>
              <m:rPr>
                <m:sty m:val="p"/>
              </m:rPr>
              <m:t>l</m:t>
            </m:r>
            <m:r>
              <m:rPr>
                <m:sty m:val="p"/>
              </m:rPr>
              <m:t>e</m:t>
            </m:r>
          </m:sub>
        </m:sSub>
        <m:r>
          <m:rPr>
            <m:sty m:val="p"/>
          </m:rPr>
          <m:t>/</m:t>
        </m:r>
        <m:sSub>
          <m:e>
            <m:r>
              <m:t>N</m:t>
            </m:r>
          </m:e>
          <m:sub>
            <m:r>
              <m:rPr>
                <m:sty m:val="p"/>
              </m:rPr>
              <m:t>s</m:t>
            </m:r>
            <m:r>
              <m:rPr>
                <m:sty m:val="p"/>
              </m:rPr>
              <m:t>e</m:t>
            </m:r>
            <m:r>
              <m:rPr>
                <m:sty m:val="p"/>
              </m:rPr>
              <m:t>g</m:t>
            </m:r>
          </m:sub>
        </m:sSub>
      </m:oMath>
      <w:r>
        <w:t xml:space="preserve">.</w:t>
      </w:r>
      <w:r>
        <w:t xml:space="preserve"> </w:t>
      </w:r>
      <w:r>
        <w:t xml:space="preserve">Each segment contributes an axial stiffness block</w:t>
      </w:r>
    </w:p>
    <w:p>
      <w:pPr>
        <w:pStyle w:val="BodyText"/>
      </w:pPr>
      <m:oMathPara>
        <m:oMathParaPr>
          <m:jc m:val="center"/>
        </m:oMathParaPr>
        <m:oMath>
          <m:r>
            <m:t>W</m:t>
          </m:r>
          <m:r>
            <m:rPr>
              <m:sty m:val="p"/>
            </m:rPr>
            <m:t>=</m:t>
          </m:r>
          <m:sSub>
            <m:e>
              <m:r>
                <m:t>k</m:t>
              </m:r>
            </m:e>
            <m:sub>
              <m:r>
                <m:rPr>
                  <m:sty m:val="p"/>
                </m:rPr>
                <m:t>s</m:t>
              </m:r>
              <m:r>
                <m:rPr>
                  <m:sty m:val="p"/>
                </m:rPr>
                <m:t>e</m:t>
              </m:r>
              <m:r>
                <m:rPr>
                  <m:sty m:val="p"/>
                </m:rPr>
                <m:t>g</m:t>
              </m:r>
            </m:sub>
          </m:sSub>
          <m:r>
            <m:t> </m:t>
          </m:r>
          <m:r>
            <m:rPr>
              <m:sty m:val="p"/>
            </m:rPr>
            <m:t>(</m:t>
          </m:r>
          <m:r>
            <m:rPr>
              <m:sty m:val="b"/>
            </m:rPr>
            <m:t>e</m:t>
          </m:r>
          <m:sSup>
            <m:e>
              <m:r>
                <m:rPr>
                  <m:sty m:val="b"/>
                </m:rPr>
                <m:t>e</m:t>
              </m:r>
            </m:e>
            <m:sup>
              <m:r>
                <m:rPr>
                  <m:sty m:val="p"/>
                </m:rPr>
                <m:t>⊤</m:t>
              </m:r>
            </m:sup>
          </m:sSup>
          <m:r>
            <m:rPr>
              <m:sty m:val="p"/>
            </m:rPr>
            <m:t>)</m:t>
          </m:r>
          <m:r>
            <m:rPr>
              <m:sty m:val="p"/>
            </m:rPr>
            <m:t>,</m:t>
          </m:r>
          <m:r>
            <m:t>  </m:t>
          </m:r>
          <m:sSubSup>
            <m:e>
              <m:r>
                <m:t>K</m:t>
              </m:r>
            </m:e>
            <m:sub>
              <m:r>
                <m:t>i</m:t>
              </m:r>
              <m:r>
                <m:t>j</m:t>
              </m:r>
            </m:sub>
            <m:sup>
              <m:r>
                <m:rPr>
                  <m:sty m:val="p"/>
                </m:rPr>
                <m:t>a</m:t>
              </m:r>
              <m:r>
                <m:rPr>
                  <m:sty m:val="p"/>
                </m:rPr>
                <m:t>x</m:t>
              </m:r>
            </m:sup>
          </m:sSubSup>
          <m:r>
            <m:rPr>
              <m:sty m:val="p"/>
            </m:rPr>
            <m:t>=</m:t>
          </m:r>
          <m:d>
            <m:dPr>
              <m:begChr m:val="["/>
              <m:endChr m:val="]"/>
              <m:grow/>
            </m:dPr>
            <m:e>
              <m:m>
                <m:mPr>
                  <m:baseJc m:val="center"/>
                  <m:plcHide m:val="1"/>
                  <m:mcs>
                    <m:mc>
                      <m:mcPr>
                        <m:mcJc m:val="center"/>
                        <m:count m:val="1"/>
                      </m:mcPr>
                    </m:mc>
                    <m:mc>
                      <m:mcPr>
                        <m:mcJc m:val="center"/>
                        <m:count m:val="1"/>
                      </m:mcPr>
                    </m:mc>
                  </m:mcs>
                </m:mPr>
                <m:mr>
                  <m:e>
                    <m:r>
                      <m:rPr>
                        <m:sty m:val="p"/>
                      </m:rPr>
                      <m:t>+</m:t>
                    </m:r>
                    <m:r>
                      <m:t>W</m:t>
                    </m:r>
                  </m:e>
                  <m:e>
                    <m:r>
                      <m:rPr>
                        <m:sty m:val="p"/>
                      </m:rPr>
                      <m:t>−</m:t>
                    </m:r>
                    <m:r>
                      <m:t>W</m:t>
                    </m:r>
                  </m:e>
                </m:mr>
                <m:mr>
                  <m:e>
                    <m:r>
                      <m:rPr>
                        <m:sty m:val="p"/>
                      </m:rPr>
                      <m:t>−</m:t>
                    </m:r>
                    <m:r>
                      <m:t>W</m:t>
                    </m:r>
                  </m:e>
                  <m:e>
                    <m:r>
                      <m:rPr>
                        <m:sty m:val="p"/>
                      </m:rPr>
                      <m:t>+</m:t>
                    </m:r>
                    <m:r>
                      <m:t>W</m:t>
                    </m:r>
                  </m:e>
                </m:mr>
              </m:m>
            </m:e>
          </m:d>
          <m:r>
            <m:rPr>
              <m:sty m:val="p"/>
            </m:rPr>
            <m:t>,</m:t>
          </m:r>
        </m:oMath>
      </m:oMathPara>
    </w:p>
    <w:p>
      <w:pPr>
        <w:pStyle w:val="FirstParagraph"/>
      </w:pPr>
      <w:r>
        <w:t xml:space="preserve">and, in the presence of pretension</w:t>
      </w:r>
      <w:r>
        <w:t xml:space="preserve"> </w:t>
      </w:r>
      <m:oMath>
        <m:sSub>
          <m:e>
            <m:r>
              <m:t>T</m:t>
            </m:r>
          </m:e>
          <m:sub>
            <m:r>
              <m:rPr>
                <m:sty m:val="p"/>
              </m:rPr>
              <m:t>s</m:t>
            </m:r>
            <m:r>
              <m:rPr>
                <m:sty m:val="p"/>
              </m:rPr>
              <m:t>e</m:t>
            </m:r>
            <m:r>
              <m:rPr>
                <m:sty m:val="p"/>
              </m:rPr>
              <m:t>g</m:t>
            </m:r>
          </m:sub>
        </m:sSub>
        <m:r>
          <m:rPr>
            <m:sty m:val="p"/>
          </m:rPr>
          <m:t>≥</m:t>
        </m:r>
        <m:r>
          <m:t>0</m:t>
        </m:r>
      </m:oMath>
      <w:r>
        <w:t xml:space="preserve">, a geometric (prestress) stiffness</w:t>
      </w:r>
    </w:p>
    <w:p>
      <w:pPr>
        <w:pStyle w:val="BodyText"/>
      </w:pPr>
      <m:oMathPara>
        <m:oMathParaPr>
          <m:jc m:val="center"/>
        </m:oMathParaPr>
        <m:oMath>
          <m:sSubSup>
            <m:e>
              <m:r>
                <m:t>K</m:t>
              </m:r>
            </m:e>
            <m:sub>
              <m:r>
                <m:t>i</m:t>
              </m:r>
              <m:r>
                <m:t>j</m:t>
              </m:r>
            </m:sub>
            <m:sup>
              <m:r>
                <m:rPr>
                  <m:sty m:val="p"/>
                </m:rPr>
                <m:t>g</m:t>
              </m:r>
              <m:r>
                <m:rPr>
                  <m:sty m:val="p"/>
                </m:rPr>
                <m:t>e</m:t>
              </m:r>
              <m:r>
                <m:rPr>
                  <m:sty m:val="p"/>
                </m:rPr>
                <m:t>o</m:t>
              </m:r>
            </m:sup>
          </m:sSubSup>
          <m:r>
            <m:rPr>
              <m:sty m:val="p"/>
            </m:rPr>
            <m:t>=</m:t>
          </m:r>
          <m:f>
            <m:fPr>
              <m:type m:val="lin"/>
            </m:fPr>
            <m:num>
              <m:sSub>
                <m:e>
                  <m:r>
                    <m:t>T</m:t>
                  </m:r>
                </m:e>
                <m:sub>
                  <m:r>
                    <m:rPr>
                      <m:sty m:val="p"/>
                    </m:rPr>
                    <m:t>s</m:t>
                  </m:r>
                  <m:r>
                    <m:rPr>
                      <m:sty m:val="p"/>
                    </m:rPr>
                    <m:t>e</m:t>
                  </m:r>
                  <m:r>
                    <m:rPr>
                      <m:sty m:val="p"/>
                    </m:rPr>
                    <m:t>g</m:t>
                  </m:r>
                </m:sub>
              </m:sSub>
            </m:num>
            <m:den>
              <m:r>
                <m:t>L</m:t>
              </m:r>
            </m:den>
          </m:f>
          <m:r>
            <m:rPr>
              <m:sty m:val="p"/>
            </m:rPr>
            <m:t>(</m:t>
          </m:r>
          <m:r>
            <m:t>I</m:t>
          </m:r>
          <m:r>
            <m:rPr>
              <m:sty m:val="p"/>
            </m:rPr>
            <m:t>−</m:t>
          </m:r>
          <m:r>
            <m:rPr>
              <m:sty m:val="b"/>
            </m:rPr>
            <m:t>e</m:t>
          </m:r>
          <m:sSup>
            <m:e>
              <m:r>
                <m:rPr>
                  <m:sty m:val="b"/>
                </m:rPr>
                <m:t>e</m:t>
              </m:r>
            </m:e>
            <m:sup>
              <m:r>
                <m:rPr>
                  <m:sty m:val="p"/>
                </m:rPr>
                <m:t>⊤</m:t>
              </m:r>
            </m:sup>
          </m:sSup>
          <m:r>
            <m:rPr>
              <m:sty m:val="p"/>
            </m:rPr>
            <m:t>)</m:t>
          </m:r>
          <m:r>
            <m:rPr>
              <m:sty m:val="p"/>
            </m:rPr>
            <m:t>≽</m:t>
          </m:r>
          <m:r>
            <m:t>0</m:t>
          </m:r>
          <m:r>
            <m:rPr>
              <m:sty m:val="p"/>
            </m:rPr>
            <m:t>,</m:t>
          </m:r>
        </m:oMath>
      </m:oMathPara>
    </w:p>
    <w:p>
      <w:pPr>
        <w:pStyle w:val="FirstParagraph"/>
      </w:pPr>
      <w:r>
        <w:t xml:space="preserve">together with paired nodal forces</w:t>
      </w:r>
      <w:r>
        <w:t xml:space="preserve"> </w:t>
      </w:r>
      <m:oMath>
        <m:r>
          <m:rPr>
            <m:sty m:val="p"/>
          </m:rPr>
          <m:t>±</m:t>
        </m:r>
        <m:sSub>
          <m:e>
            <m:r>
              <m:t>T</m:t>
            </m:r>
          </m:e>
          <m:sub>
            <m:r>
              <m:rPr>
                <m:sty m:val="p"/>
              </m:rPr>
              <m:t>s</m:t>
            </m:r>
            <m:r>
              <m:rPr>
                <m:sty m:val="p"/>
              </m:rPr>
              <m:t>e</m:t>
            </m:r>
            <m:r>
              <m:rPr>
                <m:sty m:val="p"/>
              </m:rPr>
              <m:t>g</m:t>
            </m:r>
          </m:sub>
        </m:sSub>
        <m:r>
          <m:rPr>
            <m:sty m:val="b"/>
          </m:rPr>
          <m:t>e</m:t>
        </m:r>
      </m:oMath>
      <w:r>
        <w:t xml:space="preserve"> </w:t>
      </w:r>
      <w:r>
        <w:t xml:space="preserve">on the right-hand side.</w:t>
      </w:r>
      <w:r>
        <w:t xml:space="preserve"> </w:t>
      </w:r>
      <w:r>
        <w:t xml:space="preserve">The full assembled stiffness is</w:t>
      </w:r>
    </w:p>
    <w:p>
      <w:pPr>
        <w:pStyle w:val="BodyText"/>
      </w:pPr>
      <m:oMathPara>
        <m:oMathParaPr>
          <m:jc m:val="center"/>
        </m:oMathParaPr>
        <m:oMath>
          <m:sSub>
            <m:e>
              <m:r>
                <m:t>K</m:t>
              </m:r>
            </m:e>
            <m:sub>
              <m:r>
                <m:t>s</m:t>
              </m:r>
            </m:sub>
          </m:sSub>
          <m:r>
            <m:rPr>
              <m:sty m:val="p"/>
            </m:rPr>
            <m:t>=</m:t>
          </m:r>
          <m:sSub>
            <m:e>
              <m:r>
                <m:t>K</m:t>
              </m:r>
            </m:e>
            <m:sub>
              <m:r>
                <m:rPr>
                  <m:sty m:val="p"/>
                </m:rPr>
                <m:t>e</m:t>
              </m:r>
              <m:r>
                <m:rPr>
                  <m:sty m:val="p"/>
                </m:rPr>
                <m:t>l</m:t>
              </m:r>
              <m:r>
                <m:rPr>
                  <m:sty m:val="p"/>
                </m:rPr>
                <m:t>a</m:t>
              </m:r>
              <m:r>
                <m:rPr>
                  <m:sty m:val="p"/>
                </m:rPr>
                <m:t>s</m:t>
              </m:r>
              <m:r>
                <m:rPr>
                  <m:sty m:val="p"/>
                </m:rPr>
                <m:t>,</m:t>
              </m:r>
              <m:r>
                <m:rPr>
                  <m:sty m:val="p"/>
                </m:rPr>
                <m:t>s</m:t>
              </m:r>
            </m:sub>
          </m:sSub>
          <m:r>
            <m:rPr>
              <m:sty m:val="p"/>
            </m:rPr>
            <m:t>+</m:t>
          </m:r>
          <m:sSub>
            <m:e>
              <m:r>
                <m:t>K</m:t>
              </m:r>
            </m:e>
            <m:sub>
              <m:r>
                <m:rPr>
                  <m:sty m:val="p"/>
                </m:rPr>
                <m:t>l</m:t>
              </m:r>
              <m:r>
                <m:rPr>
                  <m:sty m:val="p"/>
                </m:rPr>
                <m:t>i</m:t>
              </m:r>
              <m:r>
                <m:rPr>
                  <m:sty m:val="p"/>
                </m:rPr>
                <m:t>g</m:t>
              </m:r>
              <m:r>
                <m:rPr>
                  <m:sty m:val="p"/>
                </m:rPr>
                <m:t>,</m:t>
              </m:r>
              <m:r>
                <m:rPr>
                  <m:sty m:val="p"/>
                </m:rPr>
                <m:t>s</m:t>
              </m:r>
            </m:sub>
          </m:sSub>
          <m:r>
            <m:rPr>
              <m:sty m:val="p"/>
            </m:rPr>
            <m:t>+</m:t>
          </m:r>
          <m:sSubSup>
            <m:e>
              <m:r>
                <m:t>K</m:t>
              </m:r>
            </m:e>
            <m:sub>
              <m:r>
                <m:t>s</m:t>
              </m:r>
            </m:sub>
            <m:sup>
              <m:r>
                <m:rPr>
                  <m:sty m:val="p"/>
                </m:rPr>
                <m:t>g</m:t>
              </m:r>
              <m:r>
                <m:rPr>
                  <m:sty m:val="p"/>
                </m:rPr>
                <m:t>e</m:t>
              </m:r>
              <m:r>
                <m:rPr>
                  <m:sty m:val="p"/>
                </m:rPr>
                <m:t>o</m:t>
              </m:r>
            </m:sup>
          </m:sSubSup>
          <m:r>
            <m:rPr>
              <m:sty m:val="p"/>
            </m:rPr>
            <m:t>(</m:t>
          </m:r>
          <m:r>
            <m:t>T</m:t>
          </m:r>
          <m:r>
            <m:rPr>
              <m:sty m:val="p"/>
            </m:rPr>
            <m:t>)</m:t>
          </m:r>
          <m:r>
            <m:rPr>
              <m:sty m:val="p"/>
            </m:rPr>
            <m:t>+</m:t>
          </m:r>
          <m:sSub>
            <m:e>
              <m:r>
                <m:t>K</m:t>
              </m:r>
            </m:e>
            <m:sub>
              <m:r>
                <m:t>Γ</m:t>
              </m:r>
              <m:r>
                <m:rPr>
                  <m:sty m:val="p"/>
                </m:rPr>
                <m:t>,</m:t>
              </m:r>
              <m:r>
                <m:t>s</m:t>
              </m:r>
            </m:sub>
          </m:sSub>
          <m:r>
            <m:rPr>
              <m:sty m:val="p"/>
            </m:rPr>
            <m:t>,</m:t>
          </m:r>
          <m:r>
            <m:t>  </m:t>
          </m:r>
          <m:r>
            <m:t>f</m:t>
          </m:r>
          <m:r>
            <m:rPr>
              <m:sty m:val="p"/>
            </m:rPr>
            <m:t>=</m:t>
          </m:r>
          <m:sSub>
            <m:e>
              <m:r>
                <m:t>f</m:t>
              </m:r>
            </m:e>
            <m:sub>
              <m:r>
                <m:rPr>
                  <m:sty m:val="p"/>
                </m:rPr>
                <m:t>e</m:t>
              </m:r>
              <m:r>
                <m:rPr>
                  <m:sty m:val="p"/>
                </m:rPr>
                <m:t>x</m:t>
              </m:r>
              <m:r>
                <m:rPr>
                  <m:sty m:val="p"/>
                </m:rPr>
                <m:t>t</m:t>
              </m:r>
            </m:sub>
          </m:sSub>
          <m:r>
            <m:rPr>
              <m:sty m:val="p"/>
            </m:rPr>
            <m:t>+</m:t>
          </m:r>
          <m:sSub>
            <m:e>
              <m:r>
                <m:t>f</m:t>
              </m:r>
            </m:e>
            <m:sub>
              <m:r>
                <m:rPr>
                  <m:sty m:val="p"/>
                </m:rPr>
                <m:t>p</m:t>
              </m:r>
              <m:r>
                <m:rPr>
                  <m:sty m:val="p"/>
                </m:rPr>
                <m:t>r</m:t>
              </m:r>
              <m:r>
                <m:rPr>
                  <m:sty m:val="p"/>
                </m:rPr>
                <m:t>e</m:t>
              </m:r>
              <m:r>
                <m:rPr>
                  <m:sty m:val="p"/>
                </m:rPr>
                <m:t>t</m:t>
              </m:r>
            </m:sub>
          </m:sSub>
          <m:r>
            <m:rPr>
              <m:sty m:val="p"/>
            </m:rPr>
            <m:t>(</m:t>
          </m:r>
          <m:r>
            <m:t>T</m:t>
          </m:r>
          <m:r>
            <m:rPr>
              <m:sty m:val="p"/>
            </m:rPr>
            <m:t>)</m:t>
          </m:r>
          <m:r>
            <m:rPr>
              <m:sty m:val="p"/>
            </m:rPr>
            <m:t>,</m:t>
          </m:r>
        </m:oMath>
      </m:oMathPara>
    </w:p>
    <w:p>
      <w:pPr>
        <w:pStyle w:val="FirstParagraph"/>
      </w:pPr>
      <w:r>
        <w:t xml:space="preserve">where</w:t>
      </w:r>
      <w:r>
        <w:t xml:space="preserve"> </w:t>
      </w:r>
      <m:oMath>
        <m:sSub>
          <m:e>
            <m:r>
              <m:t>K</m:t>
            </m:r>
          </m:e>
          <m:sub>
            <m:r>
              <m:t>Γ</m:t>
            </m:r>
            <m:r>
              <m:rPr>
                <m:sty m:val="p"/>
              </m:rPr>
              <m:t>,</m:t>
            </m:r>
            <m:r>
              <m:t>s</m:t>
            </m:r>
          </m:sub>
        </m:sSub>
      </m:oMath>
      <w:r>
        <w:t xml:space="preserve"> </w:t>
      </w:r>
      <w:r>
        <w:t xml:space="preserve">implements Dirichlet penalties on</w:t>
      </w:r>
      <w:r>
        <w:t xml:space="preserve"> </w:t>
      </w:r>
      <m:oMath>
        <m:sSub>
          <m:e>
            <m:r>
              <m:t>Γ</m:t>
            </m:r>
          </m:e>
          <m:sub>
            <m:r>
              <m:rPr>
                <m:sty m:val="p"/>
              </m:rPr>
              <m:t>r</m:t>
            </m:r>
            <m:r>
              <m:rPr>
                <m:sty m:val="p"/>
              </m:rPr>
              <m:t>e</m:t>
            </m:r>
            <m:r>
              <m:rPr>
                <m:sty m:val="p"/>
              </m:rPr>
              <m:t>f</m:t>
            </m:r>
          </m:sub>
        </m:sSub>
      </m:oMath>
      <w:r>
        <w:t xml:space="preserve">,</w:t>
      </w:r>
      <w:r>
        <w:t xml:space="preserve"> </w:t>
      </w:r>
      <m:oMath>
        <m:sSub>
          <m:e>
            <m:r>
              <m:t>a</m:t>
            </m:r>
          </m:e>
          <m:sub>
            <m:r>
              <m:t>Γ</m:t>
            </m:r>
          </m:sub>
        </m:sSub>
        <m:r>
          <m:rPr>
            <m:sty m:val="p"/>
          </m:rPr>
          <m:t>(</m:t>
        </m:r>
        <m:acc>
          <m:accPr>
            <m:chr m:val="̂"/>
          </m:accPr>
          <m:e>
            <m:r>
              <m:rPr>
                <m:sty m:val="b"/>
              </m:rPr>
              <m:t>u</m:t>
            </m:r>
          </m:e>
        </m:acc>
        <m:r>
          <m:rPr>
            <m:sty m:val="p"/>
          </m:rPr>
          <m:t>,</m:t>
        </m:r>
        <m:acc>
          <m:accPr>
            <m:chr m:val="̂"/>
          </m:accPr>
          <m:e>
            <m:r>
              <m:rPr>
                <m:sty m:val="b"/>
              </m:rPr>
              <m:t>v</m:t>
            </m:r>
          </m:e>
        </m:acc>
        <m:r>
          <m:rPr>
            <m:sty m:val="p"/>
          </m:rPr>
          <m:t>)</m:t>
        </m:r>
        <m:r>
          <m:rPr>
            <m:sty m:val="p"/>
          </m:rPr>
          <m:t>=</m:t>
        </m:r>
        <m:r>
          <m:t>γ</m:t>
        </m:r>
        <m:nary>
          <m:naryPr>
            <m:chr m:val="∫"/>
            <m:limLoc m:val="subSup"/>
            <m:subHide m:val="0"/>
            <m:supHide m:val="1"/>
          </m:naryPr>
          <m:sub>
            <m:sSub>
              <m:e>
                <m:r>
                  <m:t>Γ</m:t>
                </m:r>
              </m:e>
              <m:sub>
                <m:r>
                  <m:rPr>
                    <m:sty m:val="p"/>
                  </m:rPr>
                  <m:t>r</m:t>
                </m:r>
                <m:r>
                  <m:rPr>
                    <m:sty m:val="p"/>
                  </m:rPr>
                  <m:t>e</m:t>
                </m:r>
                <m:r>
                  <m:rPr>
                    <m:sty m:val="p"/>
                  </m:rPr>
                  <m:t>f</m:t>
                </m:r>
              </m:sub>
            </m:sSub>
          </m:sub>
          <m:sup>
            <m:r>
              <m:t>​</m:t>
            </m:r>
          </m:sup>
          <m:e>
            <m:acc>
              <m:accPr>
                <m:chr m:val="̂"/>
              </m:accPr>
              <m:e>
                <m:r>
                  <m:rPr>
                    <m:sty m:val="b"/>
                  </m:rPr>
                  <m:t>u</m:t>
                </m:r>
              </m:e>
            </m:acc>
          </m:e>
        </m:nary>
        <m:r>
          <m:rPr>
            <m:sty m:val="p"/>
          </m:rPr>
          <m:t>⋅</m:t>
        </m:r>
        <m:acc>
          <m:accPr>
            <m:chr m:val="̂"/>
          </m:accPr>
          <m:e>
            <m:r>
              <m:rPr>
                <m:sty m:val="b"/>
              </m:rPr>
              <m:t>v</m:t>
            </m:r>
          </m:e>
        </m:acc>
        <m:r>
          <m:t> </m:t>
        </m:r>
        <m:sSub>
          <m:e>
            <m:r>
              <m:t>J</m:t>
            </m:r>
          </m:e>
          <m:sub>
            <m:r>
              <m:t>Γ</m:t>
            </m:r>
            <m:r>
              <m:rPr>
                <m:sty m:val="p"/>
              </m:rPr>
              <m:t>,</m:t>
            </m:r>
            <m:r>
              <m:t>s</m:t>
            </m:r>
          </m:sub>
        </m:sSub>
        <m:r>
          <m:t> </m:t>
        </m:r>
        <m:r>
          <m:rPr>
            <m:sty m:val="p"/>
          </m:rPr>
          <m:t>d</m:t>
        </m:r>
        <m:sSub>
          <m:e>
            <m:r>
              <m:t>S</m:t>
            </m:r>
          </m:e>
          <m:sub>
            <m:r>
              <m:t>X</m:t>
            </m:r>
          </m:sub>
        </m:sSub>
      </m:oMath>
      <w:r>
        <w:t xml:space="preserve"> </w:t>
      </w:r>
      <w:r>
        <w:t xml:space="preserve">with</w:t>
      </w:r>
      <w:r>
        <w:t xml:space="preserve"> </w:t>
      </w:r>
      <m:oMath>
        <m:sSub>
          <m:e>
            <m:r>
              <m:t>J</m:t>
            </m:r>
          </m:e>
          <m:sub>
            <m:r>
              <m:t>Γ</m:t>
            </m:r>
            <m:r>
              <m:rPr>
                <m:sty m:val="p"/>
              </m:rPr>
              <m:t>,</m:t>
            </m:r>
            <m:r>
              <m:t>s</m:t>
            </m:r>
          </m:sub>
        </m:sSub>
        <m:r>
          <m:rPr>
            <m:sty m:val="p"/>
          </m:rPr>
          <m:t>=</m:t>
        </m:r>
        <m:sSub>
          <m:e>
            <m:r>
              <m:t>J</m:t>
            </m:r>
          </m:e>
          <m:sub>
            <m:r>
              <m:t>s</m:t>
            </m:r>
          </m:sub>
        </m:sSub>
        <m:r>
          <m:rPr>
            <m:sty m:val="p"/>
          </m:rPr>
          <m:t>∥</m:t>
        </m:r>
        <m:sSubSup>
          <m:e>
            <m:r>
              <m:t>F</m:t>
            </m:r>
          </m:e>
          <m:sub>
            <m:r>
              <m:t>s</m:t>
            </m:r>
          </m:sub>
          <m:sup>
            <m:r>
              <m:rPr>
                <m:sty m:val="p"/>
              </m:rPr>
              <m:t>−</m:t>
            </m:r>
            <m:r>
              <m:t>T</m:t>
            </m:r>
          </m:sup>
        </m:sSubSup>
        <m:r>
          <m:t>N</m:t>
        </m:r>
        <m:r>
          <m:rPr>
            <m:sty m:val="p"/>
          </m:rPr>
          <m:t>∥</m:t>
        </m:r>
      </m:oMath>
      <w:r>
        <w:t xml:space="preserve"> </w:t>
      </w:r>
      <w:r>
        <w:t xml:space="preserve">and</w:t>
      </w:r>
      <w:r>
        <w:t xml:space="preserve"> </w:t>
      </w:r>
      <m:oMath>
        <m:r>
          <m:t>γ</m:t>
        </m:r>
        <m:r>
          <m:rPr>
            <m:sty m:val="p"/>
          </m:rPr>
          <m:t>=</m:t>
        </m:r>
        <m:sSub>
          <m:e>
            <m:r>
              <m:t>α</m:t>
            </m:r>
          </m:e>
          <m:sub>
            <m:r>
              <m:t>Γ</m:t>
            </m:r>
          </m:sub>
        </m:sSub>
        <m:acc>
          <m:accPr>
            <m:chr m:val="‾"/>
          </m:accPr>
          <m:e>
            <m:r>
              <m:t>E</m:t>
            </m:r>
          </m:e>
        </m:acc>
        <m:r>
          <m:rPr>
            <m:sty m:val="p"/>
          </m:rPr>
          <m:t>/</m:t>
        </m:r>
        <m:r>
          <m:t>h</m:t>
        </m:r>
      </m:oMath>
      <w:r>
        <w:t xml:space="preserve">,</w:t>
      </w:r>
      <w:r>
        <w:t xml:space="preserve"> </w:t>
      </w:r>
      <m:oMath>
        <m:sSub>
          <m:e>
            <m:r>
              <m:t>α</m:t>
            </m:r>
          </m:e>
          <m:sub>
            <m:r>
              <m:t>Γ</m:t>
            </m:r>
          </m:sub>
        </m:sSub>
        <m:r>
          <m:rPr>
            <m:sty m:val="p"/>
          </m:rPr>
          <m:t>∈</m:t>
        </m:r>
        <m:r>
          <m:rPr>
            <m:sty m:val="p"/>
          </m:rPr>
          <m:t>[</m:t>
        </m:r>
        <m:sSup>
          <m:e>
            <m:r>
              <m:t>10</m:t>
            </m:r>
          </m:e>
          <m:sup>
            <m:r>
              <m:t>3</m:t>
            </m:r>
          </m:sup>
        </m:sSup>
        <m:r>
          <m:rPr>
            <m:sty m:val="p"/>
          </m:rPr>
          <m:t>,</m:t>
        </m:r>
        <m:sSup>
          <m:e>
            <m:r>
              <m:t>10</m:t>
            </m:r>
          </m:e>
          <m:sup>
            <m:r>
              <m:t>5</m:t>
            </m:r>
          </m:sup>
        </m:sSup>
        <m:r>
          <m:rPr>
            <m:sty m:val="p"/>
          </m:rPr>
          <m:t>]</m:t>
        </m:r>
      </m:oMath>
      <w:r>
        <w:t xml:space="preserve">.</w:t>
      </w:r>
      <w:r>
        <w:t xml:space="preserve"> </w:t>
      </w:r>
      <w:r>
        <w:t xml:space="preserve">A decade sweep of</w:t>
      </w:r>
      <w:r>
        <w:t xml:space="preserve"> </w:t>
      </w:r>
      <m:oMath>
        <m:r>
          <m:t>γ</m:t>
        </m:r>
      </m:oMath>
      <w:r>
        <w:t xml:space="preserve"> </w:t>
      </w:r>
      <w:r>
        <w:t xml:space="preserve">left the reported cluster classification unchanged.</w:t>
      </w:r>
    </w:p>
    <w:p>
      <w:pPr>
        <w:pStyle w:val="BodyText"/>
      </w:pPr>
      <w:r>
        <w:rPr>
          <w:bCs/>
          <w:b/>
        </w:rPr>
        <w:t xml:space="preserve">Force-controlled loading.</w:t>
      </w:r>
      <w:r>
        <w:t xml:space="preserve"> </w:t>
      </w:r>
      <w:r>
        <w:t xml:space="preserve">Neumann terms are pulled back to</w:t>
      </w:r>
      <w:r>
        <w:t xml:space="preserve"> </w:t>
      </w:r>
      <m:oMath>
        <m:sSub>
          <m:e>
            <m:r>
              <m:t>Γ</m:t>
            </m:r>
          </m:e>
          <m:sub>
            <m:r>
              <m:rPr>
                <m:sty m:val="p"/>
              </m:rPr>
              <m:t>r</m:t>
            </m:r>
            <m:r>
              <m:rPr>
                <m:sty m:val="p"/>
              </m:rPr>
              <m:t>e</m:t>
            </m:r>
            <m:r>
              <m:rPr>
                <m:sty m:val="p"/>
              </m:rPr>
              <m:t>f</m:t>
            </m:r>
          </m:sub>
        </m:sSub>
      </m:oMath>
      <w:r>
        <w:t xml:space="preserve"> </w:t>
      </w:r>
      <w:r>
        <w:t xml:space="preserve">so that physical resultants are invariant under</w:t>
      </w:r>
      <w:r>
        <w:t xml:space="preserve"> </w:t>
      </w:r>
      <m:oMath>
        <m:sSub>
          <m:e>
            <m:r>
              <m:t>χ</m:t>
            </m:r>
          </m:e>
          <m:sub>
            <m:r>
              <m:t>s</m:t>
            </m:r>
          </m:sub>
        </m:sSub>
      </m:oMath>
      <w:r>
        <w:t xml:space="preserve">:</w:t>
      </w:r>
    </w:p>
    <w:p>
      <w:pPr>
        <w:pStyle w:val="BodyText"/>
      </w:pPr>
      <m:oMathPara>
        <m:oMathParaPr>
          <m:jc m:val="center"/>
        </m:oMathParaPr>
        <m:oMath>
          <m:nary>
            <m:naryPr>
              <m:chr m:val="∫"/>
              <m:limLoc m:val="subSup"/>
              <m:subHide m:val="0"/>
              <m:supHide m:val="1"/>
            </m:naryPr>
            <m:sub>
              <m:sSub>
                <m:e>
                  <m:r>
                    <m:t>Γ</m:t>
                  </m:r>
                </m:e>
                <m:sub>
                  <m:r>
                    <m:t>s</m:t>
                  </m:r>
                </m:sub>
              </m:sSub>
            </m:sub>
            <m:sup>
              <m:r>
                <m:t>​</m:t>
              </m:r>
            </m:sup>
            <m:e>
              <m:sSub>
                <m:e>
                  <m:r>
                    <m:rPr>
                      <m:sty m:val="b"/>
                    </m:rPr>
                    <m:t>t</m:t>
                  </m:r>
                </m:e>
                <m:sub>
                  <m:r>
                    <m:rPr>
                      <m:sty m:val="p"/>
                    </m:rPr>
                    <m:t>p</m:t>
                  </m:r>
                  <m:r>
                    <m:rPr>
                      <m:sty m:val="p"/>
                    </m:rPr>
                    <m:t>h</m:t>
                  </m:r>
                  <m:r>
                    <m:rPr>
                      <m:sty m:val="p"/>
                    </m:rPr>
                    <m:t>y</m:t>
                  </m:r>
                  <m:r>
                    <m:rPr>
                      <m:sty m:val="p"/>
                    </m:rPr>
                    <m:t>s</m:t>
                  </m:r>
                </m:sub>
              </m:sSub>
            </m:e>
          </m:nary>
          <m:r>
            <m:t>​</m:t>
          </m:r>
          <m:r>
            <m:rPr>
              <m:sty m:val="p"/>
            </m:rPr>
            <m:t>⋅</m:t>
          </m:r>
          <m:r>
            <m:t>​</m:t>
          </m:r>
          <m:r>
            <m:rPr>
              <m:sty m:val="b"/>
            </m:rPr>
            <m:t>v</m:t>
          </m:r>
          <m:r>
            <m:t> </m:t>
          </m:r>
          <m:r>
            <m:rPr>
              <m:sty m:val="p"/>
            </m:rPr>
            <m:t>d</m:t>
          </m:r>
          <m:sSub>
            <m:e>
              <m:r>
                <m:t>S</m:t>
              </m:r>
            </m:e>
            <m:sub>
              <m:r>
                <m:t>x</m:t>
              </m:r>
            </m:sub>
          </m:sSub>
          <m:r>
            <m:rPr>
              <m:sty m:val="p"/>
            </m:rPr>
            <m:t>=</m:t>
          </m:r>
          <m:nary>
            <m:naryPr>
              <m:chr m:val="∫"/>
              <m:limLoc m:val="subSup"/>
              <m:subHide m:val="0"/>
              <m:supHide m:val="1"/>
            </m:naryPr>
            <m:sub>
              <m:sSub>
                <m:e>
                  <m:r>
                    <m:t>Γ</m:t>
                  </m:r>
                </m:e>
                <m:sub>
                  <m:r>
                    <m:rPr>
                      <m:sty m:val="p"/>
                    </m:rPr>
                    <m:t>r</m:t>
                  </m:r>
                  <m:r>
                    <m:rPr>
                      <m:sty m:val="p"/>
                    </m:rPr>
                    <m:t>e</m:t>
                  </m:r>
                  <m:r>
                    <m:rPr>
                      <m:sty m:val="p"/>
                    </m:rPr>
                    <m:t>f</m:t>
                  </m:r>
                </m:sub>
              </m:sSub>
            </m:sub>
            <m:sup>
              <m:r>
                <m:t>​</m:t>
              </m:r>
            </m:sup>
            <m:e>
              <m:sSub>
                <m:e>
                  <m:r>
                    <m:t>J</m:t>
                  </m:r>
                </m:e>
                <m:sub>
                  <m:r>
                    <m:t>Γ</m:t>
                  </m:r>
                  <m:r>
                    <m:rPr>
                      <m:sty m:val="p"/>
                    </m:rPr>
                    <m:t>,</m:t>
                  </m:r>
                  <m:r>
                    <m:t>s</m:t>
                  </m:r>
                </m:sub>
              </m:sSub>
            </m:e>
          </m:nary>
          <m:r>
            <m:rPr>
              <m:sty m:val="p"/>
            </m:rPr>
            <m:t>(</m:t>
          </m:r>
          <m:r>
            <m:t>X</m:t>
          </m:r>
          <m:r>
            <m:rPr>
              <m:sty m:val="p"/>
            </m:rPr>
            <m:t>)</m:t>
          </m:r>
          <m:r>
            <m:t> </m:t>
          </m:r>
          <m:sSub>
            <m:e>
              <m:r>
                <m:rPr>
                  <m:sty m:val="b"/>
                </m:rPr>
                <m:t>t</m:t>
              </m:r>
            </m:e>
            <m:sub>
              <m:r>
                <m:rPr>
                  <m:sty m:val="p"/>
                </m:rPr>
                <m:t>p</m:t>
              </m:r>
              <m:r>
                <m:rPr>
                  <m:sty m:val="p"/>
                </m:rPr>
                <m:t>h</m:t>
              </m:r>
              <m:r>
                <m:rPr>
                  <m:sty m:val="p"/>
                </m:rPr>
                <m:t>y</m:t>
              </m:r>
              <m:r>
                <m:rPr>
                  <m:sty m:val="p"/>
                </m:rPr>
                <m:t>s</m:t>
              </m:r>
            </m:sub>
          </m:sSub>
          <m:r>
            <m:rPr>
              <m:sty m:val="p"/>
            </m:rPr>
            <m:t>(</m:t>
          </m:r>
          <m:sSub>
            <m:e>
              <m:r>
                <m:t>χ</m:t>
              </m:r>
            </m:e>
            <m:sub>
              <m:r>
                <m:t>s</m:t>
              </m:r>
            </m:sub>
          </m:sSub>
          <m:r>
            <m:rPr>
              <m:sty m:val="p"/>
            </m:rPr>
            <m:t>(</m:t>
          </m:r>
          <m:r>
            <m:t>X</m:t>
          </m:r>
          <m:r>
            <m:rPr>
              <m:sty m:val="p"/>
            </m:rPr>
            <m:t>)</m:t>
          </m:r>
          <m:r>
            <m:rPr>
              <m:sty m:val="p"/>
            </m:rPr>
            <m:t>)</m:t>
          </m:r>
          <m:r>
            <m:rPr>
              <m:sty m:val="p"/>
            </m:rPr>
            <m:t>⋅</m:t>
          </m:r>
          <m:acc>
            <m:accPr>
              <m:chr m:val="̂"/>
            </m:accPr>
            <m:e>
              <m:r>
                <m:rPr>
                  <m:sty m:val="b"/>
                </m:rPr>
                <m:t>v</m:t>
              </m:r>
            </m:e>
          </m:acc>
          <m:r>
            <m:rPr>
              <m:sty m:val="p"/>
            </m:rPr>
            <m:t>(</m:t>
          </m:r>
          <m:r>
            <m:t>X</m:t>
          </m:r>
          <m:r>
            <m:rPr>
              <m:sty m:val="p"/>
            </m:rPr>
            <m:t>)</m:t>
          </m:r>
          <m:r>
            <m:t> </m:t>
          </m:r>
          <m:r>
            <m:rPr>
              <m:sty m:val="p"/>
            </m:rPr>
            <m:t>d</m:t>
          </m:r>
          <m:sSub>
            <m:e>
              <m:r>
                <m:t>S</m:t>
              </m:r>
            </m:e>
            <m:sub>
              <m:r>
                <m:t>X</m:t>
              </m:r>
            </m:sub>
          </m:sSub>
          <m:r>
            <m:rPr>
              <m:sty m:val="p"/>
            </m:rPr>
            <m:t>.</m:t>
          </m:r>
        </m:oMath>
      </m:oMathPara>
    </w:p>
    <w:p>
      <w:pPr>
        <w:pStyle w:val="FirstParagraph"/>
      </w:pPr>
      <w:r>
        <w:t xml:space="preserve">All load cases in this study are defined by a total force</w:t>
      </w:r>
      <w:r>
        <w:t xml:space="preserve"> </w:t>
      </w:r>
      <m:oMath>
        <m:r>
          <m:rPr>
            <m:sty m:val="b"/>
          </m:rPr>
          <m:t>F</m:t>
        </m:r>
      </m:oMath>
      <w:r>
        <w:t xml:space="preserve"> </w:t>
      </w:r>
      <w:r>
        <w:t xml:space="preserve">on a tagged physical region; the applied traction is</w:t>
      </w:r>
      <w:r>
        <w:t xml:space="preserve"> </w:t>
      </w:r>
      <m:oMath>
        <m:sSub>
          <m:e>
            <m:r>
              <m:rPr>
                <m:sty m:val="b"/>
              </m:rPr>
              <m:t>t</m:t>
            </m:r>
          </m:e>
          <m:sub>
            <m:r>
              <m:rPr>
                <m:sty m:val="p"/>
              </m:rPr>
              <m:t>p</m:t>
            </m:r>
            <m:r>
              <m:rPr>
                <m:sty m:val="p"/>
              </m:rPr>
              <m:t>h</m:t>
            </m:r>
            <m:r>
              <m:rPr>
                <m:sty m:val="p"/>
              </m:rPr>
              <m:t>y</m:t>
            </m:r>
            <m:r>
              <m:rPr>
                <m:sty m:val="p"/>
              </m:rPr>
              <m:t>s</m:t>
            </m:r>
          </m:sub>
        </m:sSub>
        <m:r>
          <m:rPr>
            <m:sty m:val="p"/>
          </m:rPr>
          <m:t>=</m:t>
        </m:r>
        <m:r>
          <m:rPr>
            <m:sty m:val="b"/>
          </m:rPr>
          <m:t>F</m:t>
        </m:r>
        <m:r>
          <m:rPr>
            <m:sty m:val="p"/>
          </m:rPr>
          <m:t>/</m:t>
        </m:r>
        <m:sSub>
          <m:e>
            <m:r>
              <m:t>A</m:t>
            </m:r>
          </m:e>
          <m:sub>
            <m:r>
              <m:rPr>
                <m:sty m:val="p"/>
              </m:rPr>
              <m:t>p</m:t>
            </m:r>
            <m:r>
              <m:rPr>
                <m:sty m:val="p"/>
              </m:rPr>
              <m:t>h</m:t>
            </m:r>
            <m:r>
              <m:rPr>
                <m:sty m:val="p"/>
              </m:rPr>
              <m:t>y</m:t>
            </m:r>
            <m:r>
              <m:rPr>
                <m:sty m:val="p"/>
              </m:rPr>
              <m:t>s</m:t>
            </m:r>
          </m:sub>
        </m:sSub>
      </m:oMath>
      <w:r>
        <w:t xml:space="preserve"> </w:t>
      </w:r>
      <w:r>
        <w:t xml:space="preserve">with</w:t>
      </w:r>
      <w:r>
        <w:t xml:space="preserve"> </w:t>
      </w:r>
      <m:oMath>
        <m:sSub>
          <m:e>
            <m:r>
              <m:t>A</m:t>
            </m:r>
          </m:e>
          <m:sub>
            <m:r>
              <m:rPr>
                <m:sty m:val="p"/>
              </m:rPr>
              <m:t>p</m:t>
            </m:r>
            <m:r>
              <m:rPr>
                <m:sty m:val="p"/>
              </m:rPr>
              <m:t>h</m:t>
            </m:r>
            <m:r>
              <m:rPr>
                <m:sty m:val="p"/>
              </m:rPr>
              <m:t>y</m:t>
            </m:r>
            <m:r>
              <m:rPr>
                <m:sty m:val="p"/>
              </m:rPr>
              <m:t>s</m:t>
            </m:r>
          </m:sub>
        </m:sSub>
        <m:r>
          <m:rPr>
            <m:sty m:val="p"/>
          </m:rPr>
          <m:t>=</m:t>
        </m:r>
        <m:nary>
          <m:naryPr>
            <m:chr m:val="∫"/>
            <m:limLoc m:val="subSup"/>
            <m:subHide m:val="0"/>
            <m:supHide m:val="1"/>
          </m:naryPr>
          <m:sub>
            <m:sSub>
              <m:e>
                <m:r>
                  <m:t>Γ</m:t>
                </m:r>
              </m:e>
              <m:sub>
                <m:r>
                  <m:rPr>
                    <m:sty m:val="p"/>
                  </m:rPr>
                  <m:t>r</m:t>
                </m:r>
                <m:r>
                  <m:rPr>
                    <m:sty m:val="p"/>
                  </m:rPr>
                  <m:t>e</m:t>
                </m:r>
                <m:r>
                  <m:rPr>
                    <m:sty m:val="p"/>
                  </m:rPr>
                  <m:t>f</m:t>
                </m:r>
              </m:sub>
            </m:sSub>
          </m:sub>
          <m:sup>
            <m:r>
              <m:t>​</m:t>
            </m:r>
          </m:sup>
          <m:e>
            <m:sSub>
              <m:e>
                <m:r>
                  <m:t>J</m:t>
                </m:r>
              </m:e>
              <m:sub>
                <m:r>
                  <m:t>Γ</m:t>
                </m:r>
                <m:r>
                  <m:rPr>
                    <m:sty m:val="p"/>
                  </m:rPr>
                  <m:t>,</m:t>
                </m:r>
                <m:r>
                  <m:t>s</m:t>
                </m:r>
              </m:sub>
            </m:sSub>
          </m:e>
        </m:nary>
        <m:r>
          <m:t> </m:t>
        </m:r>
        <m:r>
          <m:rPr>
            <m:sty m:val="p"/>
          </m:rPr>
          <m:t>d</m:t>
        </m:r>
        <m:sSub>
          <m:e>
            <m:r>
              <m:t>S</m:t>
            </m:r>
          </m:e>
          <m:sub>
            <m:r>
              <m:t>X</m:t>
            </m:r>
          </m:sub>
        </m:sSub>
      </m:oMath>
      <w:r>
        <w:t xml:space="preserve">, so that</w:t>
      </w:r>
      <w:r>
        <w:t xml:space="preserve"> </w:t>
      </w:r>
      <m:oMath>
        <m:nary>
          <m:naryPr>
            <m:chr m:val="∫"/>
            <m:limLoc m:val="subSup"/>
            <m:subHide m:val="0"/>
            <m:supHide m:val="1"/>
          </m:naryPr>
          <m:sub>
            <m:sSub>
              <m:e>
                <m:r>
                  <m:t>Γ</m:t>
                </m:r>
              </m:e>
              <m:sub>
                <m:r>
                  <m:t>s</m:t>
                </m:r>
              </m:sub>
            </m:sSub>
          </m:sub>
          <m:sup>
            <m:r>
              <m:t>​</m:t>
            </m:r>
          </m:sup>
          <m:e>
            <m:sSub>
              <m:e>
                <m:r>
                  <m:rPr>
                    <m:sty m:val="b"/>
                  </m:rPr>
                  <m:t>t</m:t>
                </m:r>
              </m:e>
              <m:sub>
                <m:r>
                  <m:rPr>
                    <m:sty m:val="p"/>
                  </m:rPr>
                  <m:t>p</m:t>
                </m:r>
                <m:r>
                  <m:rPr>
                    <m:sty m:val="p"/>
                  </m:rPr>
                  <m:t>h</m:t>
                </m:r>
                <m:r>
                  <m:rPr>
                    <m:sty m:val="p"/>
                  </m:rPr>
                  <m:t>y</m:t>
                </m:r>
                <m:r>
                  <m:rPr>
                    <m:sty m:val="p"/>
                  </m:rPr>
                  <m:t>s</m:t>
                </m:r>
              </m:sub>
            </m:sSub>
          </m:e>
        </m:nary>
        <m:r>
          <m:t> </m:t>
        </m:r>
        <m:r>
          <m:rPr>
            <m:sty m:val="p"/>
          </m:rPr>
          <m:t>d</m:t>
        </m:r>
        <m:sSub>
          <m:e>
            <m:r>
              <m:t>S</m:t>
            </m:r>
          </m:e>
          <m:sub>
            <m:r>
              <m:t>x</m:t>
            </m:r>
          </m:sub>
        </m:sSub>
        <m:r>
          <m:rPr>
            <m:sty m:val="p"/>
          </m:rPr>
          <m:t>=</m:t>
        </m:r>
        <m:r>
          <m:rPr>
            <m:sty m:val="b"/>
          </m:rPr>
          <m:t>F</m:t>
        </m:r>
      </m:oMath>
      <w:r>
        <w:t xml:space="preserve"> </w:t>
      </w:r>
      <w:r>
        <w:t xml:space="preserve">for every subject.</w:t>
      </w:r>
    </w:p>
    <w:bookmarkEnd w:id="43"/>
    <w:bookmarkStart w:id="44" w:name="standardised-load-cases"/>
    <w:p>
      <w:pPr>
        <w:pStyle w:val="Heading2"/>
      </w:pPr>
      <w:r>
        <w:t xml:space="preserve">Standardised load cases</w:t>
      </w:r>
    </w:p>
    <w:p>
      <w:pPr>
        <w:pStyle w:val="FirstParagraph"/>
      </w:pPr>
      <w:r>
        <w:t xml:space="preserve">Loads were applied as force-controlled Neumann tractions via (8) so that every subject experienced the same integrated force vector regardless of physical surface area.</w:t>
      </w:r>
      <w:r>
        <w:t xml:space="preserve"> </w:t>
      </w:r>
      <w:r>
        <w:t xml:space="preserve">Two standing cases were considered: symmetric two-leg stance (SP2leg;</w:t>
      </w:r>
      <w:r>
        <w:t xml:space="preserve"> </w:t>
      </w:r>
      <m:oMath>
        <m:r>
          <m:t>400</m:t>
        </m:r>
      </m:oMath>
      <w:r>
        <w:t xml:space="preserve"> N per acetabulum,</w:t>
      </w:r>
      <w:r>
        <w:t xml:space="preserve"> </w:t>
      </w:r>
      <m:oMath>
        <m:r>
          <m:rPr>
            <m:sty m:val="p"/>
          </m:rPr>
          <m:t>+</m:t>
        </m:r>
      </m:oMath>
      <w:r>
        <w:t xml:space="preserve">CC) and one-leg stance (SP1leg;</w:t>
      </w:r>
      <w:r>
        <w:t xml:space="preserve"> </w:t>
      </w:r>
      <m:oMath>
        <m:r>
          <m:t>800</m:t>
        </m:r>
      </m:oMath>
      <w:r>
        <w:t xml:space="preserve"> N on the stance acetabulum,</w:t>
      </w:r>
      <w:r>
        <w:t xml:space="preserve"> </w:t>
      </w:r>
      <m:oMath>
        <m:r>
          <m:rPr>
            <m:sty m:val="p"/>
          </m:rPr>
          <m:t>+</m:t>
        </m:r>
      </m:oMath>
      <w:r>
        <w:t xml:space="preserve">CC).</w:t>
      </w:r>
      <w:r>
        <w:t xml:space="preserve"> </w:t>
      </w:r>
      <w:r>
        <w:t xml:space="preserve">The 400 N per hip in SP2leg is a conservative split of head–arms–trunk mass onto both acetabula based on classical segment-inertia data [33], and the 800 N one-leg value is well below in-vivo hip-implant peaks of 2.5–3.5</w:t>
      </w:r>
      <m:oMath>
        <m:r>
          <m:rPr>
            <m:sty m:val="p"/>
          </m:rPr>
          <m:t>×</m:t>
        </m:r>
      </m:oMath>
      <w:r>
        <w:t xml:space="preserve">BW recorded during single-leg support and gait [34-35].</w:t>
      </w:r>
      <w:r>
        <w:t xml:space="preserve"> </w:t>
      </w:r>
      <w:r>
        <w:t xml:space="preserve">Three proxy load cases probed parturition-relevant routing without modelling contact mechanics: LAB</w:t>
      </w:r>
      <m:oMath>
        <m:sSub>
          <m:e>
            <m:r>
              <m:t>​</m:t>
            </m:r>
          </m:e>
          <m:sub>
            <m:r>
              <m:t>1</m:t>
            </m:r>
          </m:sub>
        </m:sSub>
      </m:oMath>
      <w:r>
        <w:t xml:space="preserve"> applied bilateral mediolateral ring-contact compression (</w:t>
      </w:r>
      <m:oMath>
        <m:r>
          <m:rPr>
            <m:sty m:val="p"/>
          </m:rPr>
          <m:t>±</m:t>
        </m:r>
        <m:r>
          <m:t>400</m:t>
        </m:r>
      </m:oMath>
      <w:r>
        <w:t xml:space="preserve"> N), LAB</w:t>
      </w:r>
      <m:oMath>
        <m:sSub>
          <m:e>
            <m:r>
              <m:t>​</m:t>
            </m:r>
          </m:e>
          <m:sub>
            <m:r>
              <m:t>2</m:t>
            </m:r>
          </m:sub>
        </m:sSub>
      </m:oMath>
      <w:r>
        <w:t xml:space="preserve"> applied bilateral ischial-tuberosity distraction (</w:t>
      </w:r>
      <m:oMath>
        <m:r>
          <m:rPr>
            <m:sty m:val="p"/>
          </m:rPr>
          <m:t>±</m:t>
        </m:r>
        <m:r>
          <m:t>400</m:t>
        </m:r>
      </m:oMath>
      <w:r>
        <w:t xml:space="preserve"> N), and LAB</w:t>
      </w:r>
      <m:oMath>
        <m:sSub>
          <m:e>
            <m:r>
              <m:t>​</m:t>
            </m:r>
          </m:e>
          <m:sub>
            <m:r>
              <m:t>3</m:t>
            </m:r>
          </m:sub>
        </m:sSub>
      </m:oMath>
      <w:r>
        <w:t xml:space="preserve"> applied anteroposterior outlet distraction between the pubis insertion (</w:t>
      </w:r>
      <m:oMath>
        <m:r>
          <m:rPr>
            <m:sty m:val="p"/>
          </m:rPr>
          <m:t>−</m:t>
        </m:r>
      </m:oMath>
      <w:r>
        <w:t xml:space="preserve">AP,</w:t>
      </w:r>
      <w:r>
        <w:t xml:space="preserve"> </w:t>
      </w:r>
      <m:oMath>
        <m:r>
          <m:t>400</m:t>
        </m:r>
      </m:oMath>
      <w:r>
        <w:t xml:space="preserve"> N) and the sacrococcygeal joint (</w:t>
      </w:r>
      <m:oMath>
        <m:r>
          <m:rPr>
            <m:sty m:val="p"/>
          </m:rPr>
          <m:t>+</m:t>
        </m:r>
      </m:oMath>
      <w:r>
        <w:t xml:space="preserve">AP,</w:t>
      </w:r>
      <w:r>
        <w:t xml:space="preserve"> </w:t>
      </w:r>
      <m:oMath>
        <m:r>
          <m:t>400</m:t>
        </m:r>
      </m:oMath>
      <w:r>
        <w:t xml:space="preserve"> N).</w:t>
      </w:r>
      <w:r>
        <w:t xml:space="preserve"> </w:t>
      </w:r>
      <w:r>
        <w:t xml:space="preserve">Their order of magnitude is consistent with published summaries of uterine contraction pressures of</w:t>
      </w:r>
      <w:r>
        <w:t xml:space="preserve"> </w:t>
      </w:r>
      <m:oMath>
        <m:r>
          <m:rPr>
            <m:sty m:val="p"/>
          </m:rPr>
          <m:t>∼</m:t>
        </m:r>
      </m:oMath>
      <w:r>
        <w:t xml:space="preserve">40–80 mmHg [36-37], elevated intra-abdominal pressures during pregnancy [38-39], and review-level biomechanical estimates of fetal head–canal wall pressures during pushing [23].</w:t>
      </w:r>
      <w:r>
        <w:t xml:space="preserve"> </w:t>
      </w:r>
      <w:r>
        <w:t xml:space="preserve">These loads are used as comparative probes rather than clinical simulations of labour [21-22].</w:t>
      </w:r>
    </w:p>
    <w:bookmarkEnd w:id="44"/>
    <w:bookmarkStart w:id="45" w:name="Xaa99438b7fdb7070c1331f2d2acbc7b16e6e310"/>
    <w:p>
      <w:pPr>
        <w:pStyle w:val="Heading2"/>
      </w:pPr>
      <w:r>
        <w:t xml:space="preserve">Generalised eigenproblem, rigid-mode filtering, and cross-subject pairing</w:t>
      </w:r>
    </w:p>
    <w:p>
      <w:pPr>
        <w:pStyle w:val="FirstParagraph"/>
      </w:pPr>
      <w:r>
        <w:t xml:space="preserve">For each subject</w:t>
      </w:r>
      <w:r>
        <w:t xml:space="preserve"> </w:t>
      </w:r>
      <m:oMath>
        <m:r>
          <m:t>s</m:t>
        </m:r>
      </m:oMath>
      <w:r>
        <w:t xml:space="preserve"> </w:t>
      </w:r>
      <w:r>
        <w:t xml:space="preserve">we assembled</w:t>
      </w:r>
      <w:r>
        <w:t xml:space="preserve"> </w:t>
      </w:r>
      <m:oMath>
        <m:r>
          <m:rPr>
            <m:sty m:val="p"/>
          </m:rPr>
          <m:t>(</m:t>
        </m:r>
        <m:sSub>
          <m:e>
            <m:r>
              <m:t>K</m:t>
            </m:r>
          </m:e>
          <m:sub>
            <m:r>
              <m:t>s</m:t>
            </m:r>
          </m:sub>
        </m:sSub>
        <m:r>
          <m:rPr>
            <m:sty m:val="p"/>
          </m:rPr>
          <m:t>,</m:t>
        </m:r>
        <m:sSub>
          <m:e>
            <m:r>
              <m:t>M</m:t>
            </m:r>
          </m:e>
          <m:sub>
            <m:r>
              <m:t>s</m:t>
            </m:r>
          </m:sub>
        </m:sSub>
        <m:r>
          <m:rPr>
            <m:sty m:val="p"/>
          </m:rPr>
          <m:t>)</m:t>
        </m:r>
      </m:oMath>
      <w:r>
        <w:t xml:space="preserve"> </w:t>
      </w:r>
      <w:r>
        <w:t xml:space="preserve">on</w:t>
      </w:r>
      <w:r>
        <w:t xml:space="preserve"> </w:t>
      </w:r>
      <m:oMath>
        <m:sSub>
          <m:e>
            <m:r>
              <m:t>Ω</m:t>
            </m:r>
          </m:e>
          <m:sub>
            <m:r>
              <m:rPr>
                <m:sty m:val="p"/>
              </m:rPr>
              <m:t>r</m:t>
            </m:r>
            <m:r>
              <m:rPr>
                <m:sty m:val="p"/>
              </m:rPr>
              <m:t>e</m:t>
            </m:r>
            <m:r>
              <m:rPr>
                <m:sty m:val="p"/>
              </m:rPr>
              <m:t>f</m:t>
            </m:r>
          </m:sub>
        </m:sSub>
      </m:oMath>
      <w:r>
        <w:t xml:space="preserve"> </w:t>
      </w:r>
      <w:r>
        <w:t xml:space="preserve">via (7) and (3) and solved the generalised eigenproblem</w:t>
      </w:r>
    </w:p>
    <w:p>
      <w:pPr>
        <w:pStyle w:val="BodyText"/>
      </w:pPr>
      <m:oMathPara>
        <m:oMathParaPr>
          <m:jc m:val="center"/>
        </m:oMathParaPr>
        <m:oMath>
          <m:sSub>
            <m:e>
              <m:r>
                <m:t>K</m:t>
              </m:r>
            </m:e>
            <m:sub>
              <m:r>
                <m:t>s</m:t>
              </m:r>
            </m:sub>
          </m:sSub>
          <m:sSub>
            <m:e>
              <m:r>
                <m:rPr>
                  <m:sty m:val="b"/>
                </m:rPr>
                <m:t>ϕ</m:t>
              </m:r>
            </m:e>
            <m:sub>
              <m:r>
                <m:t>k</m:t>
              </m:r>
            </m:sub>
          </m:sSub>
          <m:r>
            <m:rPr>
              <m:sty m:val="p"/>
            </m:rPr>
            <m:t>=</m:t>
          </m:r>
          <m:sSub>
            <m:e>
              <m:r>
                <m:t>λ</m:t>
              </m:r>
            </m:e>
            <m:sub>
              <m:r>
                <m:t>k</m:t>
              </m:r>
            </m:sub>
          </m:sSub>
          <m:sSub>
            <m:e>
              <m:r>
                <m:t>M</m:t>
              </m:r>
            </m:e>
            <m:sub>
              <m:r>
                <m:t>s</m:t>
              </m:r>
            </m:sub>
          </m:sSub>
          <m:sSub>
            <m:e>
              <m:r>
                <m:rPr>
                  <m:sty m:val="b"/>
                </m:rPr>
                <m:t>ϕ</m:t>
              </m:r>
            </m:e>
            <m:sub>
              <m:r>
                <m:t>k</m:t>
              </m:r>
            </m:sub>
          </m:sSub>
          <m:r>
            <m:rPr>
              <m:sty m:val="p"/>
            </m:rPr>
            <m:t>,</m:t>
          </m:r>
          <m:r>
            <m:t>  </m:t>
          </m:r>
          <m:sSubSup>
            <m:e>
              <m:r>
                <m:rPr>
                  <m:sty m:val="b"/>
                </m:rPr>
                <m:t>ϕ</m:t>
              </m:r>
            </m:e>
            <m:sub>
              <m:r>
                <m:t>i</m:t>
              </m:r>
            </m:sub>
            <m:sup>
              <m:r>
                <m:rPr>
                  <m:sty m:val="p"/>
                </m:rPr>
                <m:t>⊤</m:t>
              </m:r>
            </m:sup>
          </m:sSubSup>
          <m:sSub>
            <m:e>
              <m:r>
                <m:t>M</m:t>
              </m:r>
            </m:e>
            <m:sub>
              <m:r>
                <m:t>s</m:t>
              </m:r>
            </m:sub>
          </m:sSub>
          <m:sSub>
            <m:e>
              <m:r>
                <m:rPr>
                  <m:sty m:val="b"/>
                </m:rPr>
                <m:t>ϕ</m:t>
              </m:r>
            </m:e>
            <m:sub>
              <m:r>
                <m:t>j</m:t>
              </m:r>
            </m:sub>
          </m:sSub>
          <m:r>
            <m:rPr>
              <m:sty m:val="p"/>
            </m:rPr>
            <m:t>=</m:t>
          </m:r>
          <m:sSub>
            <m:e>
              <m:r>
                <m:t>δ</m:t>
              </m:r>
            </m:e>
            <m:sub>
              <m:r>
                <m:t>i</m:t>
              </m:r>
              <m:r>
                <m:t>j</m:t>
              </m:r>
            </m:sub>
          </m:sSub>
          <m:r>
            <m:rPr>
              <m:sty m:val="p"/>
            </m:rPr>
            <m:t>,</m:t>
          </m:r>
        </m:oMath>
      </m:oMathPara>
    </w:p>
    <w:p>
      <w:pPr>
        <w:pStyle w:val="FirstParagraph"/>
      </w:pPr>
      <w:r>
        <w:t xml:space="preserve">using a Krylov–Schur solver (SLEPc) with shift-invert spectral transform and MUMPS direct factorisation, extracting the</w:t>
      </w:r>
      <w:r>
        <w:t xml:space="preserve"> </w:t>
      </w:r>
      <m:oMath>
        <m:sSub>
          <m:e>
            <m:r>
              <m:t>N</m:t>
            </m:r>
          </m:e>
          <m:sub>
            <m:r>
              <m:rPr>
                <m:sty m:val="p"/>
              </m:rPr>
              <m:t>e</m:t>
            </m:r>
            <m:r>
              <m:rPr>
                <m:sty m:val="p"/>
              </m:rPr>
              <m:t>v</m:t>
            </m:r>
          </m:sub>
        </m:sSub>
        <m:r>
          <m:rPr>
            <m:sty m:val="p"/>
          </m:rPr>
          <m:t>=</m:t>
        </m:r>
        <m:r>
          <m:t>15</m:t>
        </m:r>
      </m:oMath>
      <w:r>
        <w:t xml:space="preserve"> </w:t>
      </w:r>
      <w:r>
        <w:t xml:space="preserve">lowest non-rigid eigenpairs.</w:t>
      </w:r>
      <w:r>
        <w:t xml:space="preserve"> </w:t>
      </w:r>
      <w:r>
        <w:t xml:space="preserve">Rigid modes (numerically</w:t>
      </w:r>
      <w:r>
        <w:t xml:space="preserve"> </w:t>
      </w:r>
      <m:oMath>
        <m:r>
          <m:t>λ</m:t>
        </m:r>
        <m:r>
          <m:rPr>
            <m:sty m:val="p"/>
          </m:rPr>
          <m:t>&lt;</m:t>
        </m:r>
        <m:sSup>
          <m:e>
            <m:r>
              <m:t>10</m:t>
            </m:r>
          </m:e>
          <m:sup>
            <m:r>
              <m:rPr>
                <m:sty m:val="p"/>
              </m:rPr>
              <m:t>−</m:t>
            </m:r>
            <m:r>
              <m:t>8</m:t>
            </m:r>
          </m:sup>
        </m:sSup>
      </m:oMath>
      <w:r>
        <w:t xml:space="preserve">) were filtered.</w:t>
      </w:r>
      <w:r>
        <w:t xml:space="preserve"> </w:t>
      </w:r>
      <w:r>
        <w:t xml:space="preserve">For cross-subject comparison we used the mass-weighted modal assurance criterion on the shared reference metric,</w:t>
      </w:r>
    </w:p>
    <w:p>
      <w:pPr>
        <w:pStyle w:val="BodyText"/>
      </w:pPr>
      <m:oMathPara>
        <m:oMathParaPr>
          <m:jc m:val="center"/>
        </m:oMathParaPr>
        <m:oMath>
          <m:sSub>
            <m:e>
              <m:r>
                <m:rPr>
                  <m:sty m:val="p"/>
                </m:rPr>
                <m:t>M</m:t>
              </m:r>
              <m:r>
                <m:rPr>
                  <m:sty m:val="p"/>
                </m:rPr>
                <m:t>A</m:t>
              </m:r>
              <m:r>
                <m:rPr>
                  <m:sty m:val="p"/>
                </m:rPr>
                <m:t>C</m:t>
              </m:r>
            </m:e>
            <m:sub>
              <m:sSub>
                <m:e>
                  <m:r>
                    <m:t>M</m:t>
                  </m:r>
                </m:e>
                <m:sub>
                  <m:r>
                    <m:t>0</m:t>
                  </m:r>
                </m:sub>
              </m:sSub>
            </m:sub>
          </m:sSub>
          <m:r>
            <m:rPr>
              <m:sty m:val="p"/>
            </m:rPr>
            <m:t>(</m:t>
          </m:r>
          <m:r>
            <m:rPr>
              <m:sty m:val="b"/>
            </m:rPr>
            <m:t>x</m:t>
          </m:r>
          <m:r>
            <m:rPr>
              <m:sty m:val="p"/>
            </m:rPr>
            <m:t>,</m:t>
          </m:r>
          <m:r>
            <m:rPr>
              <m:sty m:val="b"/>
            </m:rPr>
            <m:t>y</m:t>
          </m:r>
          <m:r>
            <m:rPr>
              <m:sty m:val="p"/>
            </m:rPr>
            <m:t>)</m:t>
          </m:r>
          <m:r>
            <m:rPr>
              <m:sty m:val="p"/>
            </m:rPr>
            <m:t>=</m:t>
          </m:r>
          <m:f>
            <m:fPr>
              <m:type m:val="bar"/>
            </m:fPr>
            <m:num>
              <m:r>
                <m:rPr>
                  <m:sty m:val="p"/>
                </m:rPr>
                <m:t>|</m:t>
              </m:r>
              <m:sSup>
                <m:e>
                  <m:r>
                    <m:rPr>
                      <m:sty m:val="b"/>
                    </m:rPr>
                    <m:t>x</m:t>
                  </m:r>
                </m:e>
                <m:sup>
                  <m:r>
                    <m:rPr>
                      <m:sty m:val="p"/>
                    </m:rPr>
                    <m:t>⊤</m:t>
                  </m:r>
                </m:sup>
              </m:sSup>
              <m:sSubSup>
                <m:e>
                  <m:r>
                    <m:t>M</m:t>
                  </m:r>
                </m:e>
                <m:sub>
                  <m:r>
                    <m:rPr>
                      <m:sty m:val="p"/>
                    </m:rPr>
                    <m:t>r</m:t>
                  </m:r>
                  <m:r>
                    <m:rPr>
                      <m:sty m:val="p"/>
                    </m:rPr>
                    <m:t>e</m:t>
                  </m:r>
                  <m:r>
                    <m:rPr>
                      <m:sty m:val="p"/>
                    </m:rPr>
                    <m:t>f</m:t>
                  </m:r>
                </m:sub>
                <m:sup>
                  <m:r>
                    <m:t>0</m:t>
                  </m:r>
                </m:sup>
              </m:sSubSup>
              <m:r>
                <m:rPr>
                  <m:sty m:val="b"/>
                </m:rPr>
                <m:t>y</m:t>
              </m:r>
              <m:sSup>
                <m:e>
                  <m:r>
                    <m:rPr>
                      <m:sty m:val="p"/>
                    </m:rPr>
                    <m:t>|</m:t>
                  </m:r>
                </m:e>
                <m:sup>
                  <m:r>
                    <m:t>2</m:t>
                  </m:r>
                </m:sup>
              </m:sSup>
            </m:num>
            <m:den>
              <m:r>
                <m:rPr>
                  <m:sty m:val="p"/>
                </m:rPr>
                <m:t>(</m:t>
              </m:r>
              <m:sSup>
                <m:e>
                  <m:r>
                    <m:rPr>
                      <m:sty m:val="b"/>
                    </m:rPr>
                    <m:t>x</m:t>
                  </m:r>
                </m:e>
                <m:sup>
                  <m:r>
                    <m:rPr>
                      <m:sty m:val="p"/>
                    </m:rPr>
                    <m:t>⊤</m:t>
                  </m:r>
                </m:sup>
              </m:sSup>
              <m:sSubSup>
                <m:e>
                  <m:r>
                    <m:t>M</m:t>
                  </m:r>
                </m:e>
                <m:sub>
                  <m:r>
                    <m:rPr>
                      <m:sty m:val="p"/>
                    </m:rPr>
                    <m:t>r</m:t>
                  </m:r>
                  <m:r>
                    <m:rPr>
                      <m:sty m:val="p"/>
                    </m:rPr>
                    <m:t>e</m:t>
                  </m:r>
                  <m:r>
                    <m:rPr>
                      <m:sty m:val="p"/>
                    </m:rPr>
                    <m:t>f</m:t>
                  </m:r>
                </m:sub>
                <m:sup>
                  <m:r>
                    <m:t>0</m:t>
                  </m:r>
                </m:sup>
              </m:sSubSup>
              <m:r>
                <m:rPr>
                  <m:sty m:val="b"/>
                </m:rPr>
                <m:t>x</m:t>
              </m:r>
              <m:r>
                <m:rPr>
                  <m:sty m:val="p"/>
                </m:rPr>
                <m:t>)</m:t>
              </m:r>
              <m:r>
                <m:rPr>
                  <m:sty m:val="p"/>
                </m:rPr>
                <m:t>(</m:t>
              </m:r>
              <m:sSup>
                <m:e>
                  <m:r>
                    <m:rPr>
                      <m:sty m:val="b"/>
                    </m:rPr>
                    <m:t>y</m:t>
                  </m:r>
                </m:e>
                <m:sup>
                  <m:r>
                    <m:rPr>
                      <m:sty m:val="p"/>
                    </m:rPr>
                    <m:t>⊤</m:t>
                  </m:r>
                </m:sup>
              </m:sSup>
              <m:sSubSup>
                <m:e>
                  <m:r>
                    <m:t>M</m:t>
                  </m:r>
                </m:e>
                <m:sub>
                  <m:r>
                    <m:rPr>
                      <m:sty m:val="p"/>
                    </m:rPr>
                    <m:t>r</m:t>
                  </m:r>
                  <m:r>
                    <m:rPr>
                      <m:sty m:val="p"/>
                    </m:rPr>
                    <m:t>e</m:t>
                  </m:r>
                  <m:r>
                    <m:rPr>
                      <m:sty m:val="p"/>
                    </m:rPr>
                    <m:t>f</m:t>
                  </m:r>
                </m:sub>
                <m:sup>
                  <m:r>
                    <m:t>0</m:t>
                  </m:r>
                </m:sup>
              </m:sSubSup>
              <m:r>
                <m:rPr>
                  <m:sty m:val="b"/>
                </m:rPr>
                <m:t>y</m:t>
              </m:r>
              <m:r>
                <m:rPr>
                  <m:sty m:val="p"/>
                </m:rPr>
                <m:t>)</m:t>
              </m:r>
            </m:den>
          </m:f>
          <m:r>
            <m:rPr>
              <m:sty m:val="p"/>
            </m:rPr>
            <m:t>∈</m:t>
          </m:r>
          <m:r>
            <m:rPr>
              <m:sty m:val="p"/>
            </m:rPr>
            <m:t>[</m:t>
          </m:r>
          <m:r>
            <m:t>0</m:t>
          </m:r>
          <m:r>
            <m:rPr>
              <m:sty m:val="p"/>
            </m:rPr>
            <m:t>,</m:t>
          </m:r>
          <m:r>
            <m:t>1</m:t>
          </m:r>
          <m:r>
            <m:rPr>
              <m:sty m:val="p"/>
            </m:rPr>
            <m:t>]</m:t>
          </m:r>
          <m:r>
            <m:rPr>
              <m:sty m:val="p"/>
            </m:rPr>
            <m:t>,</m:t>
          </m:r>
        </m:oMath>
      </m:oMathPara>
    </w:p>
    <w:p>
      <w:pPr>
        <w:pStyle w:val="FirstParagraph"/>
      </w:pPr>
      <w:r>
        <w:t xml:space="preserve">and solved the Hungarian optimal-assignment problem on</w:t>
      </w:r>
      <w:r>
        <w:t xml:space="preserve"> </w:t>
      </w:r>
      <m:oMath>
        <m:r>
          <m:rPr>
            <m:sty m:val="p"/>
          </m:rPr>
          <m:t>−</m:t>
        </m:r>
        <m:sSub>
          <m:e>
            <m:r>
              <m:rPr>
                <m:sty m:val="p"/>
              </m:rPr>
              <m:t>M</m:t>
            </m:r>
            <m:r>
              <m:rPr>
                <m:sty m:val="p"/>
              </m:rPr>
              <m:t>A</m:t>
            </m:r>
            <m:r>
              <m:rPr>
                <m:sty m:val="p"/>
              </m:rPr>
              <m:t>C</m:t>
            </m:r>
          </m:e>
          <m:sub>
            <m:sSub>
              <m:e>
                <m:r>
                  <m:t>M</m:t>
                </m:r>
              </m:e>
              <m:sub>
                <m:r>
                  <m:t>0</m:t>
                </m:r>
              </m:sub>
            </m:sSub>
          </m:sub>
        </m:sSub>
      </m:oMath>
      <w:r>
        <w:t xml:space="preserve"> </w:t>
      </w:r>
      <w:r>
        <w:t xml:space="preserve">over the full</w:t>
      </w:r>
      <w:r>
        <w:t xml:space="preserve"> </w:t>
      </w:r>
      <m:oMath>
        <m:sSub>
          <m:e>
            <m:r>
              <m:t>N</m:t>
            </m:r>
          </m:e>
          <m:sub>
            <m:r>
              <m:rPr>
                <m:sty m:val="p"/>
              </m:rPr>
              <m:t>e</m:t>
            </m:r>
            <m:r>
              <m:rPr>
                <m:sty m:val="p"/>
              </m:rPr>
              <m:t>v</m:t>
            </m:r>
          </m:sub>
        </m:sSub>
        <m:r>
          <m:rPr>
            <m:sty m:val="p"/>
          </m:rPr>
          <m:t>×</m:t>
        </m:r>
        <m:sSub>
          <m:e>
            <m:r>
              <m:t>N</m:t>
            </m:r>
          </m:e>
          <m:sub>
            <m:r>
              <m:rPr>
                <m:sty m:val="p"/>
              </m:rPr>
              <m:t>e</m:t>
            </m:r>
            <m:r>
              <m:rPr>
                <m:sty m:val="p"/>
              </m:rPr>
              <m:t>v</m:t>
            </m:r>
          </m:sub>
        </m:sSub>
      </m:oMath>
      <w:r>
        <w:t xml:space="preserve"> </w:t>
      </w:r>
      <w:r>
        <w:t xml:space="preserve">matrix [40], yielding a permutation</w:t>
      </w:r>
      <w:r>
        <w:t xml:space="preserve"> </w:t>
      </w:r>
      <m:oMath>
        <m:sSub>
          <m:e>
            <m:r>
              <m:t>π</m:t>
            </m:r>
          </m:e>
          <m:sub>
            <m:r>
              <m:t>s</m:t>
            </m:r>
          </m:sub>
        </m:sSub>
      </m:oMath>
      <w:r>
        <w:t xml:space="preserve"> </w:t>
      </w:r>
      <w:r>
        <w:t xml:space="preserve">from reference modes to subject </w:t>
      </w:r>
      <m:oMath>
        <m:r>
          <m:t>s</m:t>
        </m:r>
      </m:oMath>
      <w:r>
        <w:t xml:space="preserve">’s rank labels.</w:t>
      </w:r>
      <w:r>
        <w:t xml:space="preserve"> </w:t>
      </w:r>
      <w:r>
        <w:t xml:space="preserve">Entries with</w:t>
      </w:r>
      <w:r>
        <w:t xml:space="preserve"> </w:t>
      </w:r>
      <m:oMath>
        <m:sSub>
          <m:e>
            <m:r>
              <m:rPr>
                <m:sty m:val="p"/>
              </m:rPr>
              <m:t>M</m:t>
            </m:r>
            <m:r>
              <m:rPr>
                <m:sty m:val="p"/>
              </m:rPr>
              <m:t>A</m:t>
            </m:r>
            <m:r>
              <m:rPr>
                <m:sty m:val="p"/>
              </m:rPr>
              <m:t>C</m:t>
            </m:r>
          </m:e>
          <m:sub>
            <m:sSub>
              <m:e>
                <m:r>
                  <m:t>M</m:t>
                </m:r>
              </m:e>
              <m:sub>
                <m:r>
                  <m:t>0</m:t>
                </m:r>
              </m:sub>
            </m:sSub>
          </m:sub>
        </m:sSub>
        <m:r>
          <m:rPr>
            <m:sty m:val="p"/>
          </m:rPr>
          <m:t>&lt;</m:t>
        </m:r>
        <m:r>
          <m:t>0.05</m:t>
        </m:r>
      </m:oMath>
      <w:r>
        <w:t xml:space="preserve"> </w:t>
      </w:r>
      <w:r>
        <w:t xml:space="preserve">were flagged as unpaired.</w:t>
      </w:r>
      <w:r>
        <w:t xml:space="preserve"> </w:t>
      </w:r>
      <w:r>
        <w:t xml:space="preserve">Rank index </w:t>
      </w:r>
      <m:oMath>
        <m:r>
          <m:t>i</m:t>
        </m:r>
      </m:oMath>
      <w:r>
        <w:t xml:space="preserve"> </w:t>
      </w:r>
      <w:r>
        <w:t xml:space="preserve">(solver order) is required for gap statistics and cluster detection; the paired reference label</w:t>
      </w:r>
      <w:r>
        <w:t xml:space="preserve"> </w:t>
      </w:r>
      <m:oMath>
        <m:sSub>
          <m:e>
            <m:r>
              <m:t>π</m:t>
            </m:r>
          </m:e>
          <m:sub>
            <m:r>
              <m:t>s</m:t>
            </m:r>
          </m:sub>
        </m:sSub>
        <m:r>
          <m:rPr>
            <m:sty m:val="p"/>
          </m:rPr>
          <m:t>(</m:t>
        </m:r>
        <m:sSub>
          <m:e>
            <m:r>
              <m:t>i</m:t>
            </m:r>
          </m:e>
          <m:sub>
            <m:r>
              <m:rPr>
                <m:sty m:val="p"/>
              </m:rPr>
              <m:t>r</m:t>
            </m:r>
            <m:r>
              <m:rPr>
                <m:sty m:val="p"/>
              </m:rPr>
              <m:t>e</m:t>
            </m:r>
            <m:r>
              <m:rPr>
                <m:sty m:val="p"/>
              </m:rPr>
              <m:t>f</m:t>
            </m:r>
          </m:sub>
        </m:sSub>
        <m:r>
          <m:rPr>
            <m:sty m:val="p"/>
          </m:rPr>
          <m:t>)</m:t>
        </m:r>
        <m:r>
          <m:rPr>
            <m:sty m:val="p"/>
          </m:rPr>
          <m:t>=</m:t>
        </m:r>
        <m:sSub>
          <m:e>
            <m:r>
              <m:t>j</m:t>
            </m:r>
          </m:e>
          <m:sub>
            <m:r>
              <m:rPr>
                <m:sty m:val="p"/>
              </m:rPr>
              <m:t>r</m:t>
            </m:r>
            <m:r>
              <m:rPr>
                <m:sty m:val="p"/>
              </m:rPr>
              <m:t>a</m:t>
            </m:r>
            <m:r>
              <m:rPr>
                <m:sty m:val="p"/>
              </m:rPr>
              <m:t>n</m:t>
            </m:r>
            <m:r>
              <m:rPr>
                <m:sty m:val="p"/>
              </m:rPr>
              <m:t>k</m:t>
            </m:r>
          </m:sub>
        </m:sSub>
      </m:oMath>
      <w:r>
        <w:t xml:space="preserve"> </w:t>
      </w:r>
      <w:r>
        <w:t xml:space="preserve">maps a reference-mode identifier to its rank position in subject </w:t>
      </w:r>
      <m:oMath>
        <m:r>
          <m:t>s</m:t>
        </m:r>
      </m:oMath>
      <w:r>
        <w:t xml:space="preserve"> </w:t>
      </w:r>
      <w:r>
        <w:t xml:space="preserve">and is used only for anatomical interpretation, preserving the distinction between rank order and pathway identity emphasised in the Introduction.</w:t>
      </w:r>
    </w:p>
    <w:bookmarkEnd w:id="45"/>
    <w:bookmarkStart w:id="46" w:name="Xd24d8e8f865ed963f6bf62b6093f53fbea67647"/>
    <w:p>
      <w:pPr>
        <w:pStyle w:val="Heading2"/>
      </w:pPr>
      <w:r>
        <w:t xml:space="preserve">Spectral gap structure and clustered-regime detection</w:t>
      </w:r>
    </w:p>
    <w:p>
      <w:pPr>
        <w:pStyle w:val="FirstParagraph"/>
      </w:pPr>
      <w:r>
        <w:t xml:space="preserve">For each subject with ordered eigenvalues</w:t>
      </w:r>
      <w:r>
        <w:t xml:space="preserve"> </w:t>
      </w:r>
      <m:oMath>
        <m:sSub>
          <m:e>
            <m:r>
              <m:t>λ</m:t>
            </m:r>
          </m:e>
          <m:sub>
            <m:r>
              <m:t>1</m:t>
            </m:r>
          </m:sub>
        </m:sSub>
        <m:r>
          <m:rPr>
            <m:sty m:val="p"/>
          </m:rPr>
          <m:t>≤</m:t>
        </m:r>
        <m:r>
          <m:rPr>
            <m:sty m:val="p"/>
          </m:rPr>
          <m:t>⋯</m:t>
        </m:r>
        <m:r>
          <m:rPr>
            <m:sty m:val="p"/>
          </m:rPr>
          <m:t>≤</m:t>
        </m:r>
        <m:sSub>
          <m:e>
            <m:r>
              <m:t>λ</m:t>
            </m:r>
          </m:e>
          <m:sub>
            <m:sSub>
              <m:e>
                <m:r>
                  <m:t>N</m:t>
                </m:r>
              </m:e>
              <m:sub>
                <m:r>
                  <m:rPr>
                    <m:sty m:val="p"/>
                  </m:rPr>
                  <m:t>e</m:t>
                </m:r>
                <m:r>
                  <m:rPr>
                    <m:sty m:val="p"/>
                  </m:rPr>
                  <m:t>v</m:t>
                </m:r>
              </m:sub>
            </m:sSub>
          </m:sub>
        </m:sSub>
      </m:oMath>
      <w:r>
        <w:t xml:space="preserve">, relative consecutive gaps are</w:t>
      </w:r>
    </w:p>
    <w:p>
      <w:pPr>
        <w:pStyle w:val="BodyText"/>
      </w:pPr>
      <m:oMathPara>
        <m:oMathParaPr>
          <m:jc m:val="center"/>
        </m:oMathParaPr>
        <m:oMath>
          <m:sSub>
            <m:e>
              <m:r>
                <m:rPr>
                  <m:sty m:val="p"/>
                </m:rPr>
                <m:t>g</m:t>
              </m:r>
              <m:r>
                <m:rPr>
                  <m:sty m:val="p"/>
                </m:rPr>
                <m:t>a</m:t>
              </m:r>
              <m:r>
                <m:rPr>
                  <m:sty m:val="p"/>
                </m:rPr>
                <m:t>p</m:t>
              </m:r>
            </m:e>
            <m:sub>
              <m:r>
                <m:rPr>
                  <m:sty m:val="p"/>
                </m:rPr>
                <m:t>i</m:t>
              </m:r>
              <m:r>
                <m:rPr>
                  <m:sty m:val="p"/>
                </m:rPr>
                <m:t>n</m:t>
              </m:r>
            </m:sub>
          </m:sSub>
          <m:r>
            <m:rPr>
              <m:sty m:val="p"/>
            </m:rPr>
            <m:t>(</m:t>
          </m:r>
          <m:r>
            <m:t>i</m:t>
          </m:r>
          <m:r>
            <m:rPr>
              <m:sty m:val="p"/>
            </m:rPr>
            <m:t>)</m:t>
          </m:r>
          <m:r>
            <m:rPr>
              <m:sty m:val="p"/>
            </m:rPr>
            <m:t>=</m:t>
          </m:r>
          <m:f>
            <m:fPr>
              <m:type m:val="bar"/>
            </m:fPr>
            <m:num>
              <m:sSub>
                <m:e>
                  <m:r>
                    <m:t>λ</m:t>
                  </m:r>
                </m:e>
                <m:sub>
                  <m:r>
                    <m:t>i</m:t>
                  </m:r>
                  <m:r>
                    <m:rPr>
                      <m:sty m:val="p"/>
                    </m:rPr>
                    <m:t>+</m:t>
                  </m:r>
                  <m:r>
                    <m:t>1</m:t>
                  </m:r>
                </m:sub>
              </m:sSub>
              <m:r>
                <m:rPr>
                  <m:sty m:val="p"/>
                </m:rPr>
                <m:t>−</m:t>
              </m:r>
              <m:sSub>
                <m:e>
                  <m:r>
                    <m:t>λ</m:t>
                  </m:r>
                </m:e>
                <m:sub>
                  <m:r>
                    <m:t>i</m:t>
                  </m:r>
                </m:sub>
              </m:sSub>
            </m:num>
            <m:den>
              <m:sSub>
                <m:e>
                  <m:r>
                    <m:t>λ</m:t>
                  </m:r>
                </m:e>
                <m:sub>
                  <m:r>
                    <m:t>i</m:t>
                  </m:r>
                </m:sub>
              </m:sSub>
            </m:den>
          </m:f>
          <m:r>
            <m:rPr>
              <m:sty m:val="p"/>
            </m:rPr>
            <m:t>,</m:t>
          </m:r>
          <m:r>
            <m:t>  </m:t>
          </m:r>
          <m:r>
            <m:t>i</m:t>
          </m:r>
          <m:r>
            <m:rPr>
              <m:sty m:val="p"/>
            </m:rPr>
            <m:t>=</m:t>
          </m:r>
          <m:r>
            <m:t>1</m:t>
          </m:r>
          <m:r>
            <m:rPr>
              <m:sty m:val="p"/>
            </m:rPr>
            <m:t>,</m:t>
          </m:r>
          <m:r>
            <m:rPr>
              <m:sty m:val="p"/>
            </m:rPr>
            <m:t>…</m:t>
          </m:r>
          <m:r>
            <m:rPr>
              <m:sty m:val="p"/>
            </m:rPr>
            <m:t>,</m:t>
          </m:r>
          <m:sSub>
            <m:e>
              <m:r>
                <m:t>N</m:t>
              </m:r>
            </m:e>
            <m:sub>
              <m:r>
                <m:rPr>
                  <m:sty m:val="p"/>
                </m:rPr>
                <m:t>e</m:t>
              </m:r>
              <m:r>
                <m:rPr>
                  <m:sty m:val="p"/>
                </m:rPr>
                <m:t>v</m:t>
              </m:r>
            </m:sub>
          </m:sSub>
          <m:r>
            <m:rPr>
              <m:sty m:val="p"/>
            </m:rPr>
            <m:t>−</m:t>
          </m:r>
          <m:r>
            <m:t>1</m:t>
          </m:r>
          <m:r>
            <m:rPr>
              <m:sty m:val="p"/>
            </m:rPr>
            <m:t>.</m:t>
          </m:r>
        </m:oMath>
      </m:oMathPara>
    </w:p>
    <w:p>
      <w:pPr>
        <w:pStyle w:val="FirstParagraph"/>
      </w:pPr>
      <w:r>
        <w:t xml:space="preserve">A clustered regime</w:t>
      </w:r>
      <w:r>
        <w:t xml:space="preserve"> </w:t>
      </w:r>
      <m:oMath>
        <m:r>
          <m:rPr>
            <m:sty m:val="p"/>
          </m:rPr>
          <m:t>[</m:t>
        </m:r>
        <m:r>
          <m:t>i</m:t>
        </m:r>
        <m:r>
          <m:rPr>
            <m:sty m:val="p"/>
          </m:rPr>
          <m:t>.</m:t>
        </m:r>
        <m:r>
          <m:rPr>
            <m:sty m:val="p"/>
          </m:rPr>
          <m:t>.</m:t>
        </m:r>
        <m:r>
          <m:t>j</m:t>
        </m:r>
        <m:r>
          <m:rPr>
            <m:sty m:val="p"/>
          </m:rPr>
          <m:t>]</m:t>
        </m:r>
      </m:oMath>
      <w:r>
        <w:t xml:space="preserve"> </w:t>
      </w:r>
      <w:r>
        <w:t xml:space="preserve">is defined as the maximal contiguous rank block starting at </w:t>
      </w:r>
      <m:oMath>
        <m:r>
          <m:t>i</m:t>
        </m:r>
      </m:oMath>
      <w:r>
        <w:t xml:space="preserve"> </w:t>
      </w:r>
      <w:r>
        <w:t xml:space="preserve">with internal gaps below threshold,</w:t>
      </w:r>
      <w:r>
        <w:t xml:space="preserve"> </w:t>
      </w:r>
      <m:oMath>
        <m:sSub>
          <m:e>
            <m:r>
              <m:rPr>
                <m:sty m:val="p"/>
              </m:rPr>
              <m:t>g</m:t>
            </m:r>
            <m:r>
              <m:rPr>
                <m:sty m:val="p"/>
              </m:rPr>
              <m:t>a</m:t>
            </m:r>
            <m:r>
              <m:rPr>
                <m:sty m:val="p"/>
              </m:rPr>
              <m:t>p</m:t>
            </m:r>
          </m:e>
          <m:sub>
            <m:r>
              <m:rPr>
                <m:sty m:val="p"/>
              </m:rPr>
              <m:t>i</m:t>
            </m:r>
            <m:r>
              <m:rPr>
                <m:sty m:val="p"/>
              </m:rPr>
              <m:t>n</m:t>
            </m:r>
          </m:sub>
        </m:sSub>
        <m:r>
          <m:rPr>
            <m:sty m:val="p"/>
          </m:rPr>
          <m:t>(</m:t>
        </m:r>
        <m:r>
          <m:t>k</m:t>
        </m:r>
        <m:r>
          <m:rPr>
            <m:sty m:val="p"/>
          </m:rPr>
          <m:t>)</m:t>
        </m:r>
        <m:r>
          <m:rPr>
            <m:sty m:val="p"/>
          </m:rPr>
          <m:t>&lt;</m:t>
        </m:r>
        <m:sSub>
          <m:e>
            <m:r>
              <m:t>ε</m:t>
            </m:r>
          </m:e>
          <m:sub>
            <m:r>
              <m:rPr>
                <m:sty m:val="p"/>
              </m:rPr>
              <m:t>i</m:t>
            </m:r>
            <m:r>
              <m:rPr>
                <m:sty m:val="p"/>
              </m:rPr>
              <m:t>n</m:t>
            </m:r>
          </m:sub>
        </m:sSub>
      </m:oMath>
      <w:r>
        <w:t xml:space="preserve"> </w:t>
      </w:r>
      <w:r>
        <w:t xml:space="preserve">for</w:t>
      </w:r>
      <w:r>
        <w:t xml:space="preserve"> </w:t>
      </w:r>
      <m:oMath>
        <m:r>
          <m:t>k</m:t>
        </m:r>
        <m:r>
          <m:rPr>
            <m:sty m:val="p"/>
          </m:rPr>
          <m:t>=</m:t>
        </m:r>
        <m:r>
          <m:t>i</m:t>
        </m:r>
        <m:r>
          <m:rPr>
            <m:sty m:val="p"/>
          </m:rPr>
          <m:t>,</m:t>
        </m:r>
        <m:r>
          <m:rPr>
            <m:sty m:val="p"/>
          </m:rPr>
          <m:t>…</m:t>
        </m:r>
        <m:r>
          <m:rPr>
            <m:sty m:val="p"/>
          </m:rPr>
          <m:t>,</m:t>
        </m:r>
        <m:r>
          <m:t>j</m:t>
        </m:r>
        <m:r>
          <m:rPr>
            <m:sty m:val="p"/>
          </m:rPr>
          <m:t>−</m:t>
        </m:r>
        <m:r>
          <m:t>1</m:t>
        </m:r>
      </m:oMath>
      <w:r>
        <w:t xml:space="preserve">.</w:t>
      </w:r>
      <w:r>
        <w:t xml:space="preserve"> </w:t>
      </w:r>
      <w:r>
        <w:t xml:space="preserve">The threshold is set from data as the 25th percentile of the pooled</w:t>
      </w:r>
      <w:r>
        <w:t xml:space="preserve"> </w:t>
      </w:r>
      <m:oMath>
        <m:sSub>
          <m:e>
            <m:r>
              <m:rPr>
                <m:sty m:val="p"/>
              </m:rPr>
              <m:t>g</m:t>
            </m:r>
            <m:r>
              <m:rPr>
                <m:sty m:val="p"/>
              </m:rPr>
              <m:t>a</m:t>
            </m:r>
            <m:r>
              <m:rPr>
                <m:sty m:val="p"/>
              </m:rPr>
              <m:t>p</m:t>
            </m:r>
          </m:e>
          <m:sub>
            <m:r>
              <m:rPr>
                <m:sty m:val="p"/>
              </m:rPr>
              <m:t>i</m:t>
            </m:r>
            <m:r>
              <m:rPr>
                <m:sty m:val="p"/>
              </m:rPr>
              <m:t>n</m:t>
            </m:r>
          </m:sub>
        </m:sSub>
      </m:oMath>
      <w:r>
        <w:t xml:space="preserve"> </w:t>
      </w:r>
      <w:r>
        <w:t xml:space="preserve">distribution across the cohort, yielding</w:t>
      </w:r>
      <w:r>
        <w:t xml:space="preserve"> </w:t>
      </w:r>
      <m:oMath>
        <m:sSub>
          <m:e>
            <m:r>
              <m:t>ε</m:t>
            </m:r>
          </m:e>
          <m:sub>
            <m:r>
              <m:rPr>
                <m:sty m:val="p"/>
              </m:rPr>
              <m:t>i</m:t>
            </m:r>
            <m:r>
              <m:rPr>
                <m:sty m:val="p"/>
              </m:rPr>
              <m:t>n</m:t>
            </m:r>
          </m:sub>
        </m:sSub>
        <m:r>
          <m:rPr>
            <m:sty m:val="p"/>
          </m:rPr>
          <m:t>≈</m:t>
        </m:r>
        <m:r>
          <m:t>0.13</m:t>
        </m:r>
      </m:oMath>
      <w:r>
        <w:t xml:space="preserve">; sensitivity to the percentile choice is reported in Appendix A.</w:t>
      </w:r>
      <w:r>
        <w:t xml:space="preserve"> </w:t>
      </w:r>
      <w:r>
        <w:t xml:space="preserve">External separation is quantified by</w:t>
      </w:r>
    </w:p>
    <w:p>
      <w:pPr>
        <w:pStyle w:val="BodyText"/>
      </w:pPr>
      <m:oMathPara>
        <m:oMathParaPr>
          <m:jc m:val="center"/>
        </m:oMathParaPr>
        <m:oMath>
          <m:sSub>
            <m:e>
              <m:r>
                <m:rPr>
                  <m:sty m:val="p"/>
                </m:rPr>
                <m:t>s</m:t>
              </m:r>
              <m:r>
                <m:rPr>
                  <m:sty m:val="p"/>
                </m:rPr>
                <m:t>e</m:t>
              </m:r>
              <m:r>
                <m:rPr>
                  <m:sty m:val="p"/>
                </m:rPr>
                <m:t>p</m:t>
              </m:r>
            </m:e>
            <m:sub>
              <m:r>
                <m:rPr>
                  <m:sty m:val="p"/>
                </m:rPr>
                <m:t>o</m:t>
              </m:r>
              <m:r>
                <m:rPr>
                  <m:sty m:val="p"/>
                </m:rPr>
                <m:t>u</m:t>
              </m:r>
              <m:r>
                <m:rPr>
                  <m:sty m:val="p"/>
                </m:rPr>
                <m:t>t</m:t>
              </m:r>
            </m:sub>
          </m:sSub>
          <m:r>
            <m:rPr>
              <m:sty m:val="p"/>
            </m:rPr>
            <m:t>(</m:t>
          </m:r>
          <m:r>
            <m:rPr>
              <m:sty m:val="p"/>
            </m:rPr>
            <m:t>[</m:t>
          </m:r>
          <m:r>
            <m:t>i</m:t>
          </m:r>
          <m:r>
            <m:rPr>
              <m:sty m:val="p"/>
            </m:rPr>
            <m:t>.</m:t>
          </m:r>
          <m:r>
            <m:rPr>
              <m:sty m:val="p"/>
            </m:rPr>
            <m:t>.</m:t>
          </m:r>
          <m:r>
            <m:t>j</m:t>
          </m:r>
          <m:r>
            <m:rPr>
              <m:sty m:val="p"/>
            </m:rPr>
            <m:t>]</m:t>
          </m:r>
          <m:r>
            <m:rPr>
              <m:sty m:val="p"/>
            </m:rPr>
            <m:t>)</m:t>
          </m:r>
          <m:r>
            <m:rPr>
              <m:sty m:val="p"/>
            </m:rPr>
            <m:t>=</m:t>
          </m:r>
          <m:r>
            <m:rPr>
              <m:nor/>
              <m:sty m:val="p"/>
            </m:rPr>
            <m:t>min</m:t>
          </m:r>
          <m:r>
            <m:t>​</m:t>
          </m:r>
          <m:d>
            <m:dPr>
              <m:begChr m:val="("/>
              <m:endChr m:val=")"/>
              <m:grow/>
            </m:dPr>
            <m:e>
              <m:f>
                <m:fPr>
                  <m:type m:val="bar"/>
                </m:fPr>
                <m:num>
                  <m:sSub>
                    <m:e>
                      <m:r>
                        <m:t>λ</m:t>
                      </m:r>
                    </m:e>
                    <m:sub>
                      <m:r>
                        <m:t>i</m:t>
                      </m:r>
                    </m:sub>
                  </m:sSub>
                  <m:r>
                    <m:rPr>
                      <m:sty m:val="p"/>
                    </m:rPr>
                    <m:t>−</m:t>
                  </m:r>
                  <m:sSub>
                    <m:e>
                      <m:r>
                        <m:t>λ</m:t>
                      </m:r>
                    </m:e>
                    <m:sub>
                      <m:r>
                        <m:t>i</m:t>
                      </m:r>
                      <m:r>
                        <m:rPr>
                          <m:sty m:val="p"/>
                        </m:rPr>
                        <m:t>−</m:t>
                      </m:r>
                      <m:r>
                        <m:t>1</m:t>
                      </m:r>
                    </m:sub>
                  </m:sSub>
                </m:num>
                <m:den>
                  <m:sSub>
                    <m:e>
                      <m:r>
                        <m:t>λ</m:t>
                      </m:r>
                    </m:e>
                    <m:sub>
                      <m:r>
                        <m:t>i</m:t>
                      </m:r>
                    </m:sub>
                  </m:sSub>
                </m:den>
              </m:f>
              <m:r>
                <m:rPr>
                  <m:sty m:val="p"/>
                </m:rPr>
                <m:t>,</m:t>
              </m:r>
              <m:r>
                <m:t> </m:t>
              </m:r>
              <m:f>
                <m:fPr>
                  <m:type m:val="bar"/>
                </m:fPr>
                <m:num>
                  <m:sSub>
                    <m:e>
                      <m:r>
                        <m:t>λ</m:t>
                      </m:r>
                    </m:e>
                    <m:sub>
                      <m:r>
                        <m:t>j</m:t>
                      </m:r>
                      <m:r>
                        <m:rPr>
                          <m:sty m:val="p"/>
                        </m:rPr>
                        <m:t>+</m:t>
                      </m:r>
                      <m:r>
                        <m:t>1</m:t>
                      </m:r>
                    </m:sub>
                  </m:sSub>
                  <m:r>
                    <m:rPr>
                      <m:sty m:val="p"/>
                    </m:rPr>
                    <m:t>−</m:t>
                  </m:r>
                  <m:sSub>
                    <m:e>
                      <m:r>
                        <m:t>λ</m:t>
                      </m:r>
                    </m:e>
                    <m:sub>
                      <m:r>
                        <m:t>j</m:t>
                      </m:r>
                    </m:sub>
                  </m:sSub>
                </m:num>
                <m:den>
                  <m:sSub>
                    <m:e>
                      <m:r>
                        <m:t>λ</m:t>
                      </m:r>
                    </m:e>
                    <m:sub>
                      <m:r>
                        <m:t>j</m:t>
                      </m:r>
                    </m:sub>
                  </m:sSub>
                </m:den>
              </m:f>
            </m:e>
          </m:d>
          <m:r>
            <m:rPr>
              <m:sty m:val="p"/>
            </m:rPr>
            <m:t>,</m:t>
          </m:r>
        </m:oMath>
      </m:oMathPara>
    </w:p>
    <w:p>
      <w:pPr>
        <w:pStyle w:val="FirstParagraph"/>
      </w:pPr>
      <w:r>
        <w:t xml:space="preserve">with a well-isolated cluster satisfying</w:t>
      </w:r>
      <w:r>
        <w:t xml:space="preserve"> </w:t>
      </w:r>
      <m:oMath>
        <m:sSub>
          <m:e>
            <m:r>
              <m:rPr>
                <m:sty m:val="p"/>
              </m:rPr>
              <m:t>s</m:t>
            </m:r>
            <m:r>
              <m:rPr>
                <m:sty m:val="p"/>
              </m:rPr>
              <m:t>e</m:t>
            </m:r>
            <m:r>
              <m:rPr>
                <m:sty m:val="p"/>
              </m:rPr>
              <m:t>p</m:t>
            </m:r>
          </m:e>
          <m:sub>
            <m:r>
              <m:rPr>
                <m:sty m:val="p"/>
              </m:rPr>
              <m:t>o</m:t>
            </m:r>
            <m:r>
              <m:rPr>
                <m:sty m:val="p"/>
              </m:rPr>
              <m:t>u</m:t>
            </m:r>
            <m:r>
              <m:rPr>
                <m:sty m:val="p"/>
              </m:rPr>
              <m:t>t</m:t>
            </m:r>
          </m:sub>
        </m:sSub>
        <m:r>
          <m:rPr>
            <m:sty m:val="p"/>
          </m:rPr>
          <m:t>≫</m:t>
        </m:r>
        <m:sSub>
          <m:e>
            <m:r>
              <m:t>ε</m:t>
            </m:r>
          </m:e>
          <m:sub>
            <m:r>
              <m:rPr>
                <m:sty m:val="p"/>
              </m:rPr>
              <m:t>i</m:t>
            </m:r>
            <m:r>
              <m:rPr>
                <m:sty m:val="p"/>
              </m:rPr>
              <m:t>n</m:t>
            </m:r>
          </m:sub>
        </m:sSub>
      </m:oMath>
      <w:r>
        <w:t xml:space="preserve">.</w:t>
      </w:r>
      <w:r>
        <w:t xml:space="preserve"> </w:t>
      </w:r>
      <w:r>
        <w:t xml:space="preserve">True degeneracy in the numerical sense (</w:t>
      </w:r>
      <m:oMath>
        <m:sSub>
          <m:e>
            <m:r>
              <m:rPr>
                <m:sty m:val="p"/>
              </m:rPr>
              <m:t>g</m:t>
            </m:r>
            <m:r>
              <m:rPr>
                <m:sty m:val="p"/>
              </m:rPr>
              <m:t>a</m:t>
            </m:r>
            <m:r>
              <m:rPr>
                <m:sty m:val="p"/>
              </m:rPr>
              <m:t>p</m:t>
            </m:r>
          </m:e>
          <m:sub>
            <m:r>
              <m:rPr>
                <m:sty m:val="p"/>
              </m:rPr>
              <m:t>i</m:t>
            </m:r>
            <m:r>
              <m:rPr>
                <m:sty m:val="p"/>
              </m:rPr>
              <m:t>n</m:t>
            </m:r>
          </m:sub>
        </m:sSub>
        <m:r>
          <m:rPr>
            <m:sty m:val="p"/>
          </m:rPr>
          <m:t>≤</m:t>
        </m:r>
        <m:sSub>
          <m:e>
            <m:r>
              <m:t>ε</m:t>
            </m:r>
          </m:e>
          <m:sub>
            <m:r>
              <m:rPr>
                <m:sty m:val="p"/>
              </m:rPr>
              <m:t>d</m:t>
            </m:r>
            <m:r>
              <m:rPr>
                <m:sty m:val="p"/>
              </m:rPr>
              <m:t>e</m:t>
            </m:r>
            <m:r>
              <m:rPr>
                <m:sty m:val="p"/>
              </m:rPr>
              <m:t>g</m:t>
            </m:r>
          </m:sub>
        </m:sSub>
        <m:r>
          <m:rPr>
            <m:sty m:val="p"/>
          </m:rPr>
          <m:t>=</m:t>
        </m:r>
        <m:sSup>
          <m:e>
            <m:r>
              <m:t>10</m:t>
            </m:r>
          </m:e>
          <m:sup>
            <m:r>
              <m:rPr>
                <m:sty m:val="p"/>
              </m:rPr>
              <m:t>−</m:t>
            </m:r>
            <m:r>
              <m:t>6</m:t>
            </m:r>
          </m:sup>
        </m:sSup>
      </m:oMath>
      <w:r>
        <w:t xml:space="preserve">) was not observed in any subject, which is expected for a structure without continuous rotational symmetry; the regimes detected by (11) are genuine near-degenerate clusters, for which small perturbations can nevertheless drive rapid internal basis rotation and label exchange [11-12].</w:t>
      </w:r>
    </w:p>
    <w:bookmarkEnd w:id="46"/>
    <w:bookmarkStart w:id="47" w:name="X009d0db4516a81bf63fd033fcb1d5cc95f9bb9b"/>
    <w:p>
      <w:pPr>
        <w:pStyle w:val="Heading2"/>
      </w:pPr>
      <w:r>
        <w:t xml:space="preserve">Invariant subspaces: principal angles, Grassmann distance, and Procrustes alignment</w:t>
      </w:r>
    </w:p>
    <w:p>
      <w:pPr>
        <w:pStyle w:val="FirstParagraph"/>
      </w:pPr>
      <w:r>
        <w:t xml:space="preserve">For each clustered rank block of dimension </w:t>
      </w:r>
      <m:oMath>
        <m:r>
          <m:t>r</m:t>
        </m:r>
      </m:oMath>
      <w:r>
        <w:t xml:space="preserve">, the corresponding subject-specific subspace was represented by an</w:t>
      </w:r>
      <w:r>
        <w:t xml:space="preserve"> </w:t>
      </w:r>
      <m:oMath>
        <m:sSubSup>
          <m:e>
            <m:r>
              <m:t>M</m:t>
            </m:r>
          </m:e>
          <m:sub>
            <m:r>
              <m:rPr>
                <m:sty m:val="p"/>
              </m:rPr>
              <m:t>r</m:t>
            </m:r>
            <m:r>
              <m:rPr>
                <m:sty m:val="p"/>
              </m:rPr>
              <m:t>e</m:t>
            </m:r>
            <m:r>
              <m:rPr>
                <m:sty m:val="p"/>
              </m:rPr>
              <m:t>f</m:t>
            </m:r>
          </m:sub>
          <m:sup>
            <m:r>
              <m:t>0</m:t>
            </m:r>
          </m:sup>
        </m:sSubSup>
      </m:oMath>
      <w:r>
        <w:t xml:space="preserve">-orthonormal basis</w:t>
      </w:r>
    </w:p>
    <w:p>
      <w:pPr>
        <w:pStyle w:val="BodyText"/>
      </w:pPr>
      <m:oMathPara>
        <m:oMathParaPr>
          <m:jc m:val="center"/>
        </m:oMathParaPr>
        <m:oMath>
          <m:sSub>
            <m:e>
              <m:r>
                <m:t>Q</m:t>
              </m:r>
            </m:e>
            <m:sub>
              <m:r>
                <m:t>s</m:t>
              </m:r>
            </m:sub>
          </m:sSub>
          <m:r>
            <m:rPr>
              <m:sty m:val="p"/>
            </m:rPr>
            <m:t>∈</m:t>
          </m:r>
          <m:sSup>
            <m:e>
              <m:r>
                <m:rPr>
                  <m:sty m:val="p"/>
                  <m:scr m:val="double-struck"/>
                </m:rPr>
                <m:t>R</m:t>
              </m:r>
            </m:e>
            <m:sup>
              <m:r>
                <m:t>n</m:t>
              </m:r>
              <m:r>
                <m:rPr>
                  <m:sty m:val="p"/>
                </m:rPr>
                <m:t>×</m:t>
              </m:r>
              <m:r>
                <m:t>r</m:t>
              </m:r>
            </m:sup>
          </m:sSup>
          <m:r>
            <m:rPr>
              <m:sty m:val="p"/>
            </m:rPr>
            <m:t>,</m:t>
          </m:r>
          <m:r>
            <m:t>  </m:t>
          </m:r>
          <m:sSubSup>
            <m:e>
              <m:r>
                <m:t>Q</m:t>
              </m:r>
            </m:e>
            <m:sub>
              <m:r>
                <m:t>s</m:t>
              </m:r>
            </m:sub>
            <m:sup>
              <m:r>
                <m:rPr>
                  <m:sty m:val="p"/>
                </m:rPr>
                <m:t>⊤</m:t>
              </m:r>
            </m:sup>
          </m:sSubSup>
          <m:sSubSup>
            <m:e>
              <m:r>
                <m:t>M</m:t>
              </m:r>
            </m:e>
            <m:sub>
              <m:r>
                <m:rPr>
                  <m:sty m:val="p"/>
                </m:rPr>
                <m:t>r</m:t>
              </m:r>
              <m:r>
                <m:rPr>
                  <m:sty m:val="p"/>
                </m:rPr>
                <m:t>e</m:t>
              </m:r>
              <m:r>
                <m:rPr>
                  <m:sty m:val="p"/>
                </m:rPr>
                <m:t>f</m:t>
              </m:r>
            </m:sub>
            <m:sup>
              <m:r>
                <m:t>0</m:t>
              </m:r>
            </m:sup>
          </m:sSubSup>
          <m:r>
            <m:t> </m:t>
          </m:r>
          <m:sSub>
            <m:e>
              <m:r>
                <m:t>Q</m:t>
              </m:r>
            </m:e>
            <m:sub>
              <m:r>
                <m:t>s</m:t>
              </m:r>
            </m:sub>
          </m:sSub>
          <m:r>
            <m:rPr>
              <m:sty m:val="p"/>
            </m:rPr>
            <m:t>=</m:t>
          </m:r>
          <m:sSub>
            <m:e>
              <m:r>
                <m:t>I</m:t>
              </m:r>
            </m:e>
            <m:sub>
              <m:r>
                <m:t>r</m:t>
              </m:r>
            </m:sub>
          </m:sSub>
          <m:r>
            <m:rPr>
              <m:sty m:val="p"/>
            </m:rPr>
            <m:t>.</m:t>
          </m:r>
        </m:oMath>
      </m:oMathPara>
    </w:p>
    <w:p>
      <w:pPr>
        <w:pStyle w:val="FirstParagraph"/>
      </w:pPr>
      <w:r>
        <w:t xml:space="preserve">With a fixed reference basis</w:t>
      </w:r>
      <w:r>
        <w:t xml:space="preserve"> </w:t>
      </w:r>
      <m:oMath>
        <m:sSub>
          <m:e>
            <m:r>
              <m:t>Q</m:t>
            </m:r>
          </m:e>
          <m:sub>
            <m:r>
              <m:rPr>
                <m:sty m:val="p"/>
              </m:rPr>
              <m:t>r</m:t>
            </m:r>
            <m:r>
              <m:rPr>
                <m:sty m:val="p"/>
              </m:rPr>
              <m:t>e</m:t>
            </m:r>
            <m:r>
              <m:rPr>
                <m:sty m:val="p"/>
              </m:rPr>
              <m:t>f</m:t>
            </m:r>
          </m:sub>
        </m:sSub>
      </m:oMath>
      <w:r>
        <w:t xml:space="preserve">, define the overlap matrix</w:t>
      </w:r>
    </w:p>
    <w:p>
      <w:pPr>
        <w:pStyle w:val="BodyText"/>
      </w:pPr>
      <m:oMathPara>
        <m:oMathParaPr>
          <m:jc m:val="center"/>
        </m:oMathParaPr>
        <m:oMath>
          <m:r>
            <m:t>S</m:t>
          </m:r>
          <m:r>
            <m:rPr>
              <m:sty m:val="p"/>
            </m:rPr>
            <m:t>=</m:t>
          </m:r>
          <m:sSubSup>
            <m:e>
              <m:r>
                <m:t>Q</m:t>
              </m:r>
            </m:e>
            <m:sub>
              <m:r>
                <m:rPr>
                  <m:sty m:val="p"/>
                </m:rPr>
                <m:t>r</m:t>
              </m:r>
              <m:r>
                <m:rPr>
                  <m:sty m:val="p"/>
                </m:rPr>
                <m:t>e</m:t>
              </m:r>
              <m:r>
                <m:rPr>
                  <m:sty m:val="p"/>
                </m:rPr>
                <m:t>f</m:t>
              </m:r>
            </m:sub>
            <m:sup>
              <m:r>
                <m:rPr>
                  <m:sty m:val="p"/>
                </m:rPr>
                <m:t>⊤</m:t>
              </m:r>
            </m:sup>
          </m:sSubSup>
          <m:sSubSup>
            <m:e>
              <m:r>
                <m:t>M</m:t>
              </m:r>
            </m:e>
            <m:sub>
              <m:r>
                <m:rPr>
                  <m:sty m:val="p"/>
                </m:rPr>
                <m:t>r</m:t>
              </m:r>
              <m:r>
                <m:rPr>
                  <m:sty m:val="p"/>
                </m:rPr>
                <m:t>e</m:t>
              </m:r>
              <m:r>
                <m:rPr>
                  <m:sty m:val="p"/>
                </m:rPr>
                <m:t>f</m:t>
              </m:r>
            </m:sub>
            <m:sup>
              <m:r>
                <m:t>0</m:t>
              </m:r>
            </m:sup>
          </m:sSubSup>
          <m:r>
            <m:t> </m:t>
          </m:r>
          <m:sSub>
            <m:e>
              <m:r>
                <m:t>Q</m:t>
              </m:r>
            </m:e>
            <m:sub>
              <m:r>
                <m:t>s</m:t>
              </m:r>
            </m:sub>
          </m:sSub>
          <m:r>
            <m:rPr>
              <m:sty m:val="p"/>
            </m:rPr>
            <m:t>∈</m:t>
          </m:r>
          <m:sSup>
            <m:e>
              <m:r>
                <m:rPr>
                  <m:sty m:val="p"/>
                  <m:scr m:val="double-struck"/>
                </m:rPr>
                <m:t>R</m:t>
              </m:r>
            </m:e>
            <m:sup>
              <m:r>
                <m:t>r</m:t>
              </m:r>
              <m:r>
                <m:rPr>
                  <m:sty m:val="p"/>
                </m:rPr>
                <m:t>×</m:t>
              </m:r>
              <m:r>
                <m:t>r</m:t>
              </m:r>
            </m:sup>
          </m:sSup>
          <m:r>
            <m:rPr>
              <m:sty m:val="p"/>
            </m:rPr>
            <m:t>,</m:t>
          </m:r>
          <m:r>
            <m:t>  </m:t>
          </m:r>
          <m:r>
            <m:t>S</m:t>
          </m:r>
          <m:r>
            <m:rPr>
              <m:sty m:val="p"/>
            </m:rPr>
            <m:t>=</m:t>
          </m:r>
          <m:r>
            <m:t>U</m:t>
          </m:r>
          <m:r>
            <m:t>Σ</m:t>
          </m:r>
          <m:sSup>
            <m:e>
              <m:r>
                <m:t>V</m:t>
              </m:r>
            </m:e>
            <m:sup>
              <m:r>
                <m:rPr>
                  <m:sty m:val="p"/>
                </m:rPr>
                <m:t>⊤</m:t>
              </m:r>
            </m:sup>
          </m:sSup>
          <m:r>
            <m:rPr>
              <m:sty m:val="p"/>
            </m:rPr>
            <m:t>,</m:t>
          </m:r>
          <m:r>
            <m:t>  </m:t>
          </m:r>
          <m:r>
            <m:rPr>
              <m:nor/>
              <m:sty m:val="p"/>
            </m:rPr>
            <m:t>cos</m:t>
          </m:r>
          <m:sSub>
            <m:e>
              <m:r>
                <m:t>θ</m:t>
              </m:r>
            </m:e>
            <m:sub>
              <m:r>
                <m:t>k</m:t>
              </m:r>
            </m:sub>
          </m:sSub>
          <m:r>
            <m:rPr>
              <m:sty m:val="p"/>
            </m:rPr>
            <m:t>=</m:t>
          </m:r>
          <m:sSub>
            <m:e>
              <m:r>
                <m:t>σ</m:t>
              </m:r>
            </m:e>
            <m:sub>
              <m:r>
                <m:t>k</m:t>
              </m:r>
            </m:sub>
          </m:sSub>
          <m:r>
            <m:rPr>
              <m:sty m:val="p"/>
            </m:rPr>
            <m:t>(</m:t>
          </m:r>
          <m:r>
            <m:t>S</m:t>
          </m:r>
          <m:r>
            <m:rPr>
              <m:sty m:val="p"/>
            </m:rPr>
            <m:t>)</m:t>
          </m:r>
          <m:r>
            <m:rPr>
              <m:sty m:val="p"/>
            </m:rPr>
            <m:t>,</m:t>
          </m:r>
        </m:oMath>
      </m:oMathPara>
    </w:p>
    <w:p>
      <w:pPr>
        <w:pStyle w:val="FirstParagraph"/>
      </w:pPr>
      <w:r>
        <w:t xml:space="preserve">with singular values</w:t>
      </w:r>
      <w:r>
        <w:t xml:space="preserve"> </w:t>
      </w:r>
      <m:oMath>
        <m:sSub>
          <m:e>
            <m:r>
              <m:t>σ</m:t>
            </m:r>
          </m:e>
          <m:sub>
            <m:r>
              <m:t>k</m:t>
            </m:r>
          </m:sub>
        </m:sSub>
      </m:oMath>
      <w:r>
        <w:t xml:space="preserve"> </w:t>
      </w:r>
      <w:r>
        <w:t xml:space="preserve">yielding the principal angles</w:t>
      </w:r>
      <w:r>
        <w:t xml:space="preserve"> </w:t>
      </w:r>
      <m:oMath>
        <m:sSub>
          <m:e>
            <m:r>
              <m:t>θ</m:t>
            </m:r>
          </m:e>
          <m:sub>
            <m:r>
              <m:t>k</m:t>
            </m:r>
          </m:sub>
        </m:sSub>
        <m:r>
          <m:rPr>
            <m:sty m:val="p"/>
          </m:rPr>
          <m:t>∈</m:t>
        </m:r>
        <m:r>
          <m:rPr>
            <m:sty m:val="p"/>
          </m:rPr>
          <m:t>[</m:t>
        </m:r>
        <m:r>
          <m:t>0</m:t>
        </m:r>
        <m:r>
          <m:rPr>
            <m:sty m:val="p"/>
          </m:rPr>
          <m:t>,</m:t>
        </m:r>
        <m:r>
          <m:t>π</m:t>
        </m:r>
        <m:r>
          <m:rPr>
            <m:sty m:val="p"/>
          </m:rPr>
          <m:t>/</m:t>
        </m:r>
        <m:r>
          <m:t>2</m:t>
        </m:r>
        <m:r>
          <m:rPr>
            <m:sty m:val="p"/>
          </m:rPr>
          <m:t>]</m:t>
        </m:r>
      </m:oMath>
      <w:r>
        <w:t xml:space="preserve"> </w:t>
      </w:r>
      <w:r>
        <w:t xml:space="preserve">between the two subspaces [41].</w:t>
      </w:r>
      <w:r>
        <w:t xml:space="preserve"> </w:t>
      </w:r>
      <w:r>
        <w:t xml:space="preserve">The Grassmann distance is</w:t>
      </w:r>
    </w:p>
    <w:p>
      <w:pPr>
        <w:pStyle w:val="BodyText"/>
      </w:pPr>
      <m:oMathPara>
        <m:oMathParaPr>
          <m:jc m:val="center"/>
        </m:oMathParaPr>
        <m:oMath>
          <m:sSub>
            <m:e>
              <m:r>
                <m:t>d</m:t>
              </m:r>
            </m:e>
            <m:sub>
              <m:r>
                <m:t>G</m:t>
              </m:r>
            </m:sub>
          </m:sSub>
          <m:r>
            <m:rPr>
              <m:sty m:val="p"/>
            </m:rPr>
            <m:t>(</m:t>
          </m:r>
          <m:sSub>
            <m:e>
              <m:r>
                <m:t>Q</m:t>
              </m:r>
            </m:e>
            <m:sub>
              <m:r>
                <m:rPr>
                  <m:sty m:val="p"/>
                </m:rPr>
                <m:t>r</m:t>
              </m:r>
              <m:r>
                <m:rPr>
                  <m:sty m:val="p"/>
                </m:rPr>
                <m:t>e</m:t>
              </m:r>
              <m:r>
                <m:rPr>
                  <m:sty m:val="p"/>
                </m:rPr>
                <m:t>f</m:t>
              </m:r>
            </m:sub>
          </m:sSub>
          <m:r>
            <m:rPr>
              <m:sty m:val="p"/>
            </m:rPr>
            <m:t>,</m:t>
          </m:r>
          <m:sSub>
            <m:e>
              <m:r>
                <m:t>Q</m:t>
              </m:r>
            </m:e>
            <m:sub>
              <m:r>
                <m:t>s</m:t>
              </m:r>
            </m:sub>
          </m:sSub>
          <m:r>
            <m:rPr>
              <m:sty m:val="p"/>
            </m:rPr>
            <m:t>)</m:t>
          </m:r>
          <m:r>
            <m:rPr>
              <m:sty m:val="p"/>
            </m:rPr>
            <m:t>=</m:t>
          </m:r>
          <m:r>
            <m:rPr>
              <m:sty m:val="p"/>
            </m:rPr>
            <m:t>∥</m:t>
          </m:r>
          <m:r>
            <m:rPr>
              <m:sty m:val="b"/>
            </m:rPr>
            <m:t>θ</m:t>
          </m:r>
          <m:sSub>
            <m:e>
              <m:r>
                <m:rPr>
                  <m:sty m:val="p"/>
                </m:rPr>
                <m:t>∥</m:t>
              </m:r>
            </m:e>
            <m:sub>
              <m:r>
                <m:t>2</m:t>
              </m:r>
            </m:sub>
          </m:sSub>
          <m:r>
            <m:rPr>
              <m:sty m:val="p"/>
            </m:rPr>
            <m:t>=</m:t>
          </m:r>
          <m:r>
            <m:rPr>
              <m:sty m:val="p"/>
            </m:rPr>
            <m:t>(</m:t>
          </m:r>
          <m:nary>
            <m:naryPr>
              <m:chr m:val="∑"/>
              <m:limLoc m:val="undOvr"/>
              <m:subHide m:val="0"/>
              <m:supHide m:val="0"/>
            </m:naryPr>
            <m:sub>
              <m:r>
                <m:t>k</m:t>
              </m:r>
              <m:r>
                <m:rPr>
                  <m:sty m:val="p"/>
                </m:rPr>
                <m:t>=</m:t>
              </m:r>
              <m:r>
                <m:t>1</m:t>
              </m:r>
            </m:sub>
            <m:sup>
              <m:r>
                <m:t>r</m:t>
              </m:r>
            </m:sup>
            <m:e>
              <m:sSubSup>
                <m:e>
                  <m:r>
                    <m:t>θ</m:t>
                  </m:r>
                </m:e>
                <m:sub>
                  <m:r>
                    <m:t>k</m:t>
                  </m:r>
                </m:sub>
                <m:sup>
                  <m:r>
                    <m:t>2</m:t>
                  </m:r>
                </m:sup>
              </m:sSubSup>
            </m:e>
          </m:nary>
          <m:sSup>
            <m:e>
              <m:r>
                <m:rPr>
                  <m:sty m:val="p"/>
                </m:rPr>
                <m:t>)</m:t>
              </m:r>
            </m:e>
            <m:sup>
              <m:r>
                <m:t>1</m:t>
              </m:r>
              <m:r>
                <m:rPr>
                  <m:sty m:val="p"/>
                </m:rPr>
                <m:t>/</m:t>
              </m:r>
              <m:r>
                <m:t>2</m:t>
              </m:r>
            </m:sup>
          </m:sSup>
          <m:r>
            <m:rPr>
              <m:sty m:val="p"/>
            </m:rPr>
            <m:t>.</m:t>
          </m:r>
        </m:oMath>
      </m:oMathPara>
    </w:p>
    <w:p>
      <w:pPr>
        <w:pStyle w:val="FirstParagraph"/>
      </w:pPr>
      <w:r>
        <w:t xml:space="preserve">When a stable basis representation inside a clustered subspace is required, we apply an orthogonal Procrustes rotation [42],</w:t>
      </w:r>
    </w:p>
    <w:p>
      <w:pPr>
        <w:pStyle w:val="BodyText"/>
      </w:pPr>
      <m:oMathPara>
        <m:oMathParaPr>
          <m:jc m:val="center"/>
        </m:oMathParaPr>
        <m:oMath>
          <m:sSub>
            <m:e>
              <m:acc>
                <m:accPr>
                  <m:chr m:val="̃"/>
                </m:accPr>
                <m:e>
                  <m:r>
                    <m:t>Q</m:t>
                  </m:r>
                </m:e>
              </m:acc>
            </m:e>
            <m:sub>
              <m:r>
                <m:t>s</m:t>
              </m:r>
            </m:sub>
          </m:sSub>
          <m:r>
            <m:rPr>
              <m:sty m:val="p"/>
            </m:rPr>
            <m:t>=</m:t>
          </m:r>
          <m:sSub>
            <m:e>
              <m:r>
                <m:t>Q</m:t>
              </m:r>
            </m:e>
            <m:sub>
              <m:r>
                <m:t>s</m:t>
              </m:r>
            </m:sub>
          </m:sSub>
          <m:r>
            <m:t> </m:t>
          </m:r>
          <m:r>
            <m:rPr>
              <m:sty m:val="p"/>
            </m:rPr>
            <m:t>(</m:t>
          </m:r>
          <m:r>
            <m:t>V</m:t>
          </m:r>
          <m:sSup>
            <m:e>
              <m:r>
                <m:t>U</m:t>
              </m:r>
            </m:e>
            <m:sup>
              <m:r>
                <m:rPr>
                  <m:sty m:val="p"/>
                </m:rPr>
                <m:t>⊤</m:t>
              </m:r>
            </m:sup>
          </m:sSup>
          <m:r>
            <m:rPr>
              <m:sty m:val="p"/>
            </m:rPr>
            <m:t>)</m:t>
          </m:r>
          <m:r>
            <m:rPr>
              <m:sty m:val="p"/>
            </m:rPr>
            <m:t>,</m:t>
          </m:r>
        </m:oMath>
      </m:oMathPara>
    </w:p>
    <w:p>
      <w:pPr>
        <w:pStyle w:val="FirstParagraph"/>
      </w:pPr>
      <w:r>
        <w:t xml:space="preserve">which minimises the Euclidean distance to</w:t>
      </w:r>
      <w:r>
        <w:t xml:space="preserve"> </w:t>
      </w:r>
      <m:oMath>
        <m:sSub>
          <m:e>
            <m:r>
              <m:t>Q</m:t>
            </m:r>
          </m:e>
          <m:sub>
            <m:r>
              <m:rPr>
                <m:sty m:val="p"/>
              </m:rPr>
              <m:t>r</m:t>
            </m:r>
            <m:r>
              <m:rPr>
                <m:sty m:val="p"/>
              </m:rPr>
              <m:t>e</m:t>
            </m:r>
            <m:r>
              <m:rPr>
                <m:sty m:val="p"/>
              </m:rPr>
              <m:t>f</m:t>
            </m:r>
          </m:sub>
        </m:sSub>
      </m:oMath>
      <w:r>
        <w:t xml:space="preserve"> </w:t>
      </w:r>
      <w:r>
        <w:t xml:space="preserve">while preserving</w:t>
      </w:r>
      <w:r>
        <w:t xml:space="preserve"> </w:t>
      </w:r>
      <m:oMath>
        <m:r>
          <m:rPr>
            <m:sty m:val="p"/>
          </m:rPr>
          <m:t>s</m:t>
        </m:r>
        <m:r>
          <m:rPr>
            <m:sty m:val="p"/>
          </m:rPr>
          <m:t>p</m:t>
        </m:r>
        <m:r>
          <m:rPr>
            <m:sty m:val="p"/>
          </m:rPr>
          <m:t>a</m:t>
        </m:r>
        <m:r>
          <m:rPr>
            <m:sty m:val="p"/>
          </m:rPr>
          <m:t>n</m:t>
        </m:r>
        <m:r>
          <m:rPr>
            <m:sty m:val="p"/>
          </m:rPr>
          <m:t>(</m:t>
        </m:r>
        <m:sSub>
          <m:e>
            <m:r>
              <m:t>Q</m:t>
            </m:r>
          </m:e>
          <m:sub>
            <m:r>
              <m:t>s</m:t>
            </m:r>
          </m:sub>
        </m:sSub>
        <m:r>
          <m:rPr>
            <m:sty m:val="p"/>
          </m:rPr>
          <m:t>)</m:t>
        </m:r>
      </m:oMath>
      <w:r>
        <w:t xml:space="preserve">.</w:t>
      </w:r>
      <w:r>
        <w:t xml:space="preserve"> </w:t>
      </w:r>
      <w:r>
        <w:t xml:space="preserve">All quantitative biological comparisons use basis-invariant scalars derived from (14)–(15) or from the canonical-basis construction below.</w:t>
      </w:r>
    </w:p>
    <w:p>
      <w:pPr>
        <w:pStyle w:val="BodyText"/>
      </w:pPr>
      <w:r>
        <w:rPr>
          <w:bCs/>
          <w:b/>
        </w:rPr>
        <w:t xml:space="preserve">Degeneracy vs. near-degenerate mixing.</w:t>
      </w:r>
      <w:r>
        <w:t xml:space="preserve"> </w:t>
      </w:r>
      <w:r>
        <w:t xml:space="preserve">True multiplicity requires</w:t>
      </w:r>
      <w:r>
        <w:t xml:space="preserve"> </w:t>
      </w:r>
      <m:oMath>
        <m:sSub>
          <m:e>
            <m:r>
              <m:rPr>
                <m:sty m:val="p"/>
              </m:rPr>
              <m:t>g</m:t>
            </m:r>
            <m:r>
              <m:rPr>
                <m:sty m:val="p"/>
              </m:rPr>
              <m:t>a</m:t>
            </m:r>
            <m:r>
              <m:rPr>
                <m:sty m:val="p"/>
              </m:rPr>
              <m:t>p</m:t>
            </m:r>
          </m:e>
          <m:sub>
            <m:r>
              <m:rPr>
                <m:sty m:val="p"/>
              </m:rPr>
              <m:t>i</m:t>
            </m:r>
            <m:r>
              <m:rPr>
                <m:sty m:val="p"/>
              </m:rPr>
              <m:t>n</m:t>
            </m:r>
          </m:sub>
        </m:sSub>
        <m:r>
          <m:rPr>
            <m:sty m:val="p"/>
          </m:rPr>
          <m:t>(</m:t>
        </m:r>
        <m:r>
          <m:t>k</m:t>
        </m:r>
        <m:r>
          <m:rPr>
            <m:sty m:val="p"/>
          </m:rPr>
          <m:t>)</m:t>
        </m:r>
        <m:r>
          <m:rPr>
            <m:sty m:val="p"/>
          </m:rPr>
          <m:t>≤</m:t>
        </m:r>
        <m:sSub>
          <m:e>
            <m:r>
              <m:t>ε</m:t>
            </m:r>
          </m:e>
          <m:sub>
            <m:r>
              <m:rPr>
                <m:sty m:val="p"/>
              </m:rPr>
              <m:t>d</m:t>
            </m:r>
            <m:r>
              <m:rPr>
                <m:sty m:val="p"/>
              </m:rPr>
              <m:t>e</m:t>
            </m:r>
            <m:r>
              <m:rPr>
                <m:sty m:val="p"/>
              </m:rPr>
              <m:t>g</m:t>
            </m:r>
          </m:sub>
        </m:sSub>
      </m:oMath>
      <w:r>
        <w:t xml:space="preserve"> </w:t>
      </w:r>
      <w:r>
        <w:t xml:space="preserve">for all</w:t>
      </w:r>
      <w:r>
        <w:t xml:space="preserve"> </w:t>
      </w:r>
      <m:oMath>
        <m:r>
          <m:t>k</m:t>
        </m:r>
      </m:oMath>
      <w:r>
        <w:t xml:space="preserve"> </w:t>
      </w:r>
      <w:r>
        <w:t xml:space="preserve">in the block, with</w:t>
      </w:r>
      <w:r>
        <w:t xml:space="preserve"> </w:t>
      </w:r>
      <m:oMath>
        <m:sSub>
          <m:e>
            <m:r>
              <m:t>ε</m:t>
            </m:r>
          </m:e>
          <m:sub>
            <m:r>
              <m:rPr>
                <m:sty m:val="p"/>
              </m:rPr>
              <m:t>d</m:t>
            </m:r>
            <m:r>
              <m:rPr>
                <m:sty m:val="p"/>
              </m:rPr>
              <m:t>e</m:t>
            </m:r>
            <m:r>
              <m:rPr>
                <m:sty m:val="p"/>
              </m:rPr>
              <m:t>g</m:t>
            </m:r>
          </m:sub>
        </m:sSub>
        <m:r>
          <m:rPr>
            <m:sty m:val="p"/>
          </m:rPr>
          <m:t>≪</m:t>
        </m:r>
        <m:sSub>
          <m:e>
            <m:r>
              <m:t>ε</m:t>
            </m:r>
          </m:e>
          <m:sub>
            <m:r>
              <m:rPr>
                <m:sty m:val="p"/>
              </m:rPr>
              <m:t>i</m:t>
            </m:r>
            <m:r>
              <m:rPr>
                <m:sty m:val="p"/>
              </m:rPr>
              <m:t>n</m:t>
            </m:r>
          </m:sub>
        </m:sSub>
      </m:oMath>
      <w:r>
        <w:t xml:space="preserve">; individual eigenvectors inside a degenerate subspace are then not unique, and any unitary rotation inside</w:t>
      </w:r>
      <w:r>
        <w:t xml:space="preserve"> </w:t>
      </w:r>
      <m:oMath>
        <m:r>
          <m:rPr>
            <m:sty m:val="p"/>
          </m:rPr>
          <m:t>s</m:t>
        </m:r>
        <m:r>
          <m:rPr>
            <m:sty m:val="p"/>
          </m:rPr>
          <m:t>p</m:t>
        </m:r>
        <m:r>
          <m:rPr>
            <m:sty m:val="p"/>
          </m:rPr>
          <m:t>a</m:t>
        </m:r>
        <m:r>
          <m:rPr>
            <m:sty m:val="p"/>
          </m:rPr>
          <m:t>n</m:t>
        </m:r>
        <m:r>
          <m:rPr>
            <m:sty m:val="p"/>
          </m:rPr>
          <m:t>(</m:t>
        </m:r>
        <m:sSub>
          <m:e>
            <m:r>
              <m:t>Q</m:t>
            </m:r>
          </m:e>
          <m:sub>
            <m:r>
              <m:t>s</m:t>
            </m:r>
          </m:sub>
        </m:sSub>
        <m:r>
          <m:rPr>
            <m:sty m:val="p"/>
          </m:rPr>
          <m:t>)</m:t>
        </m:r>
      </m:oMath>
      <w:r>
        <w:t xml:space="preserve"> </w:t>
      </w:r>
      <w:r>
        <w:t xml:space="preserve">is an equally valid basis.</w:t>
      </w:r>
      <w:r>
        <w:t xml:space="preserve"> </w:t>
      </w:r>
      <w:r>
        <w:t xml:space="preserve">When</w:t>
      </w:r>
      <w:r>
        <w:t xml:space="preserve"> </w:t>
      </w:r>
      <m:oMath>
        <m:sSub>
          <m:e>
            <m:r>
              <m:t>ε</m:t>
            </m:r>
          </m:e>
          <m:sub>
            <m:r>
              <m:rPr>
                <m:sty m:val="p"/>
              </m:rPr>
              <m:t>d</m:t>
            </m:r>
            <m:r>
              <m:rPr>
                <m:sty m:val="p"/>
              </m:rPr>
              <m:t>e</m:t>
            </m:r>
            <m:r>
              <m:rPr>
                <m:sty m:val="p"/>
              </m:rPr>
              <m:t>g</m:t>
            </m:r>
          </m:sub>
        </m:sSub>
        <m:r>
          <m:rPr>
            <m:sty m:val="p"/>
          </m:rPr>
          <m:t>&lt;</m:t>
        </m:r>
        <m:sSub>
          <m:e>
            <m:r>
              <m:rPr>
                <m:sty m:val="p"/>
              </m:rPr>
              <m:t>g</m:t>
            </m:r>
            <m:r>
              <m:rPr>
                <m:sty m:val="p"/>
              </m:rPr>
              <m:t>a</m:t>
            </m:r>
            <m:r>
              <m:rPr>
                <m:sty m:val="p"/>
              </m:rPr>
              <m:t>p</m:t>
            </m:r>
          </m:e>
          <m:sub>
            <m:r>
              <m:rPr>
                <m:sty m:val="p"/>
              </m:rPr>
              <m:t>i</m:t>
            </m:r>
            <m:r>
              <m:rPr>
                <m:sty m:val="p"/>
              </m:rPr>
              <m:t>n</m:t>
            </m:r>
          </m:sub>
        </m:sSub>
        <m:r>
          <m:rPr>
            <m:sty m:val="p"/>
          </m:rPr>
          <m:t>(</m:t>
        </m:r>
        <m:r>
          <m:t>k</m:t>
        </m:r>
        <m:r>
          <m:rPr>
            <m:sty m:val="p"/>
          </m:rPr>
          <m:t>)</m:t>
        </m:r>
        <m:r>
          <m:rPr>
            <m:sty m:val="p"/>
          </m:rPr>
          <m:t>&lt;</m:t>
        </m:r>
        <m:sSub>
          <m:e>
            <m:r>
              <m:t>ε</m:t>
            </m:r>
          </m:e>
          <m:sub>
            <m:r>
              <m:rPr>
                <m:sty m:val="p"/>
              </m:rPr>
              <m:t>i</m:t>
            </m:r>
            <m:r>
              <m:rPr>
                <m:sty m:val="p"/>
              </m:rPr>
              <m:t>n</m:t>
            </m:r>
          </m:sub>
        </m:sSub>
      </m:oMath>
      <w:r>
        <w:t xml:space="preserve"> </w:t>
      </w:r>
      <w:r>
        <w:t xml:space="preserve">the eigenvalues are close but distinct; the eigenvectors are formally unique, yet small perturbations can rotate the internal basis substantially while</w:t>
      </w:r>
      <w:r>
        <w:t xml:space="preserve"> </w:t>
      </w:r>
      <m:oMath>
        <m:r>
          <m:rPr>
            <m:sty m:val="p"/>
          </m:rPr>
          <m:t>s</m:t>
        </m:r>
        <m:r>
          <m:rPr>
            <m:sty m:val="p"/>
          </m:rPr>
          <m:t>p</m:t>
        </m:r>
        <m:r>
          <m:rPr>
            <m:sty m:val="p"/>
          </m:rPr>
          <m:t>a</m:t>
        </m:r>
        <m:r>
          <m:rPr>
            <m:sty m:val="p"/>
          </m:rPr>
          <m:t>n</m:t>
        </m:r>
        <m:r>
          <m:rPr>
            <m:sty m:val="p"/>
          </m:rPr>
          <m:t>(</m:t>
        </m:r>
        <m:sSub>
          <m:e>
            <m:r>
              <m:t>Q</m:t>
            </m:r>
          </m:e>
          <m:sub>
            <m:r>
              <m:t>s</m:t>
            </m:r>
          </m:sub>
        </m:sSub>
        <m:r>
          <m:rPr>
            <m:sty m:val="p"/>
          </m:rPr>
          <m:t>)</m:t>
        </m:r>
      </m:oMath>
      <w:r>
        <w:t xml:space="preserve"> </w:t>
      </w:r>
      <w:r>
        <w:t xml:space="preserve">itself remains nearly preserved.</w:t>
      </w:r>
      <w:r>
        <w:t xml:space="preserve"> </w:t>
      </w:r>
      <w:r>
        <w:t xml:space="preserve">This is the regime in which label exchange occurs without loss of the block-level mechanical content.</w:t>
      </w:r>
    </w:p>
    <w:bookmarkEnd w:id="47"/>
    <w:bookmarkStart w:id="48" w:name="X5371c26c5e27d84e09b3702ca22eed8bbab6add"/>
    <w:p>
      <w:pPr>
        <w:pStyle w:val="Heading2"/>
      </w:pPr>
      <w:r>
        <w:t xml:space="preserve">Canonical anatomical functionals inside clustered subspaces</w:t>
      </w:r>
    </w:p>
    <w:p>
      <w:pPr>
        <w:pStyle w:val="FirstParagraph"/>
      </w:pPr>
      <w:r>
        <w:t xml:space="preserve">To interpret clustered subspaces biologically we use basis-invariant linear functionals defined by pairs of pelvic landmarks.</w:t>
      </w:r>
      <w:r>
        <w:t xml:space="preserve"> </w:t>
      </w:r>
      <w:r>
        <w:t xml:space="preserve">Let</w:t>
      </w:r>
      <w:r>
        <w:t xml:space="preserve"> </w:t>
      </w:r>
      <m:oMath>
        <m:r>
          <m:rPr>
            <m:sty m:val="p"/>
          </m:rPr>
          <m:t>(</m:t>
        </m:r>
        <m:sSub>
          <m:e>
            <m:r>
              <m:t>X</m:t>
            </m:r>
          </m:e>
          <m:sub>
            <m:r>
              <m:rPr>
                <m:sty m:val="p"/>
              </m:rPr>
              <m:t>a</m:t>
            </m:r>
            <m:r>
              <m:rPr>
                <m:sty m:val="p"/>
              </m:rPr>
              <m:t>n</m:t>
            </m:r>
            <m:r>
              <m:rPr>
                <m:sty m:val="p"/>
              </m:rPr>
              <m:t>t</m:t>
            </m:r>
          </m:sub>
        </m:sSub>
        <m:r>
          <m:rPr>
            <m:sty m:val="p"/>
          </m:rPr>
          <m:t>,</m:t>
        </m:r>
        <m:sSub>
          <m:e>
            <m:r>
              <m:t>X</m:t>
            </m:r>
          </m:e>
          <m:sub>
            <m:r>
              <m:rPr>
                <m:sty m:val="p"/>
              </m:rPr>
              <m:t>p</m:t>
            </m:r>
            <m:r>
              <m:rPr>
                <m:sty m:val="p"/>
              </m:rPr>
              <m:t>o</m:t>
            </m:r>
            <m:r>
              <m:rPr>
                <m:sty m:val="p"/>
              </m:rPr>
              <m:t>s</m:t>
            </m:r>
            <m:r>
              <m:rPr>
                <m:sty m:val="p"/>
              </m:rPr>
              <m:t>t</m:t>
            </m:r>
          </m:sub>
        </m:sSub>
        <m:r>
          <m:rPr>
            <m:sty m:val="p"/>
          </m:rPr>
          <m:t>)</m:t>
        </m:r>
      </m:oMath>
      <w:r>
        <w:t xml:space="preserve"> </w:t>
      </w:r>
      <w:r>
        <w:t xml:space="preserve">and</w:t>
      </w:r>
      <w:r>
        <w:t xml:space="preserve"> </w:t>
      </w:r>
      <m:oMath>
        <m:r>
          <m:rPr>
            <m:sty m:val="p"/>
          </m:rPr>
          <m:t>(</m:t>
        </m:r>
        <m:sSub>
          <m:e>
            <m:r>
              <m:t>X</m:t>
            </m:r>
          </m:e>
          <m:sub>
            <m:r>
              <m:rPr>
                <m:sty m:val="p"/>
              </m:rPr>
              <m:t>l</m:t>
            </m:r>
            <m:r>
              <m:rPr>
                <m:sty m:val="p"/>
              </m:rPr>
              <m:t>e</m:t>
            </m:r>
            <m:r>
              <m:rPr>
                <m:sty m:val="p"/>
              </m:rPr>
              <m:t>f</m:t>
            </m:r>
            <m:r>
              <m:rPr>
                <m:sty m:val="p"/>
              </m:rPr>
              <m:t>t</m:t>
            </m:r>
          </m:sub>
        </m:sSub>
        <m:r>
          <m:rPr>
            <m:sty m:val="p"/>
          </m:rPr>
          <m:t>,</m:t>
        </m:r>
        <m:sSub>
          <m:e>
            <m:r>
              <m:t>X</m:t>
            </m:r>
          </m:e>
          <m:sub>
            <m:r>
              <m:rPr>
                <m:sty m:val="p"/>
              </m:rPr>
              <m:t>r</m:t>
            </m:r>
            <m:r>
              <m:rPr>
                <m:sty m:val="p"/>
              </m:rPr>
              <m:t>i</m:t>
            </m:r>
            <m:r>
              <m:rPr>
                <m:sty m:val="p"/>
              </m:rPr>
              <m:t>g</m:t>
            </m:r>
            <m:r>
              <m:rPr>
                <m:sty m:val="p"/>
              </m:rPr>
              <m:t>h</m:t>
            </m:r>
            <m:r>
              <m:rPr>
                <m:sty m:val="p"/>
              </m:rPr>
              <m:t>t</m:t>
            </m:r>
          </m:sub>
        </m:sSub>
        <m:r>
          <m:rPr>
            <m:sty m:val="p"/>
          </m:rPr>
          <m:t>)</m:t>
        </m:r>
      </m:oMath>
      <w:r>
        <w:t xml:space="preserve"> </w:t>
      </w:r>
      <w:r>
        <w:t xml:space="preserve">denote the anteroposterior and mediolateral inlet landmarks on the template.</w:t>
      </w:r>
      <w:r>
        <w:t xml:space="preserve"> </w:t>
      </w:r>
      <w:r>
        <w:t xml:space="preserve">Patient-specific unit directions follow the registered positions</w:t>
      </w:r>
      <w:r>
        <w:t xml:space="preserve"> </w:t>
      </w:r>
      <m:oMath>
        <m:sSup>
          <m:e>
            <m:r>
              <m:t>X</m:t>
            </m:r>
          </m:e>
          <m:sup>
            <m:r>
              <m:t>s</m:t>
            </m:r>
          </m:sup>
        </m:sSup>
        <m:r>
          <m:rPr>
            <m:sty m:val="p"/>
          </m:rPr>
          <m:t>=</m:t>
        </m:r>
        <m:r>
          <m:t>X</m:t>
        </m:r>
        <m:r>
          <m:rPr>
            <m:sty m:val="p"/>
          </m:rPr>
          <m:t>+</m:t>
        </m:r>
        <m:sSub>
          <m:e>
            <m:r>
              <m:t>φ</m:t>
            </m:r>
          </m:e>
          <m:sub>
            <m:r>
              <m:t>s</m:t>
            </m:r>
          </m:sub>
        </m:sSub>
        <m:r>
          <m:rPr>
            <m:sty m:val="p"/>
          </m:rPr>
          <m:t>(</m:t>
        </m:r>
        <m:r>
          <m:t>X</m:t>
        </m:r>
        <m:r>
          <m:rPr>
            <m:sty m:val="p"/>
          </m:rPr>
          <m:t>)</m:t>
        </m:r>
      </m:oMath>
      <w:r>
        <w:t xml:space="preserve">,</w:t>
      </w:r>
    </w:p>
    <w:p>
      <w:pPr>
        <w:pStyle w:val="BodyText"/>
      </w:pPr>
      <m:oMathPara>
        <m:oMathParaPr>
          <m:jc m:val="center"/>
        </m:oMathParaPr>
        <m:oMath>
          <m:sSubSup>
            <m:e>
              <m:r>
                <m:rPr>
                  <m:sty m:val="b"/>
                </m:rPr>
                <m:t>e</m:t>
              </m:r>
            </m:e>
            <m:sub>
              <m:r>
                <m:rPr>
                  <m:sty m:val="p"/>
                </m:rPr>
                <m:t>A</m:t>
              </m:r>
              <m:r>
                <m:rPr>
                  <m:sty m:val="p"/>
                </m:rPr>
                <m:t>P</m:t>
              </m:r>
            </m:sub>
            <m:sup>
              <m:r>
                <m:rPr>
                  <m:sty m:val="p"/>
                </m:rPr>
                <m:t>(</m:t>
              </m:r>
              <m:r>
                <m:t>s</m:t>
              </m:r>
              <m:r>
                <m:rPr>
                  <m:sty m:val="p"/>
                </m:rPr>
                <m:t>)</m:t>
              </m:r>
            </m:sup>
          </m:sSubSup>
          <m:r>
            <m:rPr>
              <m:sty m:val="p"/>
            </m:rPr>
            <m:t>=</m:t>
          </m:r>
          <m:f>
            <m:fPr>
              <m:type m:val="bar"/>
            </m:fPr>
            <m:num>
              <m:sSubSup>
                <m:e>
                  <m:r>
                    <m:t>X</m:t>
                  </m:r>
                </m:e>
                <m:sub>
                  <m:r>
                    <m:rPr>
                      <m:sty m:val="p"/>
                    </m:rPr>
                    <m:t>a</m:t>
                  </m:r>
                  <m:r>
                    <m:rPr>
                      <m:sty m:val="p"/>
                    </m:rPr>
                    <m:t>n</m:t>
                  </m:r>
                  <m:r>
                    <m:rPr>
                      <m:sty m:val="p"/>
                    </m:rPr>
                    <m:t>t</m:t>
                  </m:r>
                </m:sub>
                <m:sup>
                  <m:r>
                    <m:t>s</m:t>
                  </m:r>
                </m:sup>
              </m:sSubSup>
              <m:r>
                <m:rPr>
                  <m:sty m:val="p"/>
                </m:rPr>
                <m:t>−</m:t>
              </m:r>
              <m:sSubSup>
                <m:e>
                  <m:r>
                    <m:t>X</m:t>
                  </m:r>
                </m:e>
                <m:sub>
                  <m:r>
                    <m:rPr>
                      <m:sty m:val="p"/>
                    </m:rPr>
                    <m:t>p</m:t>
                  </m:r>
                  <m:r>
                    <m:rPr>
                      <m:sty m:val="p"/>
                    </m:rPr>
                    <m:t>o</m:t>
                  </m:r>
                  <m:r>
                    <m:rPr>
                      <m:sty m:val="p"/>
                    </m:rPr>
                    <m:t>s</m:t>
                  </m:r>
                  <m:r>
                    <m:rPr>
                      <m:sty m:val="p"/>
                    </m:rPr>
                    <m:t>t</m:t>
                  </m:r>
                </m:sub>
                <m:sup>
                  <m:r>
                    <m:t>s</m:t>
                  </m:r>
                </m:sup>
              </m:sSubSup>
            </m:num>
            <m:den>
              <m:r>
                <m:rPr>
                  <m:sty m:val="p"/>
                </m:rPr>
                <m:t>∥</m:t>
              </m:r>
              <m:sSubSup>
                <m:e>
                  <m:r>
                    <m:t>X</m:t>
                  </m:r>
                </m:e>
                <m:sub>
                  <m:r>
                    <m:rPr>
                      <m:sty m:val="p"/>
                    </m:rPr>
                    <m:t>a</m:t>
                  </m:r>
                  <m:r>
                    <m:rPr>
                      <m:sty m:val="p"/>
                    </m:rPr>
                    <m:t>n</m:t>
                  </m:r>
                  <m:r>
                    <m:rPr>
                      <m:sty m:val="p"/>
                    </m:rPr>
                    <m:t>t</m:t>
                  </m:r>
                </m:sub>
                <m:sup>
                  <m:r>
                    <m:t>s</m:t>
                  </m:r>
                </m:sup>
              </m:sSubSup>
              <m:r>
                <m:rPr>
                  <m:sty m:val="p"/>
                </m:rPr>
                <m:t>−</m:t>
              </m:r>
              <m:sSubSup>
                <m:e>
                  <m:r>
                    <m:t>X</m:t>
                  </m:r>
                </m:e>
                <m:sub>
                  <m:r>
                    <m:rPr>
                      <m:sty m:val="p"/>
                    </m:rPr>
                    <m:t>p</m:t>
                  </m:r>
                  <m:r>
                    <m:rPr>
                      <m:sty m:val="p"/>
                    </m:rPr>
                    <m:t>o</m:t>
                  </m:r>
                  <m:r>
                    <m:rPr>
                      <m:sty m:val="p"/>
                    </m:rPr>
                    <m:t>s</m:t>
                  </m:r>
                  <m:r>
                    <m:rPr>
                      <m:sty m:val="p"/>
                    </m:rPr>
                    <m:t>t</m:t>
                  </m:r>
                </m:sub>
                <m:sup>
                  <m:r>
                    <m:t>s</m:t>
                  </m:r>
                </m:sup>
              </m:sSubSup>
              <m:r>
                <m:rPr>
                  <m:sty m:val="p"/>
                </m:rPr>
                <m:t>∥</m:t>
              </m:r>
            </m:den>
          </m:f>
          <m:r>
            <m:rPr>
              <m:sty m:val="p"/>
            </m:rPr>
            <m:t>,</m:t>
          </m:r>
          <m:r>
            <m:t>  </m:t>
          </m:r>
          <m:sSubSup>
            <m:e>
              <m:r>
                <m:rPr>
                  <m:sty m:val="b"/>
                </m:rPr>
                <m:t>e</m:t>
              </m:r>
            </m:e>
            <m:sub>
              <m:r>
                <m:rPr>
                  <m:sty m:val="p"/>
                </m:rPr>
                <m:t>M</m:t>
              </m:r>
              <m:r>
                <m:rPr>
                  <m:sty m:val="p"/>
                </m:rPr>
                <m:t>L</m:t>
              </m:r>
            </m:sub>
            <m:sup>
              <m:r>
                <m:rPr>
                  <m:sty m:val="p"/>
                </m:rPr>
                <m:t>(</m:t>
              </m:r>
              <m:r>
                <m:t>s</m:t>
              </m:r>
              <m:r>
                <m:rPr>
                  <m:sty m:val="p"/>
                </m:rPr>
                <m:t>)</m:t>
              </m:r>
            </m:sup>
          </m:sSubSup>
          <m:r>
            <m:rPr>
              <m:sty m:val="p"/>
            </m:rPr>
            <m:t>=</m:t>
          </m:r>
          <m:f>
            <m:fPr>
              <m:type m:val="bar"/>
            </m:fPr>
            <m:num>
              <m:sSubSup>
                <m:e>
                  <m:r>
                    <m:t>X</m:t>
                  </m:r>
                </m:e>
                <m:sub>
                  <m:r>
                    <m:rPr>
                      <m:sty m:val="p"/>
                    </m:rPr>
                    <m:t>r</m:t>
                  </m:r>
                  <m:r>
                    <m:rPr>
                      <m:sty m:val="p"/>
                    </m:rPr>
                    <m:t>i</m:t>
                  </m:r>
                  <m:r>
                    <m:rPr>
                      <m:sty m:val="p"/>
                    </m:rPr>
                    <m:t>g</m:t>
                  </m:r>
                  <m:r>
                    <m:rPr>
                      <m:sty m:val="p"/>
                    </m:rPr>
                    <m:t>h</m:t>
                  </m:r>
                  <m:r>
                    <m:rPr>
                      <m:sty m:val="p"/>
                    </m:rPr>
                    <m:t>t</m:t>
                  </m:r>
                </m:sub>
                <m:sup>
                  <m:r>
                    <m:t>s</m:t>
                  </m:r>
                </m:sup>
              </m:sSubSup>
              <m:r>
                <m:rPr>
                  <m:sty m:val="p"/>
                </m:rPr>
                <m:t>−</m:t>
              </m:r>
              <m:sSubSup>
                <m:e>
                  <m:r>
                    <m:t>X</m:t>
                  </m:r>
                </m:e>
                <m:sub>
                  <m:r>
                    <m:rPr>
                      <m:sty m:val="p"/>
                    </m:rPr>
                    <m:t>l</m:t>
                  </m:r>
                  <m:r>
                    <m:rPr>
                      <m:sty m:val="p"/>
                    </m:rPr>
                    <m:t>e</m:t>
                  </m:r>
                  <m:r>
                    <m:rPr>
                      <m:sty m:val="p"/>
                    </m:rPr>
                    <m:t>f</m:t>
                  </m:r>
                  <m:r>
                    <m:rPr>
                      <m:sty m:val="p"/>
                    </m:rPr>
                    <m:t>t</m:t>
                  </m:r>
                </m:sub>
                <m:sup>
                  <m:r>
                    <m:t>s</m:t>
                  </m:r>
                </m:sup>
              </m:sSubSup>
            </m:num>
            <m:den>
              <m:r>
                <m:rPr>
                  <m:sty m:val="p"/>
                </m:rPr>
                <m:t>∥</m:t>
              </m:r>
              <m:sSubSup>
                <m:e>
                  <m:r>
                    <m:t>X</m:t>
                  </m:r>
                </m:e>
                <m:sub>
                  <m:r>
                    <m:rPr>
                      <m:sty m:val="p"/>
                    </m:rPr>
                    <m:t>r</m:t>
                  </m:r>
                  <m:r>
                    <m:rPr>
                      <m:sty m:val="p"/>
                    </m:rPr>
                    <m:t>i</m:t>
                  </m:r>
                  <m:r>
                    <m:rPr>
                      <m:sty m:val="p"/>
                    </m:rPr>
                    <m:t>g</m:t>
                  </m:r>
                  <m:r>
                    <m:rPr>
                      <m:sty m:val="p"/>
                    </m:rPr>
                    <m:t>h</m:t>
                  </m:r>
                  <m:r>
                    <m:rPr>
                      <m:sty m:val="p"/>
                    </m:rPr>
                    <m:t>t</m:t>
                  </m:r>
                </m:sub>
                <m:sup>
                  <m:r>
                    <m:t>s</m:t>
                  </m:r>
                </m:sup>
              </m:sSubSup>
              <m:r>
                <m:rPr>
                  <m:sty m:val="p"/>
                </m:rPr>
                <m:t>−</m:t>
              </m:r>
              <m:sSubSup>
                <m:e>
                  <m:r>
                    <m:t>X</m:t>
                  </m:r>
                </m:e>
                <m:sub>
                  <m:r>
                    <m:rPr>
                      <m:sty m:val="p"/>
                    </m:rPr>
                    <m:t>l</m:t>
                  </m:r>
                  <m:r>
                    <m:rPr>
                      <m:sty m:val="p"/>
                    </m:rPr>
                    <m:t>e</m:t>
                  </m:r>
                  <m:r>
                    <m:rPr>
                      <m:sty m:val="p"/>
                    </m:rPr>
                    <m:t>f</m:t>
                  </m:r>
                  <m:r>
                    <m:rPr>
                      <m:sty m:val="p"/>
                    </m:rPr>
                    <m:t>t</m:t>
                  </m:r>
                </m:sub>
                <m:sup>
                  <m:r>
                    <m:t>s</m:t>
                  </m:r>
                </m:sup>
              </m:sSubSup>
              <m:r>
                <m:rPr>
                  <m:sty m:val="p"/>
                </m:rPr>
                <m:t>∥</m:t>
              </m:r>
            </m:den>
          </m:f>
          <m:r>
            <m:rPr>
              <m:sty m:val="p"/>
            </m:rPr>
            <m:t>,</m:t>
          </m:r>
        </m:oMath>
      </m:oMathPara>
    </w:p>
    <w:p>
      <w:pPr>
        <w:pStyle w:val="FirstParagraph"/>
      </w:pPr>
      <w:r>
        <w:t xml:space="preserve">and the inlet opening scores for a displacement field</w:t>
      </w:r>
      <w:r>
        <w:t xml:space="preserve"> </w:t>
      </w:r>
      <m:oMath>
        <m:r>
          <m:rPr>
            <m:sty m:val="b"/>
          </m:rPr>
          <m:t>u</m:t>
        </m:r>
      </m:oMath>
      <w:r>
        <w:t xml:space="preserve"> </w:t>
      </w:r>
      <w:r>
        <w:t xml:space="preserve">are the linear functionals</w:t>
      </w:r>
    </w:p>
    <w:p>
      <w:pPr>
        <w:pStyle w:val="BodyText"/>
      </w:pPr>
      <m:oMathPara>
        <m:oMathParaPr>
          <m:jc m:val="center"/>
        </m:oMathParaPr>
        <m:oMath>
          <m:sSubSup>
            <m:e>
              <m:r>
                <m:t>s</m:t>
              </m:r>
            </m:e>
            <m:sub>
              <m:r>
                <m:rPr>
                  <m:sty m:val="p"/>
                </m:rPr>
                <m:t>A</m:t>
              </m:r>
              <m:r>
                <m:rPr>
                  <m:sty m:val="p"/>
                </m:rPr>
                <m:t>P</m:t>
              </m:r>
            </m:sub>
            <m:sup>
              <m:r>
                <m:rPr>
                  <m:sty m:val="p"/>
                </m:rPr>
                <m:t>(</m:t>
              </m:r>
              <m:r>
                <m:t>s</m:t>
              </m:r>
              <m:r>
                <m:rPr>
                  <m:sty m:val="p"/>
                </m:rPr>
                <m:t>)</m:t>
              </m:r>
            </m:sup>
          </m:sSubSup>
          <m:r>
            <m:rPr>
              <m:sty m:val="p"/>
            </m:rPr>
            <m:t>(</m:t>
          </m:r>
          <m:r>
            <m:rPr>
              <m:sty m:val="b"/>
            </m:rPr>
            <m:t>u</m:t>
          </m:r>
          <m:r>
            <m:rPr>
              <m:sty m:val="p"/>
            </m:rPr>
            <m:t>)</m:t>
          </m:r>
          <m:r>
            <m:rPr>
              <m:sty m:val="p"/>
            </m:rPr>
            <m:t>=</m:t>
          </m:r>
          <m:sSubSup>
            <m:e>
              <m:r>
                <m:rPr>
                  <m:sty m:val="b"/>
                </m:rPr>
                <m:t>e</m:t>
              </m:r>
            </m:e>
            <m:sub>
              <m:r>
                <m:rPr>
                  <m:sty m:val="p"/>
                </m:rPr>
                <m:t>A</m:t>
              </m:r>
              <m:r>
                <m:rPr>
                  <m:sty m:val="p"/>
                </m:rPr>
                <m:t>P</m:t>
              </m:r>
            </m:sub>
            <m:sup>
              <m:r>
                <m:rPr>
                  <m:sty m:val="p"/>
                </m:rPr>
                <m:t>(</m:t>
              </m:r>
              <m:r>
                <m:t>s</m:t>
              </m:r>
              <m:r>
                <m:rPr>
                  <m:sty m:val="p"/>
                </m:rPr>
                <m:t>)</m:t>
              </m:r>
              <m:r>
                <m:rPr>
                  <m:sty m:val="p"/>
                </m:rPr>
                <m:t>⊤</m:t>
              </m:r>
            </m:sup>
          </m:sSubSup>
          <m:r>
            <m:t>​</m:t>
          </m:r>
          <m:r>
            <m:rPr>
              <m:sty m:val="p"/>
            </m:rPr>
            <m:t>(</m:t>
          </m:r>
          <m:r>
            <m:rPr>
              <m:sty m:val="b"/>
            </m:rPr>
            <m:t>u</m:t>
          </m:r>
          <m:r>
            <m:rPr>
              <m:sty m:val="p"/>
            </m:rPr>
            <m:t>(</m:t>
          </m:r>
          <m:sSub>
            <m:e>
              <m:r>
                <m:t>X</m:t>
              </m:r>
            </m:e>
            <m:sub>
              <m:r>
                <m:rPr>
                  <m:sty m:val="p"/>
                </m:rPr>
                <m:t>a</m:t>
              </m:r>
              <m:r>
                <m:rPr>
                  <m:sty m:val="p"/>
                </m:rPr>
                <m:t>n</m:t>
              </m:r>
              <m:r>
                <m:rPr>
                  <m:sty m:val="p"/>
                </m:rPr>
                <m:t>t</m:t>
              </m:r>
            </m:sub>
          </m:sSub>
          <m:r>
            <m:rPr>
              <m:sty m:val="p"/>
            </m:rPr>
            <m:t>)</m:t>
          </m:r>
          <m:r>
            <m:rPr>
              <m:sty m:val="p"/>
            </m:rPr>
            <m:t>−</m:t>
          </m:r>
          <m:r>
            <m:rPr>
              <m:sty m:val="b"/>
            </m:rPr>
            <m:t>u</m:t>
          </m:r>
          <m:r>
            <m:rPr>
              <m:sty m:val="p"/>
            </m:rPr>
            <m:t>(</m:t>
          </m:r>
          <m:sSub>
            <m:e>
              <m:r>
                <m:t>X</m:t>
              </m:r>
            </m:e>
            <m:sub>
              <m:r>
                <m:rPr>
                  <m:sty m:val="p"/>
                </m:rPr>
                <m:t>p</m:t>
              </m:r>
              <m:r>
                <m:rPr>
                  <m:sty m:val="p"/>
                </m:rPr>
                <m:t>o</m:t>
              </m:r>
              <m:r>
                <m:rPr>
                  <m:sty m:val="p"/>
                </m:rPr>
                <m:t>s</m:t>
              </m:r>
              <m:r>
                <m:rPr>
                  <m:sty m:val="p"/>
                </m:rPr>
                <m:t>t</m:t>
              </m:r>
            </m:sub>
          </m:sSub>
          <m:r>
            <m:rPr>
              <m:sty m:val="p"/>
            </m:rPr>
            <m:t>)</m:t>
          </m:r>
          <m:r>
            <m:rPr>
              <m:sty m:val="p"/>
            </m:rPr>
            <m:t>)</m:t>
          </m:r>
          <m:r>
            <m:rPr>
              <m:sty m:val="p"/>
            </m:rPr>
            <m:t>=</m:t>
          </m:r>
          <m:sSubSup>
            <m:e>
              <m:r>
                <m:rPr>
                  <m:sty m:val="b"/>
                </m:rPr>
                <m:t>b</m:t>
              </m:r>
            </m:e>
            <m:sub>
              <m:r>
                <m:rPr>
                  <m:sty m:val="p"/>
                </m:rPr>
                <m:t>A</m:t>
              </m:r>
              <m:r>
                <m:rPr>
                  <m:sty m:val="p"/>
                </m:rPr>
                <m:t>P</m:t>
              </m:r>
            </m:sub>
            <m:sup>
              <m:r>
                <m:rPr>
                  <m:sty m:val="p"/>
                </m:rPr>
                <m:t>(</m:t>
              </m:r>
              <m:r>
                <m:t>s</m:t>
              </m:r>
              <m:r>
                <m:rPr>
                  <m:sty m:val="p"/>
                </m:rPr>
                <m:t>)</m:t>
              </m:r>
              <m:r>
                <m:rPr>
                  <m:sty m:val="p"/>
                </m:rPr>
                <m:t>⊤</m:t>
              </m:r>
            </m:sup>
          </m:sSubSup>
          <m:r>
            <m:rPr>
              <m:sty m:val="b"/>
            </m:rPr>
            <m:t>u</m:t>
          </m:r>
          <m:r>
            <m:rPr>
              <m:sty m:val="p"/>
            </m:rPr>
            <m:t>,</m:t>
          </m:r>
          <m:r>
            <m:t>  </m:t>
          </m:r>
          <m:sSubSup>
            <m:e>
              <m:r>
                <m:t>s</m:t>
              </m:r>
            </m:e>
            <m:sub>
              <m:r>
                <m:rPr>
                  <m:sty m:val="p"/>
                </m:rPr>
                <m:t>M</m:t>
              </m:r>
              <m:r>
                <m:rPr>
                  <m:sty m:val="p"/>
                </m:rPr>
                <m:t>L</m:t>
              </m:r>
            </m:sub>
            <m:sup>
              <m:r>
                <m:rPr>
                  <m:sty m:val="p"/>
                </m:rPr>
                <m:t>(</m:t>
              </m:r>
              <m:r>
                <m:t>s</m:t>
              </m:r>
              <m:r>
                <m:rPr>
                  <m:sty m:val="p"/>
                </m:rPr>
                <m:t>)</m:t>
              </m:r>
            </m:sup>
          </m:sSubSup>
          <m:r>
            <m:rPr>
              <m:sty m:val="p"/>
            </m:rPr>
            <m:t>(</m:t>
          </m:r>
          <m:r>
            <m:rPr>
              <m:sty m:val="b"/>
            </m:rPr>
            <m:t>u</m:t>
          </m:r>
          <m:r>
            <m:rPr>
              <m:sty m:val="p"/>
            </m:rPr>
            <m:t>)</m:t>
          </m:r>
          <m:r>
            <m:rPr>
              <m:sty m:val="p"/>
            </m:rPr>
            <m:t>=</m:t>
          </m:r>
          <m:sSubSup>
            <m:e>
              <m:r>
                <m:rPr>
                  <m:sty m:val="b"/>
                </m:rPr>
                <m:t>b</m:t>
              </m:r>
            </m:e>
            <m:sub>
              <m:r>
                <m:rPr>
                  <m:sty m:val="p"/>
                </m:rPr>
                <m:t>M</m:t>
              </m:r>
              <m:r>
                <m:rPr>
                  <m:sty m:val="p"/>
                </m:rPr>
                <m:t>L</m:t>
              </m:r>
            </m:sub>
            <m:sup>
              <m:r>
                <m:rPr>
                  <m:sty m:val="p"/>
                </m:rPr>
                <m:t>(</m:t>
              </m:r>
              <m:r>
                <m:t>s</m:t>
              </m:r>
              <m:r>
                <m:rPr>
                  <m:sty m:val="p"/>
                </m:rPr>
                <m:t>)</m:t>
              </m:r>
              <m:r>
                <m:rPr>
                  <m:sty m:val="p"/>
                </m:rPr>
                <m:t>⊤</m:t>
              </m:r>
            </m:sup>
          </m:sSubSup>
          <m:r>
            <m:rPr>
              <m:sty m:val="b"/>
            </m:rPr>
            <m:t>u</m:t>
          </m:r>
          <m:r>
            <m:rPr>
              <m:sty m:val="p"/>
            </m:rPr>
            <m:t>,</m:t>
          </m:r>
        </m:oMath>
      </m:oMathPara>
    </w:p>
    <w:p>
      <w:pPr>
        <w:pStyle w:val="FirstParagraph"/>
      </w:pPr>
      <w:r>
        <w:t xml:space="preserve">with sparse measurement vectors</w:t>
      </w:r>
      <w:r>
        <w:t xml:space="preserve"> </w:t>
      </w:r>
      <m:oMath>
        <m:sSubSup>
          <m:e>
            <m:r>
              <m:rPr>
                <m:sty m:val="b"/>
              </m:rPr>
              <m:t>b</m:t>
            </m:r>
          </m:e>
          <m:sub>
            <m:r>
              <m:rPr>
                <m:sty m:val="p"/>
              </m:rPr>
              <m:t>A</m:t>
            </m:r>
            <m:r>
              <m:rPr>
                <m:sty m:val="p"/>
              </m:rPr>
              <m:t>P</m:t>
            </m:r>
          </m:sub>
          <m:sup>
            <m:r>
              <m:rPr>
                <m:sty m:val="p"/>
              </m:rPr>
              <m:t>(</m:t>
            </m:r>
            <m:r>
              <m:t>s</m:t>
            </m:r>
            <m:r>
              <m:rPr>
                <m:sty m:val="p"/>
              </m:rPr>
              <m:t>)</m:t>
            </m:r>
          </m:sup>
        </m:sSubSup>
        <m:r>
          <m:rPr>
            <m:sty m:val="p"/>
          </m:rPr>
          <m:t>,</m:t>
        </m:r>
        <m:sSubSup>
          <m:e>
            <m:r>
              <m:rPr>
                <m:sty m:val="b"/>
              </m:rPr>
              <m:t>b</m:t>
            </m:r>
          </m:e>
          <m:sub>
            <m:r>
              <m:rPr>
                <m:sty m:val="p"/>
              </m:rPr>
              <m:t>M</m:t>
            </m:r>
            <m:r>
              <m:rPr>
                <m:sty m:val="p"/>
              </m:rPr>
              <m:t>L</m:t>
            </m:r>
          </m:sub>
          <m:sup>
            <m:r>
              <m:rPr>
                <m:sty m:val="p"/>
              </m:rPr>
              <m:t>(</m:t>
            </m:r>
            <m:r>
              <m:t>s</m:t>
            </m:r>
            <m:r>
              <m:rPr>
                <m:sty m:val="p"/>
              </m:rPr>
              <m:t>)</m:t>
            </m:r>
          </m:sup>
        </m:sSubSup>
        <m:r>
          <m:rPr>
            <m:sty m:val="p"/>
          </m:rPr>
          <m:t>∈</m:t>
        </m:r>
        <m:sSup>
          <m:e>
            <m:r>
              <m:rPr>
                <m:sty m:val="p"/>
                <m:scr m:val="double-struck"/>
              </m:rPr>
              <m:t>R</m:t>
            </m:r>
          </m:e>
          <m:sup>
            <m:r>
              <m:t>n</m:t>
            </m:r>
          </m:sup>
        </m:sSup>
      </m:oMath>
      <w:r>
        <w:t xml:space="preserve"> </w:t>
      </w:r>
      <w:r>
        <w:t xml:space="preserve">supported at the landmark nodes.</w:t>
      </w:r>
      <w:r>
        <w:t xml:space="preserve"> </w:t>
      </w:r>
      <w:r>
        <w:t xml:space="preserve">Outlet scores</w:t>
      </w:r>
      <w:r>
        <w:t xml:space="preserve"> </w:t>
      </w:r>
      <m:oMath>
        <m:sSubSup>
          <m:e>
            <m:r>
              <m:t>s</m:t>
            </m:r>
          </m:e>
          <m:sub>
            <m:r>
              <m:rPr>
                <m:sty m:val="p"/>
              </m:rPr>
              <m:t>B</m:t>
            </m:r>
            <m:r>
              <m:rPr>
                <m:sty m:val="p"/>
              </m:rPr>
              <m:t>I</m:t>
            </m:r>
            <m:r>
              <m:rPr>
                <m:sty m:val="p"/>
              </m:rPr>
              <m:t>S</m:t>
            </m:r>
          </m:sub>
          <m:sup>
            <m:r>
              <m:rPr>
                <m:sty m:val="p"/>
              </m:rPr>
              <m:t>(</m:t>
            </m:r>
            <m:r>
              <m:t>s</m:t>
            </m:r>
            <m:r>
              <m:rPr>
                <m:sty m:val="p"/>
              </m:rPr>
              <m:t>)</m:t>
            </m:r>
          </m:sup>
        </m:sSubSup>
      </m:oMath>
      <w:r>
        <w:t xml:space="preserve"> </w:t>
      </w:r>
      <w:r>
        <w:t xml:space="preserve">(biischiadic) and</w:t>
      </w:r>
      <w:r>
        <w:t xml:space="preserve"> </w:t>
      </w:r>
      <m:oMath>
        <m:sSubSup>
          <m:e>
            <m:r>
              <m:t>s</m:t>
            </m:r>
          </m:e>
          <m:sub>
            <m:r>
              <m:rPr>
                <m:sty m:val="p"/>
              </m:rPr>
              <m:t>B</m:t>
            </m:r>
            <m:r>
              <m:rPr>
                <m:sty m:val="p"/>
              </m:rPr>
              <m:t>I</m:t>
            </m:r>
            <m:r>
              <m:rPr>
                <m:sty m:val="p"/>
              </m:rPr>
              <m:t>T</m:t>
            </m:r>
          </m:sub>
          <m:sup>
            <m:r>
              <m:rPr>
                <m:sty m:val="p"/>
              </m:rPr>
              <m:t>(</m:t>
            </m:r>
            <m:r>
              <m:t>s</m:t>
            </m:r>
            <m:r>
              <m:rPr>
                <m:sty m:val="p"/>
              </m:rPr>
              <m:t>)</m:t>
            </m:r>
          </m:sup>
        </m:sSubSup>
      </m:oMath>
      <w:r>
        <w:t xml:space="preserve"> </w:t>
      </w:r>
      <w:r>
        <w:t xml:space="preserve">(bituberous) are constructed identically with the corresponding landmark pairs.</w:t>
      </w:r>
    </w:p>
    <w:p>
      <w:pPr>
        <w:pStyle w:val="BodyText"/>
      </w:pPr>
      <w:r>
        <w:rPr>
          <w:bCs/>
          <w:b/>
        </w:rPr>
        <w:t xml:space="preserve">Canonical basis inside a clustered subspace.</w:t>
      </w:r>
      <w:r>
        <w:t xml:space="preserve"> </w:t>
      </w:r>
      <w:r>
        <w:t xml:space="preserve">For a pair of measurement vectors</w:t>
      </w:r>
      <w:r>
        <w:t xml:space="preserve"> </w:t>
      </w:r>
      <m:oMath>
        <m:r>
          <m:rPr>
            <m:sty m:val="p"/>
          </m:rPr>
          <m:t>(</m:t>
        </m:r>
        <m:sSubSup>
          <m:e>
            <m:r>
              <m:rPr>
                <m:sty m:val="b"/>
              </m:rPr>
              <m:t>b</m:t>
            </m:r>
          </m:e>
          <m:sub>
            <m:r>
              <m:t>1</m:t>
            </m:r>
          </m:sub>
          <m:sup>
            <m:r>
              <m:rPr>
                <m:sty m:val="p"/>
              </m:rPr>
              <m:t>(</m:t>
            </m:r>
            <m:r>
              <m:t>s</m:t>
            </m:r>
            <m:r>
              <m:rPr>
                <m:sty m:val="p"/>
              </m:rPr>
              <m:t>)</m:t>
            </m:r>
          </m:sup>
        </m:sSubSup>
        <m:r>
          <m:rPr>
            <m:sty m:val="p"/>
          </m:rPr>
          <m:t>,</m:t>
        </m:r>
        <m:sSubSup>
          <m:e>
            <m:r>
              <m:rPr>
                <m:sty m:val="b"/>
              </m:rPr>
              <m:t>b</m:t>
            </m:r>
          </m:e>
          <m:sub>
            <m:r>
              <m:t>2</m:t>
            </m:r>
          </m:sub>
          <m:sup>
            <m:r>
              <m:rPr>
                <m:sty m:val="p"/>
              </m:rPr>
              <m:t>(</m:t>
            </m:r>
            <m:r>
              <m:t>s</m:t>
            </m:r>
            <m:r>
              <m:rPr>
                <m:sty m:val="p"/>
              </m:rPr>
              <m:t>)</m:t>
            </m:r>
          </m:sup>
        </m:sSubSup>
        <m:r>
          <m:rPr>
            <m:sty m:val="p"/>
          </m:rPr>
          <m:t>)</m:t>
        </m:r>
      </m:oMath>
      <w:r>
        <w:t xml:space="preserve"> </w:t>
      </w:r>
      <w:r>
        <w:t xml:space="preserve">(inlet or outlet) and a clustered subspace</w:t>
      </w:r>
      <w:r>
        <w:t xml:space="preserve"> </w:t>
      </w:r>
      <m:oMath>
        <m:sSub>
          <m:e>
            <m:r>
              <m:t>Q</m:t>
            </m:r>
          </m:e>
          <m:sub>
            <m:r>
              <m:t>s</m:t>
            </m:r>
          </m:sub>
        </m:sSub>
        <m:r>
          <m:rPr>
            <m:sty m:val="p"/>
          </m:rPr>
          <m:t>∈</m:t>
        </m:r>
        <m:sSup>
          <m:e>
            <m:r>
              <m:rPr>
                <m:sty m:val="p"/>
                <m:scr m:val="double-struck"/>
              </m:rPr>
              <m:t>R</m:t>
            </m:r>
          </m:e>
          <m:sup>
            <m:r>
              <m:t>n</m:t>
            </m:r>
            <m:r>
              <m:rPr>
                <m:sty m:val="p"/>
              </m:rPr>
              <m:t>×</m:t>
            </m:r>
            <m:r>
              <m:t>r</m:t>
            </m:r>
          </m:sup>
        </m:sSup>
      </m:oMath>
      <w:r>
        <w:t xml:space="preserve">, project the observables into the block,</w:t>
      </w:r>
    </w:p>
    <w:p>
      <w:pPr>
        <w:pStyle w:val="BodyText"/>
      </w:pPr>
      <m:oMathPara>
        <m:oMathParaPr>
          <m:jc m:val="center"/>
        </m:oMathParaPr>
        <m:oMath>
          <m:sSub>
            <m:e>
              <m:r>
                <m:t>C</m:t>
              </m:r>
            </m:e>
            <m:sub>
              <m:r>
                <m:t>s</m:t>
              </m:r>
            </m:sub>
          </m:sSub>
          <m:r>
            <m:rPr>
              <m:sty m:val="p"/>
            </m:rPr>
            <m:t>=</m:t>
          </m:r>
          <m:r>
            <m:rPr>
              <m:sty m:val="p"/>
            </m:rPr>
            <m:t>[</m:t>
          </m:r>
          <m:sSubSup>
            <m:e>
              <m:r>
                <m:t>Q</m:t>
              </m:r>
            </m:e>
            <m:sub>
              <m:r>
                <m:t>s</m:t>
              </m:r>
            </m:sub>
            <m:sup>
              <m:r>
                <m:rPr>
                  <m:sty m:val="p"/>
                </m:rPr>
                <m:t>⊤</m:t>
              </m:r>
            </m:sup>
          </m:sSubSup>
          <m:sSubSup>
            <m:e>
              <m:r>
                <m:rPr>
                  <m:sty m:val="b"/>
                </m:rPr>
                <m:t>b</m:t>
              </m:r>
            </m:e>
            <m:sub>
              <m:r>
                <m:t>1</m:t>
              </m:r>
            </m:sub>
            <m:sup>
              <m:r>
                <m:rPr>
                  <m:sty m:val="p"/>
                </m:rPr>
                <m:t>(</m:t>
              </m:r>
              <m:r>
                <m:t>s</m:t>
              </m:r>
              <m:r>
                <m:rPr>
                  <m:sty m:val="p"/>
                </m:rPr>
                <m:t>)</m:t>
              </m:r>
            </m:sup>
          </m:sSubSup>
          <m:r>
            <m:t> </m:t>
          </m:r>
          <m:r>
            <m:t> </m:t>
          </m:r>
          <m:sSubSup>
            <m:e>
              <m:r>
                <m:t>Q</m:t>
              </m:r>
            </m:e>
            <m:sub>
              <m:r>
                <m:t>s</m:t>
              </m:r>
            </m:sub>
            <m:sup>
              <m:r>
                <m:rPr>
                  <m:sty m:val="p"/>
                </m:rPr>
                <m:t>⊤</m:t>
              </m:r>
            </m:sup>
          </m:sSubSup>
          <m:sSubSup>
            <m:e>
              <m:r>
                <m:rPr>
                  <m:sty m:val="b"/>
                </m:rPr>
                <m:t>b</m:t>
              </m:r>
            </m:e>
            <m:sub>
              <m:r>
                <m:t>2</m:t>
              </m:r>
            </m:sub>
            <m:sup>
              <m:r>
                <m:rPr>
                  <m:sty m:val="p"/>
                </m:rPr>
                <m:t>(</m:t>
              </m:r>
              <m:r>
                <m:t>s</m:t>
              </m:r>
              <m:r>
                <m:rPr>
                  <m:sty m:val="p"/>
                </m:rPr>
                <m:t>)</m:t>
              </m:r>
            </m:sup>
          </m:sSubSup>
          <m:r>
            <m:rPr>
              <m:sty m:val="p"/>
            </m:rPr>
            <m:t>]</m:t>
          </m:r>
          <m:r>
            <m:rPr>
              <m:sty m:val="p"/>
            </m:rPr>
            <m:t>∈</m:t>
          </m:r>
          <m:sSup>
            <m:e>
              <m:r>
                <m:rPr>
                  <m:sty m:val="p"/>
                  <m:scr m:val="double-struck"/>
                </m:rPr>
                <m:t>R</m:t>
              </m:r>
            </m:e>
            <m:sup>
              <m:r>
                <m:t>r</m:t>
              </m:r>
              <m:r>
                <m:rPr>
                  <m:sty m:val="p"/>
                </m:rPr>
                <m:t>×</m:t>
              </m:r>
              <m:r>
                <m:t>2</m:t>
              </m:r>
            </m:sup>
          </m:sSup>
          <m:r>
            <m:rPr>
              <m:sty m:val="p"/>
            </m:rPr>
            <m:t>,</m:t>
          </m:r>
          <m:r>
            <m:t>  </m:t>
          </m:r>
          <m:sSub>
            <m:e>
              <m:r>
                <m:t>C</m:t>
              </m:r>
            </m:e>
            <m:sub>
              <m:r>
                <m:t>s</m:t>
              </m:r>
            </m:sub>
          </m:sSub>
          <m:r>
            <m:rPr>
              <m:sty m:val="p"/>
            </m:rPr>
            <m:t>=</m:t>
          </m:r>
          <m:sSub>
            <m:e>
              <m:r>
                <m:t>U</m:t>
              </m:r>
            </m:e>
            <m:sub>
              <m:r>
                <m:t>s</m:t>
              </m:r>
            </m:sub>
          </m:sSub>
          <m:sSub>
            <m:e>
              <m:r>
                <m:t>Σ</m:t>
              </m:r>
            </m:e>
            <m:sub>
              <m:r>
                <m:t>s</m:t>
              </m:r>
            </m:sub>
          </m:sSub>
          <m:sSubSup>
            <m:e>
              <m:r>
                <m:t>V</m:t>
              </m:r>
            </m:e>
            <m:sub>
              <m:r>
                <m:t>s</m:t>
              </m:r>
            </m:sub>
            <m:sup>
              <m:r>
                <m:rPr>
                  <m:sty m:val="p"/>
                </m:rPr>
                <m:t>⊤</m:t>
              </m:r>
            </m:sup>
          </m:sSubSup>
          <m:r>
            <m:rPr>
              <m:sty m:val="p"/>
            </m:rPr>
            <m:t>,</m:t>
          </m:r>
        </m:oMath>
      </m:oMathPara>
    </w:p>
    <w:p>
      <w:pPr>
        <w:pStyle w:val="FirstParagraph"/>
      </w:pPr>
      <w:r>
        <w:t xml:space="preserve">and define the canonical basis</w:t>
      </w:r>
    </w:p>
    <w:p>
      <w:pPr>
        <w:pStyle w:val="BodyText"/>
      </w:pPr>
      <m:oMathPara>
        <m:oMathParaPr>
          <m:jc m:val="center"/>
        </m:oMathParaPr>
        <m:oMath>
          <m:sSubSup>
            <m:e>
              <m:r>
                <m:rPr>
                  <m:sty m:val="b"/>
                </m:rPr>
                <m:t>ψ</m:t>
              </m:r>
            </m:e>
            <m:sub>
              <m:r>
                <m:t>1</m:t>
              </m:r>
            </m:sub>
            <m:sup>
              <m:r>
                <m:rPr>
                  <m:sty m:val="p"/>
                </m:rPr>
                <m:t>(</m:t>
              </m:r>
              <m:r>
                <m:t>s</m:t>
              </m:r>
              <m:r>
                <m:rPr>
                  <m:sty m:val="p"/>
                </m:rPr>
                <m:t>)</m:t>
              </m:r>
            </m:sup>
          </m:sSubSup>
          <m:r>
            <m:rPr>
              <m:sty m:val="p"/>
            </m:rPr>
            <m:t>=</m:t>
          </m:r>
          <m:sSub>
            <m:e>
              <m:r>
                <m:t>Q</m:t>
              </m:r>
            </m:e>
            <m:sub>
              <m:r>
                <m:t>s</m:t>
              </m:r>
            </m:sub>
          </m:sSub>
          <m:r>
            <m:t> </m:t>
          </m:r>
          <m:sSub>
            <m:e>
              <m:r>
                <m:t>U</m:t>
              </m:r>
            </m:e>
            <m:sub>
              <m:r>
                <m:t>s</m:t>
              </m:r>
            </m:sub>
          </m:sSub>
          <m:r>
            <m:rPr>
              <m:sty m:val="p"/>
            </m:rPr>
            <m:t>[</m:t>
          </m:r>
          <m:r>
            <m:rPr>
              <m:sty m:val="p"/>
            </m:rPr>
            <m:t>:</m:t>
          </m:r>
          <m:r>
            <m:rPr>
              <m:sty m:val="p"/>
            </m:rPr>
            <m:t>,</m:t>
          </m:r>
          <m:r>
            <m:t>1</m:t>
          </m:r>
          <m:r>
            <m:rPr>
              <m:sty m:val="p"/>
            </m:rPr>
            <m:t>]</m:t>
          </m:r>
          <m:r>
            <m:rPr>
              <m:sty m:val="p"/>
            </m:rPr>
            <m:t>,</m:t>
          </m:r>
          <m:r>
            <m:t>  </m:t>
          </m:r>
          <m:sSubSup>
            <m:e>
              <m:r>
                <m:rPr>
                  <m:sty m:val="b"/>
                </m:rPr>
                <m:t>ψ</m:t>
              </m:r>
            </m:e>
            <m:sub>
              <m:r>
                <m:t>2</m:t>
              </m:r>
            </m:sub>
            <m:sup>
              <m:r>
                <m:rPr>
                  <m:sty m:val="p"/>
                </m:rPr>
                <m:t>(</m:t>
              </m:r>
              <m:r>
                <m:t>s</m:t>
              </m:r>
              <m:r>
                <m:rPr>
                  <m:sty m:val="p"/>
                </m:rPr>
                <m:t>)</m:t>
              </m:r>
            </m:sup>
          </m:sSubSup>
          <m:r>
            <m:rPr>
              <m:sty m:val="p"/>
            </m:rPr>
            <m:t>=</m:t>
          </m:r>
          <m:sSub>
            <m:e>
              <m:r>
                <m:t>Q</m:t>
              </m:r>
            </m:e>
            <m:sub>
              <m:r>
                <m:t>s</m:t>
              </m:r>
            </m:sub>
          </m:sSub>
          <m:r>
            <m:t> </m:t>
          </m:r>
          <m:sSub>
            <m:e>
              <m:r>
                <m:t>U</m:t>
              </m:r>
            </m:e>
            <m:sub>
              <m:r>
                <m:t>s</m:t>
              </m:r>
            </m:sub>
          </m:sSub>
          <m:r>
            <m:rPr>
              <m:sty m:val="p"/>
            </m:rPr>
            <m:t>[</m:t>
          </m:r>
          <m:r>
            <m:rPr>
              <m:sty m:val="p"/>
            </m:rPr>
            <m:t>:</m:t>
          </m:r>
          <m:r>
            <m:rPr>
              <m:sty m:val="p"/>
            </m:rPr>
            <m:t>,</m:t>
          </m:r>
          <m:r>
            <m:t>2</m:t>
          </m:r>
          <m:r>
            <m:rPr>
              <m:sty m:val="p"/>
            </m:rPr>
            <m:t>]</m:t>
          </m:r>
          <m:r>
            <m:rPr>
              <m:sty m:val="p"/>
            </m:rPr>
            <m:t>,</m:t>
          </m:r>
        </m:oMath>
      </m:oMathPara>
    </w:p>
    <w:p>
      <w:pPr>
        <w:pStyle w:val="FirstParagraph"/>
      </w:pPr>
      <w:r>
        <w:t xml:space="preserve">oriented by the sign convention</w:t>
      </w:r>
      <w:r>
        <w:t xml:space="preserve"> </w:t>
      </w:r>
      <m:oMath>
        <m:sSubSup>
          <m:e>
            <m:r>
              <m:rPr>
                <m:sty m:val="b"/>
              </m:rPr>
              <m:t>b</m:t>
            </m:r>
          </m:e>
          <m:sub>
            <m:r>
              <m:t>1</m:t>
            </m:r>
          </m:sub>
          <m:sup>
            <m:r>
              <m:rPr>
                <m:sty m:val="p"/>
              </m:rPr>
              <m:t>(</m:t>
            </m:r>
            <m:r>
              <m:t>s</m:t>
            </m:r>
            <m:r>
              <m:rPr>
                <m:sty m:val="p"/>
              </m:rPr>
              <m:t>)</m:t>
            </m:r>
            <m:r>
              <m:rPr>
                <m:sty m:val="p"/>
              </m:rPr>
              <m:t>⊤</m:t>
            </m:r>
          </m:sup>
        </m:sSubSup>
        <m:sSubSup>
          <m:e>
            <m:r>
              <m:rPr>
                <m:sty m:val="b"/>
              </m:rPr>
              <m:t>ψ</m:t>
            </m:r>
          </m:e>
          <m:sub>
            <m:r>
              <m:t>1</m:t>
            </m:r>
          </m:sub>
          <m:sup>
            <m:r>
              <m:rPr>
                <m:sty m:val="p"/>
              </m:rPr>
              <m:t>(</m:t>
            </m:r>
            <m:r>
              <m:t>s</m:t>
            </m:r>
            <m:r>
              <m:rPr>
                <m:sty m:val="p"/>
              </m:rPr>
              <m:t>)</m:t>
            </m:r>
          </m:sup>
        </m:sSubSup>
        <m:r>
          <m:rPr>
            <m:sty m:val="p"/>
          </m:rPr>
          <m:t>≥</m:t>
        </m:r>
        <m:r>
          <m:t>0</m:t>
        </m:r>
      </m:oMath>
      <w:r>
        <w:t xml:space="preserve">.</w:t>
      </w:r>
      <w:r>
        <w:t xml:space="preserve"> </w:t>
      </w:r>
      <w:r>
        <w:t xml:space="preserve">The singular values</w:t>
      </w:r>
      <w:r>
        <w:t xml:space="preserve"> </w:t>
      </w:r>
      <m:oMath>
        <m:sSub>
          <m:e>
            <m:r>
              <m:t>σ</m:t>
            </m:r>
          </m:e>
          <m:sub>
            <m:r>
              <m:t>1</m:t>
            </m:r>
          </m:sub>
        </m:sSub>
        <m:r>
          <m:rPr>
            <m:sty m:val="p"/>
          </m:rPr>
          <m:t>≥</m:t>
        </m:r>
        <m:sSub>
          <m:e>
            <m:r>
              <m:t>σ</m:t>
            </m:r>
          </m:e>
          <m:sub>
            <m:r>
              <m:t>2</m:t>
            </m:r>
          </m:sub>
        </m:sSub>
      </m:oMath>
      <w:r>
        <w:t xml:space="preserve"> </w:t>
      </w:r>
      <w:r>
        <w:t xml:space="preserve">quantify how strongly the subspace couples to the chosen diameter axes.</w:t>
      </w:r>
      <w:r>
        <w:t xml:space="preserve"> </w:t>
      </w:r>
      <w:r>
        <w:t xml:space="preserve">Because</w:t>
      </w:r>
      <w:r>
        <w:t xml:space="preserve"> </w:t>
      </w:r>
      <m:oMath>
        <m:sSub>
          <m:e>
            <m:r>
              <m:t>C</m:t>
            </m:r>
          </m:e>
          <m:sub>
            <m:r>
              <m:t>s</m:t>
            </m:r>
          </m:sub>
        </m:sSub>
      </m:oMath>
      <w:r>
        <w:t xml:space="preserve"> </w:t>
      </w:r>
      <w:r>
        <w:t xml:space="preserve">depends on</w:t>
      </w:r>
      <w:r>
        <w:t xml:space="preserve"> </w:t>
      </w:r>
      <m:oMath>
        <m:sSub>
          <m:e>
            <m:r>
              <m:t>Q</m:t>
            </m:r>
          </m:e>
          <m:sub>
            <m:r>
              <m:t>s</m:t>
            </m:r>
          </m:sub>
        </m:sSub>
      </m:oMath>
      <w:r>
        <w:t xml:space="preserve"> </w:t>
      </w:r>
      <w:r>
        <w:t xml:space="preserve">only through</w:t>
      </w:r>
      <w:r>
        <w:t xml:space="preserve"> </w:t>
      </w:r>
      <m:oMath>
        <m:r>
          <m:rPr>
            <m:sty m:val="p"/>
          </m:rPr>
          <m:t>s</m:t>
        </m:r>
        <m:r>
          <m:rPr>
            <m:sty m:val="p"/>
          </m:rPr>
          <m:t>p</m:t>
        </m:r>
        <m:r>
          <m:rPr>
            <m:sty m:val="p"/>
          </m:rPr>
          <m:t>a</m:t>
        </m:r>
        <m:r>
          <m:rPr>
            <m:sty m:val="p"/>
          </m:rPr>
          <m:t>n</m:t>
        </m:r>
        <m:r>
          <m:rPr>
            <m:sty m:val="p"/>
          </m:rPr>
          <m:t>(</m:t>
        </m:r>
        <m:sSub>
          <m:e>
            <m:r>
              <m:t>Q</m:t>
            </m:r>
          </m:e>
          <m:sub>
            <m:r>
              <m:t>s</m:t>
            </m:r>
          </m:sub>
        </m:sSub>
        <m:r>
          <m:rPr>
            <m:sty m:val="p"/>
          </m:rPr>
          <m:t>)</m:t>
        </m:r>
      </m:oMath>
      <w:r>
        <w:t xml:space="preserve">, the canonical basis is invariant to arbitrary rotations within the subspace, providing a physically stable coordinate system even when individual eigenvector labels are ambiguous.</w:t>
      </w:r>
      <w:r>
        <w:t xml:space="preserve"> </w:t>
      </w:r>
      <w:r>
        <w:t xml:space="preserve">Canonical coupling scores are reported in max-norm-normalised units of diameter change per 1 mm of maximum nodal amplitude,</w:t>
      </w:r>
    </w:p>
    <w:p>
      <w:pPr>
        <w:pStyle w:val="BodyText"/>
      </w:pPr>
      <m:oMathPara>
        <m:oMathParaPr>
          <m:jc m:val="center"/>
        </m:oMathParaPr>
        <m:oMath>
          <m:sSubSup>
            <m:e>
              <m:acc>
                <m:accPr>
                  <m:chr m:val="̂"/>
                </m:accPr>
                <m:e>
                  <m:r>
                    <m:t>s</m:t>
                  </m:r>
                </m:e>
              </m:acc>
            </m:e>
            <m:sub>
              <m:r>
                <m:t>k</m:t>
              </m:r>
            </m:sub>
            <m:sup>
              <m:r>
                <m:rPr>
                  <m:sty m:val="p"/>
                </m:rPr>
                <m:t>(</m:t>
              </m:r>
              <m:r>
                <m:t>s</m:t>
              </m:r>
              <m:r>
                <m:rPr>
                  <m:sty m:val="p"/>
                </m:rPr>
                <m:t>)</m:t>
              </m:r>
            </m:sup>
          </m:sSubSup>
          <m:r>
            <m:rPr>
              <m:sty m:val="p"/>
            </m:rPr>
            <m:t>=</m:t>
          </m:r>
          <m:f>
            <m:fPr>
              <m:type m:val="bar"/>
            </m:fPr>
            <m:num>
              <m:r>
                <m:rPr>
                  <m:sty m:val="p"/>
                </m:rPr>
                <m:t>|</m:t>
              </m:r>
              <m:sSubSup>
                <m:e>
                  <m:r>
                    <m:rPr>
                      <m:sty m:val="b"/>
                    </m:rPr>
                    <m:t>b</m:t>
                  </m:r>
                </m:e>
                <m:sub>
                  <m:r>
                    <m:t>k</m:t>
                  </m:r>
                </m:sub>
                <m:sup>
                  <m:r>
                    <m:rPr>
                      <m:sty m:val="p"/>
                    </m:rPr>
                    <m:t>(</m:t>
                  </m:r>
                  <m:r>
                    <m:t>s</m:t>
                  </m:r>
                  <m:r>
                    <m:rPr>
                      <m:sty m:val="p"/>
                    </m:rPr>
                    <m:t>)</m:t>
                  </m:r>
                  <m:r>
                    <m:rPr>
                      <m:sty m:val="p"/>
                    </m:rPr>
                    <m:t>⊤</m:t>
                  </m:r>
                </m:sup>
              </m:sSubSup>
              <m:sSubSup>
                <m:e>
                  <m:r>
                    <m:rPr>
                      <m:sty m:val="b"/>
                    </m:rPr>
                    <m:t>ψ</m:t>
                  </m:r>
                </m:e>
                <m:sub>
                  <m:r>
                    <m:t>k</m:t>
                  </m:r>
                </m:sub>
                <m:sup>
                  <m:r>
                    <m:rPr>
                      <m:sty m:val="p"/>
                    </m:rPr>
                    <m:t>(</m:t>
                  </m:r>
                  <m:r>
                    <m:t>s</m:t>
                  </m:r>
                  <m:r>
                    <m:rPr>
                      <m:sty m:val="p"/>
                    </m:rPr>
                    <m:t>)</m:t>
                  </m:r>
                </m:sup>
              </m:sSubSup>
              <m:r>
                <m:rPr>
                  <m:sty m:val="p"/>
                </m:rPr>
                <m:t>|</m:t>
              </m:r>
            </m:num>
            <m:den>
              <m:r>
                <m:rPr>
                  <m:sty m:val="p"/>
                </m:rPr>
                <m:t>∥</m:t>
              </m:r>
              <m:sSubSup>
                <m:e>
                  <m:r>
                    <m:rPr>
                      <m:sty m:val="b"/>
                    </m:rPr>
                    <m:t>ψ</m:t>
                  </m:r>
                </m:e>
                <m:sub>
                  <m:r>
                    <m:t>k</m:t>
                  </m:r>
                </m:sub>
                <m:sup>
                  <m:r>
                    <m:rPr>
                      <m:sty m:val="p"/>
                    </m:rPr>
                    <m:t>(</m:t>
                  </m:r>
                  <m:r>
                    <m:t>s</m:t>
                  </m:r>
                  <m:r>
                    <m:rPr>
                      <m:sty m:val="p"/>
                    </m:rPr>
                    <m:t>)</m:t>
                  </m:r>
                </m:sup>
              </m:sSubSup>
              <m:sSub>
                <m:e>
                  <m:r>
                    <m:rPr>
                      <m:sty m:val="p"/>
                    </m:rPr>
                    <m:t>∥</m:t>
                  </m:r>
                </m:e>
                <m:sub>
                  <m:r>
                    <m:rPr>
                      <m:sty m:val="p"/>
                    </m:rPr>
                    <m:t>∞</m:t>
                  </m:r>
                </m:sub>
              </m:sSub>
            </m:den>
          </m:f>
          <m:r>
            <m:rPr>
              <m:sty m:val="p"/>
            </m:rPr>
            <m:t>,</m:t>
          </m:r>
        </m:oMath>
      </m:oMathPara>
    </w:p>
    <w:p>
      <w:pPr>
        <w:pStyle w:val="FirstParagraph"/>
      </w:pPr>
      <w:r>
        <w:t xml:space="preserve">so that reported couplings are independent of arbitrary eigenvector normalisation.</w:t>
      </w:r>
      <w:r>
        <w:t xml:space="preserve"> </w:t>
      </w:r>
      <w:r>
        <w:t xml:space="preserve">The direct 9–10 label-versus-subspace analysis evaluates AP-inlet coupling for rank mode 9, rank mode 10, and the canonical 9–10 subspace after splitting cluster members by 9</w:t>
      </w:r>
      <m:oMath>
        <m:r>
          <m:rPr>
            <m:sty m:val="p"/>
          </m:rPr>
          <m:t>⇄</m:t>
        </m:r>
      </m:oMath>
      <w:r>
        <w:t xml:space="preserve">10 swap status.</w:t>
      </w:r>
    </w:p>
    <w:bookmarkEnd w:id="48"/>
    <w:bookmarkStart w:id="49" w:name="Xa2e1a4acf59ee6951a73cfc23d2fe060c92666e"/>
    <w:p>
      <w:pPr>
        <w:pStyle w:val="Heading2"/>
      </w:pPr>
      <w:r>
        <w:t xml:space="preserve">Load routing and modal strain-energy fractions</w:t>
      </w:r>
    </w:p>
    <w:p>
      <w:pPr>
        <w:pStyle w:val="FirstParagraph"/>
      </w:pPr>
      <w:r>
        <w:t xml:space="preserve">For each load case we solved the static problem</w:t>
      </w:r>
      <w:r>
        <w:t xml:space="preserve"> </w:t>
      </w:r>
      <m:oMath>
        <m:sSub>
          <m:e>
            <m:r>
              <m:t>K</m:t>
            </m:r>
          </m:e>
          <m:sub>
            <m:r>
              <m:t>s</m:t>
            </m:r>
          </m:sub>
        </m:sSub>
        <m:sSub>
          <m:e>
            <m:r>
              <m:rPr>
                <m:sty m:val="b"/>
              </m:rPr>
              <m:t>u</m:t>
            </m:r>
          </m:e>
          <m:sub>
            <m:r>
              <m:t>s</m:t>
            </m:r>
          </m:sub>
        </m:sSub>
        <m:r>
          <m:rPr>
            <m:sty m:val="p"/>
          </m:rPr>
          <m:t>=</m:t>
        </m:r>
        <m:r>
          <m:rPr>
            <m:sty m:val="b"/>
          </m:rPr>
          <m:t>b</m:t>
        </m:r>
      </m:oMath>
      <w:r>
        <w:t xml:space="preserve"> </w:t>
      </w:r>
      <w:r>
        <w:t xml:space="preserve">on</w:t>
      </w:r>
      <w:r>
        <w:t xml:space="preserve"> </w:t>
      </w:r>
      <m:oMath>
        <m:sSub>
          <m:e>
            <m:r>
              <m:t>Ω</m:t>
            </m:r>
          </m:e>
          <m:sub>
            <m:r>
              <m:rPr>
                <m:sty m:val="p"/>
              </m:rPr>
              <m:t>r</m:t>
            </m:r>
            <m:r>
              <m:rPr>
                <m:sty m:val="p"/>
              </m:rPr>
              <m:t>e</m:t>
            </m:r>
            <m:r>
              <m:rPr>
                <m:sty m:val="p"/>
              </m:rPr>
              <m:t>f</m:t>
            </m:r>
          </m:sub>
        </m:sSub>
      </m:oMath>
      <w:r>
        <w:t xml:space="preserve">, projected the result onto the</w:t>
      </w:r>
      <w:r>
        <w:t xml:space="preserve"> </w:t>
      </w:r>
      <m:oMath>
        <m:sSub>
          <m:e>
            <m:r>
              <m:t>M</m:t>
            </m:r>
          </m:e>
          <m:sub>
            <m:r>
              <m:t>s</m:t>
            </m:r>
          </m:sub>
        </m:sSub>
      </m:oMath>
      <w:r>
        <w:t xml:space="preserve">-orthonormal eigenbasis</w:t>
      </w:r>
      <w:r>
        <w:t xml:space="preserve"> </w:t>
      </w:r>
      <m:oMath>
        <m:r>
          <m:t>Φ</m:t>
        </m:r>
      </m:oMath>
      <w:r>
        <w:t xml:space="preserve">,</w:t>
      </w:r>
    </w:p>
    <w:p>
      <w:pPr>
        <w:pStyle w:val="BodyText"/>
      </w:pPr>
      <m:oMathPara>
        <m:oMathParaPr>
          <m:jc m:val="center"/>
        </m:oMathParaPr>
        <m:oMath>
          <m:r>
            <m:t>q</m:t>
          </m:r>
          <m:r>
            <m:rPr>
              <m:sty m:val="p"/>
            </m:rPr>
            <m:t>=</m:t>
          </m:r>
          <m:sSup>
            <m:e>
              <m:r>
                <m:t>Φ</m:t>
              </m:r>
            </m:e>
            <m:sup>
              <m:r>
                <m:rPr>
                  <m:sty m:val="p"/>
                </m:rPr>
                <m:t>⊤</m:t>
              </m:r>
            </m:sup>
          </m:sSup>
          <m:sSub>
            <m:e>
              <m:r>
                <m:t>M</m:t>
              </m:r>
            </m:e>
            <m:sub>
              <m:r>
                <m:t>s</m:t>
              </m:r>
            </m:sub>
          </m:sSub>
          <m:sSub>
            <m:e>
              <m:r>
                <m:rPr>
                  <m:sty m:val="b"/>
                </m:rPr>
                <m:t>u</m:t>
              </m:r>
            </m:e>
            <m:sub>
              <m:r>
                <m:t>s</m:t>
              </m:r>
            </m:sub>
          </m:sSub>
          <m:r>
            <m:rPr>
              <m:sty m:val="p"/>
            </m:rPr>
            <m:t>,</m:t>
          </m:r>
          <m:r>
            <m:t>  </m:t>
          </m:r>
          <m:sSub>
            <m:e>
              <m:r>
                <m:t>E</m:t>
              </m:r>
            </m:e>
            <m:sub>
              <m:r>
                <m:t>i</m:t>
              </m:r>
            </m:sub>
          </m:sSub>
          <m:r>
            <m:rPr>
              <m:sty m:val="p"/>
            </m:rPr>
            <m:t>=</m:t>
          </m:r>
          <m:f>
            <m:fPr>
              <m:type m:val="lin"/>
            </m:fPr>
            <m:num>
              <m:r>
                <m:t>1</m:t>
              </m:r>
            </m:num>
            <m:den>
              <m:r>
                <m:t>2</m:t>
              </m:r>
            </m:den>
          </m:f>
          <m:sSub>
            <m:e>
              <m:r>
                <m:t>λ</m:t>
              </m:r>
            </m:e>
            <m:sub>
              <m:r>
                <m:t>i</m:t>
              </m:r>
            </m:sub>
          </m:sSub>
          <m:sSubSup>
            <m:e>
              <m:r>
                <m:t>q</m:t>
              </m:r>
            </m:e>
            <m:sub>
              <m:r>
                <m:t>i</m:t>
              </m:r>
            </m:sub>
            <m:sup>
              <m:r>
                <m:t>2</m:t>
              </m:r>
            </m:sup>
          </m:sSubSup>
          <m:r>
            <m:rPr>
              <m:sty m:val="p"/>
            </m:rPr>
            <m:t>,</m:t>
          </m:r>
          <m:r>
            <m:t>  </m:t>
          </m:r>
          <m:sSub>
            <m:e>
              <m:r>
                <m:t>f</m:t>
              </m:r>
            </m:e>
            <m:sub>
              <m:r>
                <m:t>i</m:t>
              </m:r>
            </m:sub>
          </m:sSub>
          <m:r>
            <m:rPr>
              <m:sty m:val="p"/>
            </m:rPr>
            <m:t>=</m:t>
          </m:r>
          <m:f>
            <m:fPr>
              <m:type m:val="bar"/>
            </m:fPr>
            <m:num>
              <m:sSub>
                <m:e>
                  <m:r>
                    <m:t>E</m:t>
                  </m:r>
                </m:e>
                <m:sub>
                  <m:r>
                    <m:t>i</m:t>
                  </m:r>
                </m:sub>
              </m:sSub>
            </m:num>
            <m:den>
              <m:nary>
                <m:naryPr>
                  <m:chr m:val="∑"/>
                  <m:limLoc m:val="undOvr"/>
                  <m:subHide m:val="0"/>
                  <m:supHide m:val="1"/>
                </m:naryPr>
                <m:sub>
                  <m:r>
                    <m:t>j</m:t>
                  </m:r>
                </m:sub>
                <m:sup>
                  <m:r>
                    <m:t>​</m:t>
                  </m:r>
                </m:sup>
                <m:e>
                  <m:sSub>
                    <m:e>
                      <m:r>
                        <m:t>E</m:t>
                      </m:r>
                    </m:e>
                    <m:sub>
                      <m:r>
                        <m:t>j</m:t>
                      </m:r>
                    </m:sub>
                  </m:sSub>
                </m:e>
              </m:nary>
            </m:den>
          </m:f>
          <m:r>
            <m:rPr>
              <m:sty m:val="p"/>
            </m:rPr>
            <m:t>,</m:t>
          </m:r>
        </m:oMath>
      </m:oMathPara>
    </w:p>
    <w:p>
      <w:pPr>
        <w:pStyle w:val="FirstParagraph"/>
      </w:pPr>
      <w:r>
        <w:t xml:space="preserve">and summarised each pathway’s contribution by its modal strain-energy fraction</w:t>
      </w:r>
      <w:r>
        <w:t xml:space="preserve"> </w:t>
      </w:r>
      <m:oMath>
        <m:sSub>
          <m:e>
            <m:r>
              <m:t>f</m:t>
            </m:r>
          </m:e>
          <m:sub>
            <m:r>
              <m:t>i</m:t>
            </m:r>
          </m:sub>
        </m:sSub>
      </m:oMath>
      <w:r>
        <w:t xml:space="preserve">.</w:t>
      </w:r>
      <w:r>
        <w:t xml:space="preserve"> </w:t>
      </w:r>
      <w:r>
        <w:t xml:space="preserve">Block throughput for a clustered regime</w:t>
      </w:r>
      <w:r>
        <w:t xml:space="preserve"> </w:t>
      </w:r>
      <m:oMath>
        <m:r>
          <m:t>C</m:t>
        </m:r>
      </m:oMath>
      <w:r>
        <w:t xml:space="preserve"> </w:t>
      </w:r>
      <w:r>
        <w:t xml:space="preserve">is</w:t>
      </w:r>
      <w:r>
        <w:t xml:space="preserve"> </w:t>
      </w:r>
      <m:oMath>
        <m:sSub>
          <m:e>
            <m:r>
              <m:t>f</m:t>
            </m:r>
          </m:e>
          <m:sub>
            <m:r>
              <m:t>C</m:t>
            </m:r>
          </m:sub>
        </m:sSub>
        <m:r>
          <m:rPr>
            <m:sty m:val="p"/>
          </m:rPr>
          <m:t>=</m:t>
        </m:r>
        <m:nary>
          <m:naryPr>
            <m:chr m:val="∑"/>
            <m:limLoc m:val="undOvr"/>
            <m:subHide m:val="0"/>
            <m:supHide m:val="1"/>
          </m:naryPr>
          <m:sub>
            <m:r>
              <m:t>i</m:t>
            </m:r>
            <m:r>
              <m:rPr>
                <m:sty m:val="p"/>
              </m:rPr>
              <m:t>∈</m:t>
            </m:r>
            <m:r>
              <m:t>C</m:t>
            </m:r>
          </m:sub>
          <m:sup>
            <m:r>
              <m:t>​</m:t>
            </m:r>
          </m:sup>
          <m:e>
            <m:sSub>
              <m:e>
                <m:r>
                  <m:t>f</m:t>
                </m:r>
              </m:e>
              <m:sub>
                <m:r>
                  <m:t>i</m:t>
                </m:r>
              </m:sub>
            </m:sSub>
          </m:e>
        </m:nary>
      </m:oMath>
      <w:r>
        <w:t xml:space="preserve">, and the dominant mode set</w:t>
      </w:r>
      <w:r>
        <w:t xml:space="preserve"> </w:t>
      </w:r>
      <m:oMath>
        <m:sSub>
          <m:e>
            <m:r>
              <m:t>N</m:t>
            </m:r>
          </m:e>
          <m:sub>
            <m:r>
              <m:t>80</m:t>
            </m:r>
          </m:sub>
        </m:sSub>
      </m:oMath>
      <w:r>
        <w:t xml:space="preserve"> </w:t>
      </w:r>
      <w:r>
        <w:t xml:space="preserve">of a load case is the smallest rank-ordered set whose mean energy fractions sum to 0.8.</w:t>
      </w:r>
      <w:r>
        <w:t xml:space="preserve"> </w:t>
      </w:r>
      <w:r>
        <w:t xml:space="preserve">For cross-load comparison we also report cosine similarity of full 15-mode mean profiles and Jaccard overlap of dominant mode sets.</w:t>
      </w:r>
    </w:p>
    <w:bookmarkEnd w:id="49"/>
    <w:bookmarkStart w:id="51" w:name="X9ca803ae2d805b4d9e047cfd79a3bb90383e488"/>
    <w:p>
      <w:pPr>
        <w:pStyle w:val="Heading2"/>
      </w:pPr>
      <w:r>
        <w:t xml:space="preserve">First-order eigenvalue sensitivities and analytical uncertainty propagation</w:t>
      </w:r>
    </w:p>
    <w:p>
      <w:pPr>
        <w:pStyle w:val="FirstParagraph"/>
      </w:pPr>
      <w:r>
        <w:t xml:space="preserve">To propagate material-parameter uncertainty to the spectrum without repeated finite-element solves, we use classical first-order sensitivities of the generalised eigenproblem (9): for a parameter</w:t>
      </w:r>
      <w:r>
        <w:t xml:space="preserve"> </w:t>
      </w:r>
      <m:oMath>
        <m:sSub>
          <m:e>
            <m:r>
              <m:t>p</m:t>
            </m:r>
          </m:e>
          <m:sub>
            <m:r>
              <m:t>j</m:t>
            </m:r>
          </m:sub>
        </m:sSub>
      </m:oMath>
      <w:r>
        <w:t xml:space="preserve"> </w:t>
      </w:r>
      <w:r>
        <w:t xml:space="preserve">that affects only the stiffness,</w:t>
      </w:r>
    </w:p>
    <w:p>
      <w:pPr>
        <w:pStyle w:val="BodyText"/>
      </w:pPr>
      <m:oMathPara>
        <m:oMathParaPr>
          <m:jc m:val="center"/>
        </m:oMathParaPr>
        <m:oMath>
          <m:f>
            <m:fPr>
              <m:type m:val="bar"/>
            </m:fPr>
            <m:num>
              <m:r>
                <m:rPr>
                  <m:sty m:val="p"/>
                </m:rPr>
                <m:t>∂</m:t>
              </m:r>
              <m:sSub>
                <m:e>
                  <m:r>
                    <m:t>λ</m:t>
                  </m:r>
                </m:e>
                <m:sub>
                  <m:r>
                    <m:t>m</m:t>
                  </m:r>
                </m:sub>
              </m:sSub>
            </m:num>
            <m:den>
              <m:r>
                <m:rPr>
                  <m:sty m:val="p"/>
                </m:rPr>
                <m:t>∂</m:t>
              </m:r>
              <m:sSub>
                <m:e>
                  <m:r>
                    <m:t>p</m:t>
                  </m:r>
                </m:e>
                <m:sub>
                  <m:r>
                    <m:t>j</m:t>
                  </m:r>
                </m:sub>
              </m:sSub>
            </m:den>
          </m:f>
          <m:r>
            <m:rPr>
              <m:sty m:val="p"/>
            </m:rPr>
            <m:t>=</m:t>
          </m:r>
          <m:f>
            <m:fPr>
              <m:type m:val="bar"/>
            </m:fPr>
            <m:num>
              <m:sSubSup>
                <m:e>
                  <m:r>
                    <m:rPr>
                      <m:sty m:val="b"/>
                    </m:rPr>
                    <m:t>ϕ</m:t>
                  </m:r>
                </m:e>
                <m:sub>
                  <m:r>
                    <m:t>m</m:t>
                  </m:r>
                </m:sub>
                <m:sup>
                  <m:r>
                    <m:rPr>
                      <m:sty m:val="p"/>
                    </m:rPr>
                    <m:t>⊤</m:t>
                  </m:r>
                </m:sup>
              </m:sSubSup>
              <m:r>
                <m:t> </m:t>
              </m:r>
              <m:r>
                <m:rPr>
                  <m:sty m:val="p"/>
                </m:rPr>
                <m:t>(</m:t>
              </m:r>
              <m:r>
                <m:rPr>
                  <m:sty m:val="p"/>
                </m:rPr>
                <m:t>∂</m:t>
              </m:r>
              <m:sSub>
                <m:e>
                  <m:r>
                    <m:t>K</m:t>
                  </m:r>
                </m:e>
                <m:sub>
                  <m:r>
                    <m:t>s</m:t>
                  </m:r>
                </m:sub>
              </m:sSub>
              <m:r>
                <m:rPr>
                  <m:sty m:val="p"/>
                </m:rPr>
                <m:t>/</m:t>
              </m:r>
              <m:r>
                <m:rPr>
                  <m:sty m:val="p"/>
                </m:rPr>
                <m:t>∂</m:t>
              </m:r>
              <m:sSub>
                <m:e>
                  <m:r>
                    <m:t>p</m:t>
                  </m:r>
                </m:e>
                <m:sub>
                  <m:r>
                    <m:t>j</m:t>
                  </m:r>
                </m:sub>
              </m:sSub>
              <m:r>
                <m:rPr>
                  <m:sty m:val="p"/>
                </m:rPr>
                <m:t>)</m:t>
              </m:r>
              <m:r>
                <m:t> </m:t>
              </m:r>
              <m:sSub>
                <m:e>
                  <m:r>
                    <m:rPr>
                      <m:sty m:val="b"/>
                    </m:rPr>
                    <m:t>ϕ</m:t>
                  </m:r>
                </m:e>
                <m:sub>
                  <m:r>
                    <m:t>m</m:t>
                  </m:r>
                </m:sub>
              </m:sSub>
            </m:num>
            <m:den>
              <m:sSubSup>
                <m:e>
                  <m:r>
                    <m:rPr>
                      <m:sty m:val="b"/>
                    </m:rPr>
                    <m:t>ϕ</m:t>
                  </m:r>
                </m:e>
                <m:sub>
                  <m:r>
                    <m:t>m</m:t>
                  </m:r>
                </m:sub>
                <m:sup>
                  <m:r>
                    <m:rPr>
                      <m:sty m:val="p"/>
                    </m:rPr>
                    <m:t>⊤</m:t>
                  </m:r>
                </m:sup>
              </m:sSubSup>
              <m:sSub>
                <m:e>
                  <m:r>
                    <m:t>M</m:t>
                  </m:r>
                </m:e>
                <m:sub>
                  <m:r>
                    <m:t>s</m:t>
                  </m:r>
                </m:sub>
              </m:sSub>
              <m:r>
                <m:t> </m:t>
              </m:r>
              <m:sSub>
                <m:e>
                  <m:r>
                    <m:rPr>
                      <m:sty m:val="b"/>
                    </m:rPr>
                    <m:t>ϕ</m:t>
                  </m:r>
                </m:e>
                <m:sub>
                  <m:r>
                    <m:t>m</m:t>
                  </m:r>
                </m:sub>
              </m:sSub>
            </m:den>
          </m:f>
          <m:r>
            <m:rPr>
              <m:sty m:val="p"/>
            </m:rPr>
            <m:t>.</m:t>
          </m:r>
        </m:oMath>
      </m:oMathPara>
    </w:p>
    <w:p>
      <w:pPr>
        <w:pStyle w:val="FirstParagraph"/>
      </w:pPr>
      <w:r>
        <w:t xml:space="preserve">For ligament parameters,</w:t>
      </w:r>
      <w:r>
        <w:t xml:space="preserve"> </w:t>
      </w:r>
      <m:oMath>
        <m:r>
          <m:rPr>
            <m:sty m:val="p"/>
          </m:rPr>
          <m:t>∂</m:t>
        </m:r>
        <m:sSub>
          <m:e>
            <m:r>
              <m:t>K</m:t>
            </m:r>
          </m:e>
          <m:sub>
            <m:r>
              <m:t>s</m:t>
            </m:r>
          </m:sub>
        </m:sSub>
        <m:r>
          <m:rPr>
            <m:sty m:val="p"/>
          </m:rPr>
          <m:t>/</m:t>
        </m:r>
        <m:r>
          <m:rPr>
            <m:sty m:val="p"/>
          </m:rPr>
          <m:t>∂</m:t>
        </m:r>
        <m:sSub>
          <m:e>
            <m:r>
              <m:t>k</m:t>
            </m:r>
          </m:e>
          <m:sub>
            <m:r>
              <m:rPr>
                <m:sty m:val="p"/>
              </m:rPr>
              <m:t>s</m:t>
            </m:r>
            <m:r>
              <m:rPr>
                <m:sty m:val="p"/>
              </m:rPr>
              <m:t>e</m:t>
            </m:r>
            <m:r>
              <m:rPr>
                <m:sty m:val="p"/>
              </m:rPr>
              <m:t>g</m:t>
            </m:r>
          </m:sub>
        </m:sSub>
        <m:r>
          <m:rPr>
            <m:sty m:val="p"/>
          </m:rPr>
          <m:t>=</m:t>
        </m:r>
        <m:r>
          <m:rPr>
            <m:sty m:val="b"/>
          </m:rPr>
          <m:t>e</m:t>
        </m:r>
        <m:sSup>
          <m:e>
            <m:r>
              <m:rPr>
                <m:sty m:val="b"/>
              </m:rPr>
              <m:t>e</m:t>
            </m:r>
          </m:e>
          <m:sup>
            <m:r>
              <m:rPr>
                <m:sty m:val="p"/>
              </m:rPr>
              <m:t>⊤</m:t>
            </m:r>
          </m:sup>
        </m:sSup>
      </m:oMath>
      <w:r>
        <w:t xml:space="preserve"> </w:t>
      </w:r>
      <w:r>
        <w:t xml:space="preserve">and</w:t>
      </w:r>
      <w:r>
        <w:t xml:space="preserve"> </w:t>
      </w:r>
      <m:oMath>
        <m:r>
          <m:rPr>
            <m:sty m:val="p"/>
          </m:rPr>
          <m:t>∂</m:t>
        </m:r>
        <m:sSub>
          <m:e>
            <m:r>
              <m:t>K</m:t>
            </m:r>
          </m:e>
          <m:sub>
            <m:r>
              <m:t>s</m:t>
            </m:r>
          </m:sub>
        </m:sSub>
        <m:r>
          <m:rPr>
            <m:sty m:val="p"/>
          </m:rPr>
          <m:t>/</m:t>
        </m:r>
        <m:r>
          <m:rPr>
            <m:sty m:val="p"/>
          </m:rPr>
          <m:t>∂</m:t>
        </m:r>
        <m:sSub>
          <m:e>
            <m:r>
              <m:t>T</m:t>
            </m:r>
          </m:e>
          <m:sub>
            <m:r>
              <m:rPr>
                <m:sty m:val="p"/>
              </m:rPr>
              <m:t>s</m:t>
            </m:r>
            <m:r>
              <m:rPr>
                <m:sty m:val="p"/>
              </m:rPr>
              <m:t>e</m:t>
            </m:r>
            <m:r>
              <m:rPr>
                <m:sty m:val="p"/>
              </m:rPr>
              <m:t>g</m:t>
            </m:r>
          </m:sub>
        </m:sSub>
        <m:r>
          <m:rPr>
            <m:sty m:val="p"/>
          </m:rPr>
          <m:t>=</m:t>
        </m:r>
        <m:r>
          <m:rPr>
            <m:sty m:val="p"/>
          </m:rPr>
          <m:t>(</m:t>
        </m:r>
        <m:r>
          <m:t>I</m:t>
        </m:r>
        <m:r>
          <m:rPr>
            <m:sty m:val="p"/>
          </m:rPr>
          <m:t>−</m:t>
        </m:r>
        <m:r>
          <m:rPr>
            <m:sty m:val="b"/>
          </m:rPr>
          <m:t>e</m:t>
        </m:r>
        <m:sSup>
          <m:e>
            <m:r>
              <m:rPr>
                <m:sty m:val="b"/>
              </m:rPr>
              <m:t>e</m:t>
            </m:r>
          </m:e>
          <m:sup>
            <m:r>
              <m:rPr>
                <m:sty m:val="p"/>
              </m:rPr>
              <m:t>⊤</m:t>
            </m:r>
          </m:sup>
        </m:sSup>
        <m:r>
          <m:rPr>
            <m:sty m:val="p"/>
          </m:rPr>
          <m:t>)</m:t>
        </m:r>
        <m:r>
          <m:rPr>
            <m:sty m:val="p"/>
          </m:rPr>
          <m:t>/</m:t>
        </m:r>
        <m:r>
          <m:t>L</m:t>
        </m:r>
      </m:oMath>
      <w:r>
        <w:t xml:space="preserve"> </w:t>
      </w:r>
      <w:r>
        <w:t xml:space="preserve">are aggregated over segments in each bundle using the geometric assembly underlying (6).</w:t>
      </w:r>
      <w:r>
        <w:t xml:space="preserve"> </w:t>
      </w:r>
      <w:r>
        <w:t xml:space="preserve">For cartilage moduli,</w:t>
      </w:r>
      <w:r>
        <w:t xml:space="preserve"> </w:t>
      </w:r>
      <m:oMath>
        <m:r>
          <m:rPr>
            <m:sty m:val="p"/>
          </m:rPr>
          <m:t>∂</m:t>
        </m:r>
        <m:sSub>
          <m:e>
            <m:r>
              <m:t>K</m:t>
            </m:r>
          </m:e>
          <m:sub>
            <m:r>
              <m:t>s</m:t>
            </m:r>
          </m:sub>
        </m:sSub>
        <m:r>
          <m:rPr>
            <m:sty m:val="p"/>
          </m:rPr>
          <m:t>/</m:t>
        </m:r>
        <m:r>
          <m:rPr>
            <m:sty m:val="p"/>
          </m:rPr>
          <m:t>∂</m:t>
        </m:r>
        <m:sSub>
          <m:e>
            <m:r>
              <m:t>E</m:t>
            </m:r>
          </m:e>
          <m:sub>
            <m:r>
              <m:rPr>
                <m:sty m:val="p"/>
              </m:rPr>
              <m:t>r</m:t>
            </m:r>
            <m:r>
              <m:rPr>
                <m:sty m:val="p"/>
              </m:rPr>
              <m:t>e</m:t>
            </m:r>
            <m:r>
              <m:rPr>
                <m:sty m:val="p"/>
              </m:rPr>
              <m:t>g</m:t>
            </m:r>
            <m:r>
              <m:rPr>
                <m:sty m:val="p"/>
              </m:rPr>
              <m:t>i</m:t>
            </m:r>
            <m:r>
              <m:rPr>
                <m:sty m:val="p"/>
              </m:rPr>
              <m:t>o</m:t>
            </m:r>
            <m:r>
              <m:rPr>
                <m:sty m:val="p"/>
              </m:rPr>
              <m:t>n</m:t>
            </m:r>
          </m:sub>
        </m:sSub>
      </m:oMath>
      <w:r>
        <w:t xml:space="preserve"> </w:t>
      </w:r>
      <w:r>
        <w:t xml:space="preserve">is the element-wise elastic stiffness integrated over the corresponding joint domain, scaled by the baseline modulus.</w:t>
      </w:r>
      <w:r>
        <w:t xml:space="preserve"> </w:t>
      </w:r>
      <w:r>
        <w:t xml:space="preserve">For the high-density branch of (4), the chain rule gives</w:t>
      </w:r>
      <w:r>
        <w:t xml:space="preserve"> </w:t>
      </w:r>
      <m:oMath>
        <m:r>
          <m:rPr>
            <m:sty m:val="p"/>
          </m:rPr>
          <m:t>∂</m:t>
        </m:r>
        <m:r>
          <m:t>E</m:t>
        </m:r>
        <m:r>
          <m:rPr>
            <m:sty m:val="p"/>
          </m:rPr>
          <m:t>/</m:t>
        </m:r>
        <m:r>
          <m:rPr>
            <m:sty m:val="p"/>
          </m:rPr>
          <m:t>∂</m:t>
        </m:r>
        <m:r>
          <m:t>α</m:t>
        </m:r>
        <m:r>
          <m:rPr>
            <m:sty m:val="p"/>
          </m:rPr>
          <m:t>=</m:t>
        </m:r>
        <m:r>
          <m:t>E</m:t>
        </m:r>
        <m:r>
          <m:rPr>
            <m:sty m:val="p"/>
          </m:rPr>
          <m:t>/</m:t>
        </m:r>
        <m:r>
          <m:t>α</m:t>
        </m:r>
      </m:oMath>
      <w:r>
        <w:t xml:space="preserve"> </w:t>
      </w:r>
      <w:r>
        <w:t xml:space="preserve">and</w:t>
      </w:r>
      <w:r>
        <w:t xml:space="preserve"> </w:t>
      </w:r>
      <m:oMath>
        <m:r>
          <m:rPr>
            <m:sty m:val="p"/>
          </m:rPr>
          <m:t>∂</m:t>
        </m:r>
        <m:r>
          <m:t>E</m:t>
        </m:r>
        <m:r>
          <m:rPr>
            <m:sty m:val="p"/>
          </m:rPr>
          <m:t>/</m:t>
        </m:r>
        <m:r>
          <m:rPr>
            <m:sty m:val="p"/>
          </m:rPr>
          <m:t>∂</m:t>
        </m:r>
        <m:r>
          <m:t>β</m:t>
        </m:r>
        <m:r>
          <m:rPr>
            <m:sty m:val="p"/>
          </m:rPr>
          <m:t>=</m:t>
        </m:r>
        <m:r>
          <m:t>E</m:t>
        </m:r>
        <m:r>
          <m:rPr>
            <m:nor/>
            <m:sty m:val="p"/>
          </m:rPr>
          <m:t>ln</m:t>
        </m:r>
        <m:sSub>
          <m:e>
            <m:r>
              <m:t>ρ</m:t>
            </m:r>
          </m:e>
          <m:sub>
            <m:r>
              <m:rPr>
                <m:sty m:val="p"/>
              </m:rPr>
              <m:t>a</m:t>
            </m:r>
            <m:r>
              <m:rPr>
                <m:sty m:val="p"/>
              </m:rPr>
              <m:t>s</m:t>
            </m:r>
            <m:r>
              <m:rPr>
                <m:sty m:val="p"/>
              </m:rPr>
              <m:t>h</m:t>
            </m:r>
          </m:sub>
        </m:sSub>
      </m:oMath>
      <w:r>
        <w:t xml:space="preserve">, integrated over the bone domain.</w:t>
      </w:r>
      <w:r>
        <w:t xml:space="preserve"> </w:t>
      </w:r>
      <w:r>
        <w:t xml:space="preserve">Storing the dimensionless Jacobians</w:t>
      </w:r>
    </w:p>
    <w:p>
      <w:pPr>
        <w:pStyle w:val="BodyText"/>
      </w:pPr>
      <m:oMathPara>
        <m:oMathParaPr>
          <m:jc m:val="center"/>
        </m:oMathParaPr>
        <m:oMath>
          <m:sSubSup>
            <m:e>
              <m:r>
                <m:t>J</m:t>
              </m:r>
            </m:e>
            <m:sub>
              <m:r>
                <m:t>j</m:t>
              </m:r>
            </m:sub>
            <m:sup>
              <m:r>
                <m:rPr>
                  <m:sty m:val="p"/>
                </m:rPr>
                <m:t>(</m:t>
              </m:r>
              <m:r>
                <m:t>m</m:t>
              </m:r>
              <m:r>
                <m:rPr>
                  <m:sty m:val="p"/>
                </m:rPr>
                <m:t>)</m:t>
              </m:r>
            </m:sup>
          </m:sSubSup>
          <m:r>
            <m:rPr>
              <m:sty m:val="p"/>
            </m:rPr>
            <m:t>=</m:t>
          </m:r>
          <m:f>
            <m:fPr>
              <m:type m:val="bar"/>
            </m:fPr>
            <m:num>
              <m:sSub>
                <m:e>
                  <m:r>
                    <m:t>p</m:t>
                  </m:r>
                </m:e>
                <m:sub>
                  <m:r>
                    <m:t>j</m:t>
                  </m:r>
                </m:sub>
              </m:sSub>
            </m:num>
            <m:den>
              <m:sSub>
                <m:e>
                  <m:r>
                    <m:t>λ</m:t>
                  </m:r>
                </m:e>
                <m:sub>
                  <m:r>
                    <m:t>m</m:t>
                  </m:r>
                </m:sub>
              </m:sSub>
            </m:den>
          </m:f>
          <m:f>
            <m:fPr>
              <m:type m:val="bar"/>
            </m:fPr>
            <m:num>
              <m:r>
                <m:rPr>
                  <m:sty m:val="p"/>
                </m:rPr>
                <m:t>∂</m:t>
              </m:r>
              <m:sSub>
                <m:e>
                  <m:r>
                    <m:t>λ</m:t>
                  </m:r>
                </m:e>
                <m:sub>
                  <m:r>
                    <m:t>m</m:t>
                  </m:r>
                </m:sub>
              </m:sSub>
            </m:num>
            <m:den>
              <m:r>
                <m:rPr>
                  <m:sty m:val="p"/>
                </m:rPr>
                <m:t>∂</m:t>
              </m:r>
              <m:sSub>
                <m:e>
                  <m:r>
                    <m:t>p</m:t>
                  </m:r>
                </m:e>
                <m:sub>
                  <m:r>
                    <m:t>j</m:t>
                  </m:r>
                </m:sub>
              </m:sSub>
            </m:den>
          </m:f>
        </m:oMath>
      </m:oMathPara>
    </w:p>
    <w:p>
      <w:pPr>
        <w:pStyle w:val="FirstParagraph"/>
      </w:pPr>
      <w:r>
        <w:t xml:space="preserve">once per subject lets us compute log-space variance propagation as</w:t>
      </w:r>
      <w:r>
        <w:t xml:space="preserve"> </w:t>
      </w:r>
      <m:oMath>
        <m:r>
          <m:rPr>
            <m:sty m:val="p"/>
          </m:rPr>
          <m:t>V</m:t>
        </m:r>
        <m:r>
          <m:rPr>
            <m:sty m:val="p"/>
          </m:rPr>
          <m:t>a</m:t>
        </m:r>
        <m:r>
          <m:rPr>
            <m:sty m:val="p"/>
          </m:rPr>
          <m:t>r</m:t>
        </m:r>
        <m:r>
          <m:rPr>
            <m:sty m:val="p"/>
          </m:rPr>
          <m:t>(</m:t>
        </m:r>
        <m:r>
          <m:rPr>
            <m:nor/>
            <m:sty m:val="p"/>
          </m:rPr>
          <m:t>log</m:t>
        </m:r>
        <m:sSub>
          <m:e>
            <m:r>
              <m:t>λ</m:t>
            </m:r>
          </m:e>
          <m:sub>
            <m:r>
              <m:t>m</m:t>
            </m:r>
          </m:sub>
        </m:sSub>
        <m:r>
          <m:rPr>
            <m:sty m:val="p"/>
          </m:rPr>
          <m:t>)</m:t>
        </m:r>
        <m:r>
          <m:rPr>
            <m:sty m:val="p"/>
          </m:rPr>
          <m:t>=</m:t>
        </m:r>
        <m:sSubSup>
          <m:e>
            <m:r>
              <m:rPr>
                <m:sty m:val="b"/>
              </m:rPr>
              <m:t>J</m:t>
            </m:r>
          </m:e>
          <m:sub>
            <m:r>
              <m:t>m</m:t>
            </m:r>
          </m:sub>
          <m:sup>
            <m:r>
              <m:rPr>
                <m:sty m:val="p"/>
              </m:rPr>
              <m:t>⊤</m:t>
            </m:r>
          </m:sup>
        </m:sSubSup>
        <m:r>
          <m:t>Σ</m:t>
        </m:r>
        <m:sSub>
          <m:e>
            <m:r>
              <m:rPr>
                <m:sty m:val="b"/>
              </m:rPr>
              <m:t>J</m:t>
            </m:r>
          </m:e>
          <m:sub>
            <m:r>
              <m:t>m</m:t>
            </m:r>
          </m:sub>
        </m:sSub>
      </m:oMath>
      <w:r>
        <w:t xml:space="preserve"> </w:t>
      </w:r>
      <w:r>
        <w:t xml:space="preserve">for any prior covariance</w:t>
      </w:r>
      <w:r>
        <w:t xml:space="preserve"> </w:t>
      </w:r>
      <m:oMath>
        <m:r>
          <m:t>Σ</m:t>
        </m:r>
      </m:oMath>
      <w:r>
        <w:t xml:space="preserve"> </w:t>
      </w:r>
      <w:r>
        <w:t xml:space="preserve">on the material parameters, including hierarchical priors that separate global, per-type, and left/right components.</w:t>
      </w:r>
      <w:r>
        <w:t xml:space="preserve"> </w:t>
      </w:r>
      <w:r>
        <w:t xml:space="preserve">Fig. 9 summarises the resulting variance decomposition across the 15 lowest eigenvalues: cartilage moduli dominate the per-mode coefficient of variation, ligament contributions are concentrated in a small number of mid-rank modes, and bone density-law parameters contribute only a few percent per mode.</w:t>
      </w:r>
      <w:r>
        <w:t xml:space="preserve"> </w:t>
      </w:r>
      <w:r>
        <w:t xml:space="preserve">The gap-protected low-rank modes and the 9–10 inlet cluster are covered by the same analytical machinery, so the cluster-detection threshold</w:t>
      </w:r>
      <w:r>
        <w:t xml:space="preserve"> </w:t>
      </w:r>
      <m:oMath>
        <m:sSub>
          <m:e>
            <m:r>
              <m:t>ε</m:t>
            </m:r>
          </m:e>
          <m:sub>
            <m:r>
              <m:rPr>
                <m:sty m:val="p"/>
              </m:rPr>
              <m:t>i</m:t>
            </m:r>
            <m:r>
              <m:rPr>
                <m:sty m:val="p"/>
              </m:rPr>
              <m:t>n</m:t>
            </m:r>
          </m:sub>
        </m:sSub>
      </m:oMath>
      <w:r>
        <w:t xml:space="preserve"> </w:t>
      </w:r>
      <w:r>
        <w:t xml:space="preserve">can be compared directly against the propagated spectral uncertainty; cluster boundaries remain well-defined under the posited parameter covariances.</w:t>
      </w:r>
      <w:r>
        <w:t xml:space="preserve"> </w:t>
      </w:r>
      <w:r>
        <w:t xml:space="preserve">Full hierarchical priors, Shapley-style decompositions, and sex-stratified versions are reported in Appendix B and Appendix D.</w:t>
      </w:r>
    </w:p>
    <w:p>
      <w:pPr>
        <w:pStyle w:val="CaptionedFigure"/>
      </w:pPr>
      <w:r>
        <w:drawing>
          <wp:inline>
            <wp:extent cx="5334000" cy="5466993"/>
            <wp:effectExtent b="0" l="0" r="0" t="0"/>
            <wp:docPr descr="Figure 9. Analytical propagation of material-parameter uncertainty to the spectrum. (A) Total coefficient of variation of each eigenvalue \lambda_1,\ldots,\lambda_{15} under the hierarchical prior, stratified by sex. (B) Fraction of per-mode log-variance attributable to ligaments, cartilage, and bone. (C) Cohort-averaged spectral gap Z-score by rank transition; low values flag candidate clustered regimes, consistently including the 9–10 pair. (D) Ligament variance split into a global laxity component, per-bundle type contributions, and left/right asymmetry. (E) Cartilage variance split into left SIJ, right SIJ, and pubic symphysis. (F) Bone-law variance split between the Keller scale parameter \alpha and exponent \beta of (4). (G) Top parameters ranked by mean relative importance across all 15 modes. All contributions are computed analytically from the first-order Jacobians J_j^{(m)} of (23) without additional FE solves." title="" id="1" name="Picture"/>
            <a:graphic>
              <a:graphicData uri="http://schemas.openxmlformats.org/drawingml/2006/picture">
                <pic:pic>
                  <pic:nvPicPr>
                    <pic:cNvPr descr="/tmp/tmp9a1knb99/media/material_uncertainty_dashboard_f868cedd2734.png" id="0" name="Picture"/>
                    <pic:cNvPicPr>
                      <a:picLocks noChangeArrowheads="1" noChangeAspect="1"/>
                    </pic:cNvPicPr>
                  </pic:nvPicPr>
                  <pic:blipFill>
                    <a:blip r:embed="rId50"/>
                    <a:stretch>
                      <a:fillRect/>
                    </a:stretch>
                  </pic:blipFill>
                  <pic:spPr bwMode="auto">
                    <a:xfrm>
                      <a:off x="0" y="0"/>
                      <a:ext cx="5334000" cy="5466993"/>
                    </a:xfrm>
                    <a:prstGeom prst="rect">
                      <a:avLst/>
                    </a:prstGeom>
                    <a:noFill/>
                    <a:ln w="9525">
                      <a:noFill/>
                      <a:headEnd/>
                      <a:tailEnd/>
                    </a:ln>
                  </pic:spPr>
                </pic:pic>
              </a:graphicData>
            </a:graphic>
          </wp:inline>
        </w:drawing>
      </w:r>
    </w:p>
    <w:p>
      <w:pPr>
        <w:pStyle w:val="ImageCaption"/>
      </w:pPr>
      <w:r>
        <w:t xml:space="preserve">Figure 9.</w:t>
      </w:r>
      <w:r>
        <w:t xml:space="preserve"> </w:t>
      </w:r>
      <w:r>
        <w:rPr>
          <w:bCs/>
          <w:b/>
        </w:rPr>
        <w:t xml:space="preserve">Analytical propagation of material-parameter uncertainty to the spectrum.</w:t>
      </w:r>
      <w:r>
        <w:t xml:space="preserve"> </w:t>
      </w:r>
      <w:r>
        <w:rPr>
          <w:bCs/>
          <w:b/>
        </w:rPr>
        <w:t xml:space="preserve">(A)</w:t>
      </w:r>
      <w:r>
        <w:t xml:space="preserve"> Total coefficient of variation of each eigenvalue</w:t>
      </w:r>
      <w:r>
        <w:t xml:space="preserve"> </w:t>
      </w:r>
      <m:oMath>
        <m:sSub>
          <m:e>
            <m:r>
              <m:t>λ</m:t>
            </m:r>
          </m:e>
          <m:sub>
            <m:r>
              <m:t>1</m:t>
            </m:r>
          </m:sub>
        </m:sSub>
        <m:r>
          <m:rPr>
            <m:sty m:val="p"/>
          </m:rPr>
          <m:t>,</m:t>
        </m:r>
        <m:r>
          <m:rPr>
            <m:sty m:val="p"/>
          </m:rPr>
          <m:t>…</m:t>
        </m:r>
        <m:r>
          <m:rPr>
            <m:sty m:val="p"/>
          </m:rPr>
          <m:t>,</m:t>
        </m:r>
        <m:sSub>
          <m:e>
            <m:r>
              <m:t>λ</m:t>
            </m:r>
          </m:e>
          <m:sub>
            <m:r>
              <m:t>15</m:t>
            </m:r>
          </m:sub>
        </m:sSub>
      </m:oMath>
      <w:r>
        <w:t xml:space="preserve"> </w:t>
      </w:r>
      <w:r>
        <w:t xml:space="preserve">under the hierarchical prior, stratified by sex.</w:t>
      </w:r>
      <w:r>
        <w:t xml:space="preserve"> </w:t>
      </w:r>
      <w:r>
        <w:rPr>
          <w:bCs/>
          <w:b/>
        </w:rPr>
        <w:t xml:space="preserve">(B)</w:t>
      </w:r>
      <w:r>
        <w:t xml:space="preserve"> Fraction of per-mode log-variance attributable to ligaments, cartilage, and bone.</w:t>
      </w:r>
      <w:r>
        <w:t xml:space="preserve"> </w:t>
      </w:r>
      <w:r>
        <w:rPr>
          <w:bCs/>
          <w:b/>
        </w:rPr>
        <w:t xml:space="preserve">(C)</w:t>
      </w:r>
      <w:r>
        <w:t xml:space="preserve"> Cohort-averaged spectral gap Z-score by rank transition; low values flag candidate clustered regimes, consistently including the 9–10 pair.</w:t>
      </w:r>
      <w:r>
        <w:t xml:space="preserve"> </w:t>
      </w:r>
      <w:r>
        <w:rPr>
          <w:bCs/>
          <w:b/>
        </w:rPr>
        <w:t xml:space="preserve">(D)</w:t>
      </w:r>
      <w:r>
        <w:t xml:space="preserve"> Ligament variance split into a global laxity component, per-bundle type contributions, and left/right asymmetry.</w:t>
      </w:r>
      <w:r>
        <w:t xml:space="preserve"> </w:t>
      </w:r>
      <w:r>
        <w:rPr>
          <w:bCs/>
          <w:b/>
        </w:rPr>
        <w:t xml:space="preserve">(E)</w:t>
      </w:r>
      <w:r>
        <w:t xml:space="preserve"> Cartilage variance split into left SIJ, right SIJ, and pubic symphysis.</w:t>
      </w:r>
      <w:r>
        <w:t xml:space="preserve"> </w:t>
      </w:r>
      <w:r>
        <w:rPr>
          <w:bCs/>
          <w:b/>
        </w:rPr>
        <w:t xml:space="preserve">(F)</w:t>
      </w:r>
      <w:r>
        <w:t xml:space="preserve"> Bone-law variance split between the Keller scale parameter</w:t>
      </w:r>
      <w:r>
        <w:t xml:space="preserve"> </w:t>
      </w:r>
      <m:oMath>
        <m:r>
          <m:t>α</m:t>
        </m:r>
      </m:oMath>
      <w:r>
        <w:t xml:space="preserve"> </w:t>
      </w:r>
      <w:r>
        <w:t xml:space="preserve">and exponent</w:t>
      </w:r>
      <w:r>
        <w:t xml:space="preserve"> </w:t>
      </w:r>
      <m:oMath>
        <m:r>
          <m:t>β</m:t>
        </m:r>
      </m:oMath>
      <w:r>
        <w:t xml:space="preserve"> </w:t>
      </w:r>
      <w:r>
        <w:t xml:space="preserve">of (4).</w:t>
      </w:r>
      <w:r>
        <w:t xml:space="preserve"> </w:t>
      </w:r>
      <w:r>
        <w:rPr>
          <w:bCs/>
          <w:b/>
        </w:rPr>
        <w:t xml:space="preserve">(G)</w:t>
      </w:r>
      <w:r>
        <w:t xml:space="preserve"> Top parameters ranked by mean relative importance across all 15 modes.</w:t>
      </w:r>
      <w:r>
        <w:t xml:space="preserve"> </w:t>
      </w:r>
      <w:r>
        <w:t xml:space="preserve">All contributions are computed analytically from the first-order Jacobians</w:t>
      </w:r>
      <w:r>
        <w:t xml:space="preserve"> </w:t>
      </w:r>
      <m:oMath>
        <m:sSubSup>
          <m:e>
            <m:r>
              <m:t>J</m:t>
            </m:r>
          </m:e>
          <m:sub>
            <m:r>
              <m:t>j</m:t>
            </m:r>
          </m:sub>
          <m:sup>
            <m:r>
              <m:rPr>
                <m:sty m:val="p"/>
              </m:rPr>
              <m:t>(</m:t>
            </m:r>
            <m:r>
              <m:t>m</m:t>
            </m:r>
            <m:r>
              <m:rPr>
                <m:sty m:val="p"/>
              </m:rPr>
              <m:t>)</m:t>
            </m:r>
          </m:sup>
        </m:sSubSup>
      </m:oMath>
      <w:r>
        <w:t xml:space="preserve"> </w:t>
      </w:r>
      <w:r>
        <w:t xml:space="preserve">of (23) without additional FE solves.</w:t>
      </w:r>
    </w:p>
    <w:bookmarkEnd w:id="51"/>
    <w:bookmarkStart w:id="52" w:name="X030127c3e65af1413b5b274376559fd4dbf0818"/>
    <w:p>
      <w:pPr>
        <w:pStyle w:val="Heading2"/>
      </w:pPr>
      <w:r>
        <w:t xml:space="preserve">Decomposition of variability sources and robustness analyses</w:t>
      </w:r>
    </w:p>
    <w:p>
      <w:pPr>
        <w:pStyle w:val="FirstParagraph"/>
      </w:pPr>
      <w:r>
        <w:t xml:space="preserve">To separate shape and material contributions to spectral variability, we compared the full cohort against a shape-only cohort (</w:t>
      </w:r>
      <m:oMath>
        <m:sSub>
          <m:e>
            <m:r>
              <m:t>χ</m:t>
            </m:r>
          </m:e>
          <m:sub>
            <m:r>
              <m:t>s</m:t>
            </m:r>
          </m:sub>
        </m:sSub>
      </m:oMath>
      <w:r>
        <w:t xml:space="preserve">, fixed reference bone modulus) and a material-only cohort (identity deformation, subject-specific bone modulus).</w:t>
      </w:r>
      <w:r>
        <w:t xml:space="preserve"> </w:t>
      </w:r>
      <w:r>
        <w:t xml:space="preserve">Robustness was assessed by (i) random permutation of subject order (invariance to machine precision), (ii) bootstrap resampling of 500 random 80% subcohorts for cluster prevalence, swap rates, and median gaps (95% bootstrap confidence intervals), and (iii) morphology-axis permutation null tests in which a one-dimensional anatomical proxy</w:t>
      </w:r>
      <w:r>
        <w:t xml:space="preserve"> </w:t>
      </w:r>
      <m:oMath>
        <m:r>
          <m:t>μ</m:t>
        </m:r>
      </m:oMath>
      <w:r>
        <w:t xml:space="preserve"> </w:t>
      </w:r>
      <w:r>
        <w:t xml:space="preserve">(e.g. AP inlet diameter) was shuffled 1000 times to assess whether swap-rate localisation along</w:t>
      </w:r>
      <w:r>
        <w:t xml:space="preserve"> </w:t>
      </w:r>
      <m:oMath>
        <m:r>
          <m:t>μ</m:t>
        </m:r>
      </m:oMath>
      <w:r>
        <w:t xml:space="preserve"> </w:t>
      </w:r>
      <w:r>
        <w:t xml:space="preserve">exceeded chance.</w:t>
      </w:r>
      <w:r>
        <w:t xml:space="preserve"> </w:t>
      </w:r>
      <w:r>
        <w:t xml:space="preserve">Post-hoc allometric regressions of</w:t>
      </w:r>
      <w:r>
        <w:t xml:space="preserve"> </w:t>
      </w:r>
      <m:oMath>
        <m:r>
          <m:rPr>
            <m:nor/>
            <m:sty m:val="p"/>
          </m:rPr>
          <m:t>log</m:t>
        </m:r>
        <m:sSub>
          <m:e>
            <m:r>
              <m:t>λ</m:t>
            </m:r>
          </m:e>
          <m:sub>
            <m:r>
              <m:t>k</m:t>
            </m:r>
          </m:sub>
        </m:sSub>
      </m:oMath>
      <w:r>
        <w:t xml:space="preserve"> </w:t>
      </w:r>
      <w:r>
        <w:t xml:space="preserve">on isotropic body-size scale </w:t>
      </w:r>
      <m:oMath>
        <m:r>
          <m:t>s</m:t>
        </m:r>
      </m:oMath>
      <w:r>
        <w:t xml:space="preserve"> </w:t>
      </w:r>
      <w:r>
        <w:t xml:space="preserve">(with instrumental variables from volume, surface, and mass) and Shapley/LMG variance decomposition into scale, sex, shape, and material contributions are reported in Appendix D.</w:t>
      </w:r>
    </w:p>
    <w:bookmarkEnd w:id="52"/>
    <w:bookmarkStart w:id="53" w:name="X8bb7aa1c86b0be3b8381a7df650f076e62c9675"/>
    <w:p>
      <w:pPr>
        <w:pStyle w:val="Heading2"/>
      </w:pPr>
      <w:r>
        <w:t xml:space="preserve">Minimal analytical model for the near-degenerate regime</w:t>
      </w:r>
    </w:p>
    <w:p>
      <w:pPr>
        <w:pStyle w:val="FirstParagraph"/>
      </w:pPr>
      <w:r>
        <w:t xml:space="preserve">The cluster/subspace framework admits a compact analytical interpretation via a two-degree-of-freedom model.</w:t>
      </w:r>
      <w:r>
        <w:t xml:space="preserve"> </w:t>
      </w:r>
      <w:r>
        <w:t xml:space="preserve">Let</w:t>
      </w:r>
      <w:r>
        <w:t xml:space="preserve"> </w:t>
      </w:r>
      <m:oMath>
        <m:sSub>
          <m:e>
            <m:r>
              <m:t>q</m:t>
            </m:r>
          </m:e>
          <m:sub>
            <m:r>
              <m:t>1</m:t>
            </m:r>
          </m:sub>
        </m:sSub>
        <m:r>
          <m:rPr>
            <m:sty m:val="p"/>
          </m:rPr>
          <m:t>,</m:t>
        </m:r>
        <m:sSub>
          <m:e>
            <m:r>
              <m:t>q</m:t>
            </m:r>
          </m:e>
          <m:sub>
            <m:r>
              <m:t>2</m:t>
            </m:r>
          </m:sub>
        </m:sSub>
      </m:oMath>
      <w:r>
        <w:t xml:space="preserve"> </w:t>
      </w:r>
      <w:r>
        <w:t xml:space="preserve">denote two generalised rotational coordinates and define a stiffness matrix</w:t>
      </w:r>
    </w:p>
    <w:p>
      <w:pPr>
        <w:pStyle w:val="BodyText"/>
      </w:pPr>
      <m:oMathPara>
        <m:oMathParaPr>
          <m:jc m:val="center"/>
        </m:oMathParaPr>
        <m:oMath>
          <m:sSub>
            <m:e>
              <m:r>
                <m:t>K</m:t>
              </m:r>
            </m:e>
            <m:sub>
              <m:r>
                <m:t>2</m:t>
              </m:r>
            </m:sub>
          </m:sSub>
          <m:r>
            <m:rPr>
              <m:sty m:val="p"/>
            </m:rPr>
            <m:t>=</m:t>
          </m:r>
          <m:d>
            <m:dPr>
              <m:begChr m:val="["/>
              <m:endChr m:val="]"/>
              <m:grow/>
            </m:dPr>
            <m:e>
              <m:m>
                <m:mPr>
                  <m:baseJc m:val="center"/>
                  <m:plcHide m:val="1"/>
                  <m:mcs>
                    <m:mc>
                      <m:mcPr>
                        <m:mcJc m:val="center"/>
                        <m:count m:val="1"/>
                      </m:mcPr>
                    </m:mc>
                    <m:mc>
                      <m:mcPr>
                        <m:mcJc m:val="center"/>
                        <m:count m:val="1"/>
                      </m:mcPr>
                    </m:mc>
                  </m:mcs>
                </m:mPr>
                <m:mr>
                  <m:e>
                    <m:sSub>
                      <m:e>
                        <m:r>
                          <m:t>k</m:t>
                        </m:r>
                      </m:e>
                      <m:sub>
                        <m:r>
                          <m:t>1</m:t>
                        </m:r>
                      </m:sub>
                    </m:sSub>
                  </m:e>
                  <m:e>
                    <m:r>
                      <m:t>c</m:t>
                    </m:r>
                  </m:e>
                </m:mr>
                <m:mr>
                  <m:e>
                    <m:r>
                      <m:t>c</m:t>
                    </m:r>
                  </m:e>
                  <m:e>
                    <m:sSub>
                      <m:e>
                        <m:r>
                          <m:t>k</m:t>
                        </m:r>
                      </m:e>
                      <m:sub>
                        <m:r>
                          <m:t>2</m:t>
                        </m:r>
                      </m:sub>
                    </m:sSub>
                  </m:e>
                </m:mr>
              </m:m>
            </m:e>
          </m:d>
          <m:r>
            <m:rPr>
              <m:sty m:val="p"/>
            </m:rPr>
            <m:t>,</m:t>
          </m:r>
          <m:r>
            <m:t>  </m:t>
          </m:r>
          <m:r>
            <m:t>Δ</m:t>
          </m:r>
          <m:r>
            <m:rPr>
              <m:sty m:val="p"/>
            </m:rPr>
            <m:t>=</m:t>
          </m:r>
          <m:sSub>
            <m:e>
              <m:r>
                <m:t>k</m:t>
              </m:r>
            </m:e>
            <m:sub>
              <m:r>
                <m:t>1</m:t>
              </m:r>
            </m:sub>
          </m:sSub>
          <m:r>
            <m:rPr>
              <m:sty m:val="p"/>
            </m:rPr>
            <m:t>−</m:t>
          </m:r>
          <m:sSub>
            <m:e>
              <m:r>
                <m:t>k</m:t>
              </m:r>
            </m:e>
            <m:sub>
              <m:r>
                <m:t>2</m:t>
              </m:r>
            </m:sub>
          </m:sSub>
          <m:r>
            <m:rPr>
              <m:sty m:val="p"/>
            </m:rPr>
            <m:t>,</m:t>
          </m:r>
          <m:r>
            <m:t>  </m:t>
          </m:r>
          <m:sSub>
            <m:e>
              <m:r>
                <m:t>k</m:t>
              </m:r>
            </m:e>
            <m:sub>
              <m:r>
                <m:t>1</m:t>
              </m:r>
            </m:sub>
          </m:sSub>
          <m:r>
            <m:rPr>
              <m:sty m:val="p"/>
            </m:rPr>
            <m:t>,</m:t>
          </m:r>
          <m:sSub>
            <m:e>
              <m:r>
                <m:t>k</m:t>
              </m:r>
            </m:e>
            <m:sub>
              <m:r>
                <m:t>2</m:t>
              </m:r>
            </m:sub>
          </m:sSub>
          <m:r>
            <m:rPr>
              <m:sty m:val="p"/>
            </m:rPr>
            <m:t>&gt;</m:t>
          </m:r>
          <m:r>
            <m:t>0</m:t>
          </m:r>
          <m:r>
            <m:rPr>
              <m:sty m:val="p"/>
            </m:rPr>
            <m:t>,</m:t>
          </m:r>
          <m:r>
            <m:t> </m:t>
          </m:r>
          <m:sSub>
            <m:e>
              <m:r>
                <m:t>k</m:t>
              </m:r>
            </m:e>
            <m:sub>
              <m:r>
                <m:t>1</m:t>
              </m:r>
            </m:sub>
          </m:sSub>
          <m:sSub>
            <m:e>
              <m:r>
                <m:t>k</m:t>
              </m:r>
            </m:e>
            <m:sub>
              <m:r>
                <m:t>2</m:t>
              </m:r>
            </m:sub>
          </m:sSub>
          <m:r>
            <m:rPr>
              <m:sty m:val="p"/>
            </m:rPr>
            <m:t>&gt;</m:t>
          </m:r>
          <m:sSup>
            <m:e>
              <m:r>
                <m:t>c</m:t>
              </m:r>
            </m:e>
            <m:sup>
              <m:r>
                <m:t>2</m:t>
              </m:r>
            </m:sup>
          </m:sSup>
          <m:r>
            <m:rPr>
              <m:sty m:val="p"/>
            </m:rPr>
            <m:t>,</m:t>
          </m:r>
        </m:oMath>
      </m:oMathPara>
    </w:p>
    <w:p>
      <w:pPr>
        <w:pStyle w:val="FirstParagraph"/>
      </w:pPr>
      <w:r>
        <w:t xml:space="preserve">with detuning </w:t>
      </w:r>
      <m:oMath>
        <m:r>
          <m:t>Δ</m:t>
        </m:r>
      </m:oMath>
      <w:r>
        <w:t xml:space="preserve"> </w:t>
      </w:r>
      <w:r>
        <w:t xml:space="preserve">and coupling </w:t>
      </w:r>
      <m:oMath>
        <m:r>
          <m:t>c</m:t>
        </m:r>
      </m:oMath>
      <w:r>
        <w:t xml:space="preserve">.</w:t>
      </w:r>
      <w:r>
        <w:t xml:space="preserve"> </w:t>
      </w:r>
      <w:r>
        <w:t xml:space="preserve">The eigenvalues are</w:t>
      </w:r>
    </w:p>
    <w:p>
      <w:pPr>
        <w:pStyle w:val="BodyText"/>
      </w:pPr>
      <m:oMathPara>
        <m:oMathParaPr>
          <m:jc m:val="center"/>
        </m:oMathParaPr>
        <m:oMath>
          <m:sSub>
            <m:e>
              <m:r>
                <m:t>λ</m:t>
              </m:r>
            </m:e>
            <m:sub>
              <m:r>
                <m:rPr>
                  <m:sty m:val="p"/>
                </m:rPr>
                <m:t>±</m:t>
              </m:r>
            </m:sub>
          </m:sSub>
          <m:r>
            <m:rPr>
              <m:sty m:val="p"/>
            </m:rPr>
            <m:t>=</m:t>
          </m:r>
          <m:f>
            <m:fPr>
              <m:type m:val="bar"/>
            </m:fPr>
            <m:num>
              <m:sSub>
                <m:e>
                  <m:r>
                    <m:t>k</m:t>
                  </m:r>
                </m:e>
                <m:sub>
                  <m:r>
                    <m:t>1</m:t>
                  </m:r>
                </m:sub>
              </m:sSub>
              <m:r>
                <m:rPr>
                  <m:sty m:val="p"/>
                </m:rPr>
                <m:t>+</m:t>
              </m:r>
              <m:sSub>
                <m:e>
                  <m:r>
                    <m:t>k</m:t>
                  </m:r>
                </m:e>
                <m:sub>
                  <m:r>
                    <m:t>2</m:t>
                  </m:r>
                </m:sub>
              </m:sSub>
            </m:num>
            <m:den>
              <m:r>
                <m:t>2</m:t>
              </m:r>
            </m:den>
          </m:f>
          <m:r>
            <m:rPr>
              <m:sty m:val="p"/>
            </m:rPr>
            <m:t>±</m:t>
          </m:r>
          <m:rad>
            <m:radPr>
              <m:degHide m:val="1"/>
            </m:radPr>
            <m:deg/>
            <m:e>
              <m:r>
                <m:rPr>
                  <m:sty m:val="p"/>
                </m:rPr>
                <m:t>(</m:t>
              </m:r>
              <m:f>
                <m:fPr>
                  <m:type m:val="lin"/>
                </m:fPr>
                <m:num>
                  <m:r>
                    <m:t>Δ</m:t>
                  </m:r>
                </m:num>
                <m:den>
                  <m:r>
                    <m:t>2</m:t>
                  </m:r>
                </m:den>
              </m:f>
              <m:sSup>
                <m:e>
                  <m:r>
                    <m:rPr>
                      <m:sty m:val="p"/>
                    </m:rPr>
                    <m:t>)</m:t>
                  </m:r>
                </m:e>
                <m:sup>
                  <m:r>
                    <m:t>2</m:t>
                  </m:r>
                </m:sup>
              </m:sSup>
              <m:r>
                <m:rPr>
                  <m:sty m:val="p"/>
                </m:rPr>
                <m:t>+</m:t>
              </m:r>
              <m:sSup>
                <m:e>
                  <m:r>
                    <m:t>c</m:t>
                  </m:r>
                </m:e>
                <m:sup>
                  <m:r>
                    <m:t>2</m:t>
                  </m:r>
                </m:sup>
              </m:sSup>
            </m:e>
          </m:rad>
          <m:r>
            <m:rPr>
              <m:sty m:val="p"/>
            </m:rPr>
            <m:t>,</m:t>
          </m:r>
          <m:r>
            <m:t>  </m:t>
          </m:r>
          <m:r>
            <m:rPr>
              <m:nor/>
              <m:sty m:val="p"/>
            </m:rPr>
            <m:t>tan</m:t>
          </m:r>
          <m:r>
            <m:rPr>
              <m:sty m:val="p"/>
            </m:rPr>
            <m:t>(</m:t>
          </m:r>
          <m:r>
            <m:t>2</m:t>
          </m:r>
          <m:r>
            <m:t>θ</m:t>
          </m:r>
          <m:r>
            <m:rPr>
              <m:sty m:val="p"/>
            </m:rPr>
            <m:t>)</m:t>
          </m:r>
          <m:r>
            <m:rPr>
              <m:sty m:val="p"/>
            </m:rPr>
            <m:t>=</m:t>
          </m:r>
          <m:f>
            <m:fPr>
              <m:type m:val="bar"/>
            </m:fPr>
            <m:num>
              <m:r>
                <m:t>2</m:t>
              </m:r>
              <m:r>
                <m:t>c</m:t>
              </m:r>
            </m:num>
            <m:den>
              <m:r>
                <m:t>Δ</m:t>
              </m:r>
            </m:den>
          </m:f>
          <m:r>
            <m:rPr>
              <m:sty m:val="p"/>
            </m:rPr>
            <m:t>,</m:t>
          </m:r>
        </m:oMath>
      </m:oMathPara>
    </w:p>
    <w:p>
      <w:pPr>
        <w:pStyle w:val="FirstParagraph"/>
      </w:pPr>
      <w:r>
        <w:t xml:space="preserve">and the minimum separation</w:t>
      </w:r>
      <w:r>
        <w:t xml:space="preserve"> </w:t>
      </w:r>
      <m:oMath>
        <m:sSub>
          <m:e>
            <m:r>
              <m:t>λ</m:t>
            </m:r>
          </m:e>
          <m:sub>
            <m:r>
              <m:rPr>
                <m:sty m:val="p"/>
              </m:rPr>
              <m:t>+</m:t>
            </m:r>
          </m:sub>
        </m:sSub>
        <m:r>
          <m:rPr>
            <m:sty m:val="p"/>
          </m:rPr>
          <m:t>−</m:t>
        </m:r>
        <m:sSub>
          <m:e>
            <m:r>
              <m:t>λ</m:t>
            </m:r>
          </m:e>
          <m:sub>
            <m:r>
              <m:rPr>
                <m:sty m:val="p"/>
              </m:rPr>
              <m:t>−</m:t>
            </m:r>
          </m:sub>
        </m:sSub>
        <m:r>
          <m:rPr>
            <m:sty m:val="p"/>
          </m:rPr>
          <m:t>=</m:t>
        </m:r>
        <m:r>
          <m:t>2</m:t>
        </m:r>
        <m:r>
          <m:rPr>
            <m:sty m:val="p"/>
          </m:rPr>
          <m:t>|</m:t>
        </m:r>
        <m:r>
          <m:t>c</m:t>
        </m:r>
        <m:r>
          <m:rPr>
            <m:sty m:val="p"/>
          </m:rPr>
          <m:t>|</m:t>
        </m:r>
      </m:oMath>
      <w:r>
        <w:t xml:space="preserve"> </w:t>
      </w:r>
      <w:r>
        <w:t xml:space="preserve">is attained at</w:t>
      </w:r>
      <w:r>
        <w:t xml:space="preserve"> </w:t>
      </w:r>
      <m:oMath>
        <m:r>
          <m:t>Δ</m:t>
        </m:r>
        <m:r>
          <m:rPr>
            <m:sty m:val="p"/>
          </m:rPr>
          <m:t>=</m:t>
        </m:r>
        <m:r>
          <m:t>0</m:t>
        </m:r>
      </m:oMath>
      <w:r>
        <w:t xml:space="preserve">, where the mixing angle passes through</w:t>
      </w:r>
      <w:r>
        <w:t xml:space="preserve"> </w:t>
      </w:r>
      <m:oMath>
        <m:r>
          <m:t>π</m:t>
        </m:r>
        <m:r>
          <m:rPr>
            <m:sty m:val="p"/>
          </m:rPr>
          <m:t>/</m:t>
        </m:r>
        <m:r>
          <m:t>4</m:t>
        </m:r>
      </m:oMath>
      <w:r>
        <w:t xml:space="preserve"> </w:t>
      </w:r>
      <w:r>
        <w:t xml:space="preserve">and the modes exchange character.</w:t>
      </w:r>
      <w:r>
        <w:t xml:space="preserve"> </w:t>
      </w:r>
      <w:r>
        <w:t xml:space="preserve">The operational criterion</w:t>
      </w:r>
    </w:p>
    <w:p>
      <w:pPr>
        <w:pStyle w:val="BodyText"/>
      </w:pPr>
      <m:oMathPara>
        <m:oMathParaPr>
          <m:jc m:val="center"/>
        </m:oMathParaPr>
        <m:oMath>
          <m:r>
            <m:rPr>
              <m:sty m:val="p"/>
            </m:rPr>
            <m:t>|</m:t>
          </m:r>
          <m:r>
            <m:t>Δ</m:t>
          </m:r>
          <m:r>
            <m:rPr>
              <m:sty m:val="p"/>
            </m:rPr>
            <m:t>(</m:t>
          </m:r>
          <m:r>
            <m:t>μ</m:t>
          </m:r>
          <m:r>
            <m:rPr>
              <m:sty m:val="p"/>
            </m:rPr>
            <m:t>)</m:t>
          </m:r>
          <m:r>
            <m:rPr>
              <m:sty m:val="p"/>
            </m:rPr>
            <m:t>|</m:t>
          </m:r>
          <m:r>
            <m:rPr>
              <m:sty m:val="p"/>
            </m:rPr>
            <m:t>≤</m:t>
          </m:r>
          <m:r>
            <m:t>τ</m:t>
          </m:r>
          <m:r>
            <m:t> </m:t>
          </m:r>
          <m:r>
            <m:rPr>
              <m:sty m:val="p"/>
            </m:rPr>
            <m:t>|</m:t>
          </m:r>
          <m:r>
            <m:t>c</m:t>
          </m:r>
          <m:r>
            <m:rPr>
              <m:sty m:val="p"/>
            </m:rPr>
            <m:t>(</m:t>
          </m:r>
          <m:r>
            <m:t>μ</m:t>
          </m:r>
          <m:r>
            <m:rPr>
              <m:sty m:val="p"/>
            </m:rPr>
            <m:t>)</m:t>
          </m:r>
          <m:r>
            <m:rPr>
              <m:sty m:val="p"/>
            </m:rPr>
            <m:t>|</m:t>
          </m:r>
          <m:r>
            <m:t> </m:t>
          </m:r>
          <m:r>
            <m:rPr>
              <m:nor/>
              <m:sty m:val="p"/>
            </m:rPr>
            <m:t>for some morphology parameter </m:t>
          </m:r>
          <m:r>
            <m:t>μ</m:t>
          </m:r>
          <m:r>
            <m:rPr>
              <m:sty m:val="p"/>
            </m:rPr>
            <m:t>,</m:t>
          </m:r>
          <m:r>
            <m:t>  </m:t>
          </m:r>
          <m:r>
            <m:t>τ</m:t>
          </m:r>
          <m:r>
            <m:rPr>
              <m:sty m:val="p"/>
            </m:rPr>
            <m:t>∈</m:t>
          </m:r>
          <m:r>
            <m:rPr>
              <m:sty m:val="p"/>
            </m:rPr>
            <m:t>[</m:t>
          </m:r>
          <m:r>
            <m:t>1.5</m:t>
          </m:r>
          <m:r>
            <m:rPr>
              <m:sty m:val="p"/>
            </m:rPr>
            <m:t>,</m:t>
          </m:r>
          <m:r>
            <m:t>2</m:t>
          </m:r>
          <m:r>
            <m:rPr>
              <m:sty m:val="p"/>
            </m:rPr>
            <m:t>]</m:t>
          </m:r>
          <m:r>
            <m:rPr>
              <m:sty m:val="p"/>
            </m:rPr>
            <m:t>,</m:t>
          </m:r>
        </m:oMath>
      </m:oMathPara>
    </w:p>
    <w:p>
      <w:pPr>
        <w:pStyle w:val="FirstParagraph"/>
      </w:pPr>
      <w:r>
        <w:t xml:space="preserve">separates near-degenerate/mixing from stable-ordering regimes.</w:t>
      </w:r>
      <w:r>
        <w:t xml:space="preserve"> </w:t>
      </w:r>
      <w:r>
        <w:t xml:space="preserve">Adding a third coordinate</w:t>
      </w:r>
      <w:r>
        <w:t xml:space="preserve"> </w:t>
      </w:r>
      <m:oMath>
        <m:sSub>
          <m:e>
            <m:r>
              <m:t>q</m:t>
            </m:r>
          </m:e>
          <m:sub>
            <m:r>
              <m:t>3</m:t>
            </m:r>
          </m:sub>
        </m:sSub>
      </m:oMath>
      <w:r>
        <w:t xml:space="preserve"> </w:t>
      </w:r>
      <w:r>
        <w:t xml:space="preserve">with stiffness </w:t>
      </w:r>
      <m:oMath>
        <m:r>
          <m:t>s</m:t>
        </m:r>
      </m:oMath>
      <w:r>
        <w:t xml:space="preserve"> </w:t>
      </w:r>
      <w:r>
        <w:t xml:space="preserve">and couplings</w:t>
      </w:r>
      <w:r>
        <w:t xml:space="preserve"> </w:t>
      </w:r>
      <m:oMath>
        <m:sSub>
          <m:e>
            <m:r>
              <m:t>d</m:t>
            </m:r>
          </m:e>
          <m:sub>
            <m:r>
              <m:t>1</m:t>
            </m:r>
          </m:sub>
        </m:sSub>
        <m:r>
          <m:rPr>
            <m:sty m:val="p"/>
          </m:rPr>
          <m:t>,</m:t>
        </m:r>
        <m:sSub>
          <m:e>
            <m:r>
              <m:t>d</m:t>
            </m:r>
          </m:e>
          <m:sub>
            <m:r>
              <m:t>2</m:t>
            </m:r>
          </m:sub>
        </m:sSub>
      </m:oMath>
      <w:r>
        <w:t xml:space="preserve"> </w:t>
      </w:r>
      <w:r>
        <w:t xml:space="preserve">and eliminating it by Schur complement yields an effective two-mode system</w:t>
      </w:r>
    </w:p>
    <w:p>
      <w:pPr>
        <w:pStyle w:val="BodyText"/>
      </w:pPr>
      <m:oMathPara>
        <m:oMathParaPr>
          <m:jc m:val="center"/>
        </m:oMathParaPr>
        <m:oMath>
          <m:sSub>
            <m:e>
              <m:r>
                <m:t>K</m:t>
              </m:r>
            </m:e>
            <m:sub>
              <m:r>
                <m:rPr>
                  <m:sty m:val="p"/>
                </m:rPr>
                <m:t>e</m:t>
              </m:r>
              <m:r>
                <m:rPr>
                  <m:sty m:val="p"/>
                </m:rPr>
                <m:t>f</m:t>
              </m:r>
              <m:r>
                <m:rPr>
                  <m:sty m:val="p"/>
                </m:rPr>
                <m:t>f</m:t>
              </m:r>
            </m:sub>
          </m:sSub>
          <m:r>
            <m:rPr>
              <m:sty m:val="p"/>
            </m:rPr>
            <m:t>=</m:t>
          </m:r>
          <m:d>
            <m:dPr>
              <m:begChr m:val="["/>
              <m:endChr m:val="]"/>
              <m:grow/>
            </m:dPr>
            <m:e>
              <m:m>
                <m:mPr>
                  <m:baseJc m:val="center"/>
                  <m:plcHide m:val="1"/>
                  <m:mcs>
                    <m:mc>
                      <m:mcPr>
                        <m:mcJc m:val="center"/>
                        <m:count m:val="1"/>
                      </m:mcPr>
                    </m:mc>
                    <m:mc>
                      <m:mcPr>
                        <m:mcJc m:val="center"/>
                        <m:count m:val="1"/>
                      </m:mcPr>
                    </m:mc>
                  </m:mcs>
                </m:mPr>
                <m:mr>
                  <m:e>
                    <m:sSub>
                      <m:e>
                        <m:r>
                          <m:t>k</m:t>
                        </m:r>
                      </m:e>
                      <m:sub>
                        <m:r>
                          <m:t>1</m:t>
                        </m:r>
                      </m:sub>
                    </m:sSub>
                    <m:r>
                      <m:rPr>
                        <m:sty m:val="p"/>
                      </m:rPr>
                      <m:t>−</m:t>
                    </m:r>
                    <m:sSubSup>
                      <m:e>
                        <m:r>
                          <m:t>d</m:t>
                        </m:r>
                      </m:e>
                      <m:sub>
                        <m:r>
                          <m:t>1</m:t>
                        </m:r>
                      </m:sub>
                      <m:sup>
                        <m:r>
                          <m:t>2</m:t>
                        </m:r>
                      </m:sup>
                    </m:sSubSup>
                    <m:r>
                      <m:rPr>
                        <m:sty m:val="p"/>
                      </m:rPr>
                      <m:t>/</m:t>
                    </m:r>
                    <m:r>
                      <m:t>s</m:t>
                    </m:r>
                  </m:e>
                  <m:e>
                    <m:r>
                      <m:t>c</m:t>
                    </m:r>
                    <m:r>
                      <m:rPr>
                        <m:sty m:val="p"/>
                      </m:rPr>
                      <m:t>−</m:t>
                    </m:r>
                    <m:sSub>
                      <m:e>
                        <m:r>
                          <m:t>d</m:t>
                        </m:r>
                      </m:e>
                      <m:sub>
                        <m:r>
                          <m:t>1</m:t>
                        </m:r>
                      </m:sub>
                    </m:sSub>
                    <m:sSub>
                      <m:e>
                        <m:r>
                          <m:t>d</m:t>
                        </m:r>
                      </m:e>
                      <m:sub>
                        <m:r>
                          <m:t>2</m:t>
                        </m:r>
                      </m:sub>
                    </m:sSub>
                    <m:r>
                      <m:rPr>
                        <m:sty m:val="p"/>
                      </m:rPr>
                      <m:t>/</m:t>
                    </m:r>
                    <m:r>
                      <m:t>s</m:t>
                    </m:r>
                  </m:e>
                </m:mr>
                <m:mr>
                  <m:e>
                    <m:r>
                      <m:t>c</m:t>
                    </m:r>
                    <m:r>
                      <m:rPr>
                        <m:sty m:val="p"/>
                      </m:rPr>
                      <m:t>−</m:t>
                    </m:r>
                    <m:sSub>
                      <m:e>
                        <m:r>
                          <m:t>d</m:t>
                        </m:r>
                      </m:e>
                      <m:sub>
                        <m:r>
                          <m:t>1</m:t>
                        </m:r>
                      </m:sub>
                    </m:sSub>
                    <m:sSub>
                      <m:e>
                        <m:r>
                          <m:t>d</m:t>
                        </m:r>
                      </m:e>
                      <m:sub>
                        <m:r>
                          <m:t>2</m:t>
                        </m:r>
                      </m:sub>
                    </m:sSub>
                    <m:r>
                      <m:rPr>
                        <m:sty m:val="p"/>
                      </m:rPr>
                      <m:t>/</m:t>
                    </m:r>
                    <m:r>
                      <m:t>s</m:t>
                    </m:r>
                  </m:e>
                  <m:e>
                    <m:sSub>
                      <m:e>
                        <m:r>
                          <m:t>k</m:t>
                        </m:r>
                      </m:e>
                      <m:sub>
                        <m:r>
                          <m:t>2</m:t>
                        </m:r>
                      </m:sub>
                    </m:sSub>
                    <m:r>
                      <m:rPr>
                        <m:sty m:val="p"/>
                      </m:rPr>
                      <m:t>−</m:t>
                    </m:r>
                    <m:sSubSup>
                      <m:e>
                        <m:r>
                          <m:t>d</m:t>
                        </m:r>
                      </m:e>
                      <m:sub>
                        <m:r>
                          <m:t>2</m:t>
                        </m:r>
                      </m:sub>
                      <m:sup>
                        <m:r>
                          <m:t>2</m:t>
                        </m:r>
                      </m:sup>
                    </m:sSubSup>
                    <m:r>
                      <m:rPr>
                        <m:sty m:val="p"/>
                      </m:rPr>
                      <m:t>/</m:t>
                    </m:r>
                    <m:r>
                      <m:t>s</m:t>
                    </m:r>
                  </m:e>
                </m:mr>
              </m:m>
            </m:e>
          </m:d>
          <m:r>
            <m:rPr>
              <m:sty m:val="p"/>
            </m:rPr>
            <m:t>,</m:t>
          </m:r>
        </m:oMath>
      </m:oMathPara>
    </w:p>
    <w:p>
      <w:pPr>
        <w:pStyle w:val="FirstParagraph"/>
      </w:pPr>
      <w:r>
        <w:t xml:space="preserve">showing how a compliant hidden pathway (small </w:t>
      </w:r>
      <m:oMath>
        <m:r>
          <m:t>s</m:t>
        </m:r>
      </m:oMath>
      <w:r>
        <w:t xml:space="preserve">) can shift effective detuning and coupling and push a population that is stable in the bare two-mode picture toward the near-degenerate regime.</w:t>
      </w:r>
      <w:r>
        <w:t xml:space="preserve"> </w:t>
      </w:r>
      <w:r>
        <w:t xml:space="preserve">In the</w:t>
      </w:r>
      <w:r>
        <w:t xml:space="preserve"> </w:t>
      </w:r>
      <m:oMath>
        <m:r>
          <m:t>n</m:t>
        </m:r>
      </m:oMath>
      <w:r>
        <w:t xml:space="preserve">-DOF finite-element setting, the detected clusters correspond to</w:t>
      </w:r>
      <w:r>
        <w:t xml:space="preserve"> </w:t>
      </w:r>
      <m:oMath>
        <m:r>
          <m:rPr>
            <m:sty m:val="p"/>
          </m:rPr>
          <m:t>{</m:t>
        </m:r>
        <m:sSub>
          <m:e>
            <m:r>
              <m:t>q</m:t>
            </m:r>
          </m:e>
          <m:sub>
            <m:r>
              <m:t>1</m:t>
            </m:r>
          </m:sub>
        </m:sSub>
        <m:r>
          <m:rPr>
            <m:sty m:val="p"/>
          </m:rPr>
          <m:t>,</m:t>
        </m:r>
        <m:sSub>
          <m:e>
            <m:r>
              <m:t>q</m:t>
            </m:r>
          </m:e>
          <m:sub>
            <m:r>
              <m:t>2</m:t>
            </m:r>
          </m:sub>
        </m:sSub>
        <m:r>
          <m:rPr>
            <m:sty m:val="p"/>
          </m:rPr>
          <m:t>}</m:t>
        </m:r>
      </m:oMath>
      <w:r>
        <w:t xml:space="preserve">, the canonical basis</w:t>
      </w:r>
      <w:r>
        <w:t xml:space="preserve"> </w:t>
      </w:r>
      <m:oMath>
        <m:r>
          <m:rPr>
            <m:sty m:val="p"/>
          </m:rPr>
          <m:t>(</m:t>
        </m:r>
        <m:sSub>
          <m:e>
            <m:r>
              <m:rPr>
                <m:sty m:val="b"/>
              </m:rPr>
              <m:t>ψ</m:t>
            </m:r>
          </m:e>
          <m:sub>
            <m:r>
              <m:t>1</m:t>
            </m:r>
          </m:sub>
        </m:sSub>
        <m:r>
          <m:rPr>
            <m:sty m:val="p"/>
          </m:rPr>
          <m:t>,</m:t>
        </m:r>
        <m:sSub>
          <m:e>
            <m:r>
              <m:rPr>
                <m:sty m:val="b"/>
              </m:rPr>
              <m:t>ψ</m:t>
            </m:r>
          </m:e>
          <m:sub>
            <m:r>
              <m:t>2</m:t>
            </m:r>
          </m:sub>
        </m:sSub>
        <m:r>
          <m:rPr>
            <m:sty m:val="p"/>
          </m:rPr>
          <m:t>)</m:t>
        </m:r>
      </m:oMath>
      <w:r>
        <w:t xml:space="preserve"> </w:t>
      </w:r>
      <w:r>
        <w:t xml:space="preserve">to the rotated eigenvectors, and</w:t>
      </w:r>
      <w:r>
        <w:t xml:space="preserve"> </w:t>
      </w:r>
      <m:oMath>
        <m:sSub>
          <m:e>
            <m:r>
              <m:rPr>
                <m:sty m:val="p"/>
              </m:rPr>
              <m:t>g</m:t>
            </m:r>
            <m:r>
              <m:rPr>
                <m:sty m:val="p"/>
              </m:rPr>
              <m:t>a</m:t>
            </m:r>
            <m:r>
              <m:rPr>
                <m:sty m:val="p"/>
              </m:rPr>
              <m:t>p</m:t>
            </m:r>
          </m:e>
          <m:sub>
            <m:r>
              <m:rPr>
                <m:sty m:val="p"/>
              </m:rPr>
              <m:t>i</m:t>
            </m:r>
            <m:r>
              <m:rPr>
                <m:sty m:val="p"/>
              </m:rPr>
              <m:t>n</m:t>
            </m:r>
          </m:sub>
        </m:sSub>
      </m:oMath>
      <w:r>
        <w:t xml:space="preserve"> </w:t>
      </w:r>
      <w:r>
        <w:t xml:space="preserve">to</w:t>
      </w:r>
      <w:r>
        <w:t xml:space="preserve"> </w:t>
      </w:r>
      <m:oMath>
        <m:r>
          <m:rPr>
            <m:sty m:val="p"/>
          </m:rPr>
          <m:t>(</m:t>
        </m:r>
        <m:sSub>
          <m:e>
            <m:r>
              <m:t>λ</m:t>
            </m:r>
          </m:e>
          <m:sub>
            <m:r>
              <m:rPr>
                <m:sty m:val="p"/>
              </m:rPr>
              <m:t>+</m:t>
            </m:r>
          </m:sub>
        </m:sSub>
        <m:r>
          <m:rPr>
            <m:sty m:val="p"/>
          </m:rPr>
          <m:t>−</m:t>
        </m:r>
        <m:sSub>
          <m:e>
            <m:r>
              <m:t>λ</m:t>
            </m:r>
          </m:e>
          <m:sub>
            <m:r>
              <m:rPr>
                <m:sty m:val="p"/>
              </m:rPr>
              <m:t>−</m:t>
            </m:r>
          </m:sub>
        </m:sSub>
        <m:r>
          <m:rPr>
            <m:sty m:val="p"/>
          </m:rPr>
          <m:t>)</m:t>
        </m:r>
        <m:r>
          <m:rPr>
            <m:sty m:val="p"/>
          </m:rPr>
          <m:t>/</m:t>
        </m:r>
        <m:sSub>
          <m:e>
            <m:r>
              <m:t>λ</m:t>
            </m:r>
          </m:e>
          <m:sub>
            <m:r>
              <m:rPr>
                <m:sty m:val="p"/>
              </m:rPr>
              <m:t>−</m:t>
            </m:r>
          </m:sub>
        </m:sSub>
      </m:oMath>
      <w:r>
        <w:t xml:space="preserve">.</w:t>
      </w:r>
      <w:r>
        <w:t xml:space="preserve"> </w:t>
      </w:r>
      <w:r>
        <w:t xml:space="preserve">A stochastic population instantiation of this model, shown and discussed in Fig. 7 and Sec. 2.7, reproduces the label–subspace dissociation, the standing-vs-task routing contrast, and the effect of hidden-pathway variability observed in the full pelvic cohort.</w:t>
      </w:r>
      <w:r>
        <w:t xml:space="preserve"> </w:t>
      </w:r>
      <w:r>
        <w:t xml:space="preserve">Explicit derivations, the small-</w:t>
      </w:r>
      <m:oMath>
        <m:r>
          <m:t>c</m:t>
        </m:r>
      </m:oMath>
      <w:r>
        <w:t xml:space="preserve"> </w:t>
      </w:r>
      <w:r>
        <w:t xml:space="preserve">expansion, and the full stochastic population extension are provided in Appendix D.</w:t>
      </w:r>
    </w:p>
    <w:bookmarkEnd w:id="53"/>
    <w:bookmarkStart w:id="54" w:name="X2b23724e13e549cbe7206ed5094646014b7b8c8"/>
    <w:p>
      <w:pPr>
        <w:pStyle w:val="Heading2"/>
      </w:pPr>
      <w:r>
        <w:t xml:space="preserve">Software and computational implementation</w:t>
      </w:r>
    </w:p>
    <w:p>
      <w:pPr>
        <w:pStyle w:val="FirstParagraph"/>
      </w:pPr>
      <w:r>
        <w:t xml:space="preserve">Finite-element assembly, eigensolves, and postprocessing were implemented in Python 3.11 with DOLFINx/FEniCSx (</w:t>
      </w:r>
      <m:oMath>
        <m:r>
          <m:rPr>
            <m:sty m:val="p"/>
          </m:rPr>
          <m:t>≥</m:t>
        </m:r>
      </m:oMath>
      <w:r>
        <w:t xml:space="preserve">0.10), PETSc, and SLEPc.</w:t>
      </w:r>
      <w:r>
        <w:t xml:space="preserve"> </w:t>
      </w:r>
      <w:r>
        <w:t xml:space="preserve">All reported figures, tables, and numerical values are produced by scripts included in the study repository.</w:t>
      </w:r>
      <w:r>
        <w:t xml:space="preserve"> </w:t>
      </w:r>
      <w:r>
        <w:t xml:space="preserve">Results are stored as compressed Zarr arrays for reproducible downstream analysis.</w:t>
      </w:r>
      <w:r>
        <w:t xml:space="preserve"> </w:t>
      </w:r>
      <w:r>
        <w:t xml:space="preserve">Further implementation details, dependency versions, and reproduction instructions are provided in the appendices and the code repository.</w:t>
      </w:r>
    </w:p>
    <w:bookmarkEnd w:id="54"/>
    <w:bookmarkEnd w:id="55"/>
    <w:bookmarkStart w:id="56" w:name="data-availability"/>
    <w:p>
      <w:pPr>
        <w:pStyle w:val="Heading1"/>
      </w:pPr>
      <w:r>
        <w:t xml:space="preserve">Data availability</w:t>
      </w:r>
    </w:p>
    <w:p>
      <w:pPr>
        <w:pStyle w:val="FirstParagraph"/>
      </w:pPr>
      <w:r>
        <w:t xml:space="preserve">Derived summary data supporting the findings of this study are provided within the manuscript, the appendices, and the study repository.</w:t>
      </w:r>
      <w:r>
        <w:t xml:space="preserve"> </w:t>
      </w:r>
      <w:r>
        <w:t xml:space="preserve">The standardised pelvic geometries originate from the BoneDat research dataset [3]; access to the underlying clinical imaging data remains subject to source-data governance restrictions and requires approval through the procedures described in the dataset publication.</w:t>
      </w:r>
    </w:p>
    <w:bookmarkEnd w:id="56"/>
    <w:bookmarkStart w:id="57" w:name="code-availability"/>
    <w:p>
      <w:pPr>
        <w:pStyle w:val="Heading1"/>
      </w:pPr>
      <w:r>
        <w:t xml:space="preserve">Code availability</w:t>
      </w:r>
    </w:p>
    <w:p>
      <w:pPr>
        <w:pStyle w:val="FirstParagraph"/>
      </w:pPr>
      <w:r>
        <w:t xml:space="preserve">Custom code used to assemble the models, run the spectral analyses, and generate the reported figures and tables is available in the study repository.</w:t>
      </w:r>
      <w:r>
        <w:t xml:space="preserve"> </w:t>
      </w:r>
      <w:r>
        <w:t xml:space="preserve">A public archival release of the analysis code will accompany publication.</w:t>
      </w:r>
    </w:p>
    <w:bookmarkEnd w:id="57"/>
    <w:bookmarkStart w:id="58" w:name="author-contributions"/>
    <w:p>
      <w:pPr>
        <w:pStyle w:val="Heading1"/>
      </w:pPr>
      <w:r>
        <w:t xml:space="preserve">Author contributions</w:t>
      </w:r>
    </w:p>
    <w:p>
      <w:pPr>
        <w:pStyle w:val="FirstParagraph"/>
      </w:pPr>
      <w:r>
        <w:t xml:space="preserve">P.H. and N.H. conceptualised the study.</w:t>
      </w:r>
      <w:r>
        <w:t xml:space="preserve"> </w:t>
      </w:r>
      <w:r>
        <w:t xml:space="preserve">P.H. developed the computational models, performed the simulations, and analysed the data.</w:t>
      </w:r>
      <w:r>
        <w:t xml:space="preserve"> </w:t>
      </w:r>
      <w:r>
        <w:t xml:space="preserve">P.H. and N.H. interpreted the results and wrote the manuscript.</w:t>
      </w:r>
    </w:p>
    <w:bookmarkEnd w:id="58"/>
    <w:bookmarkStart w:id="59" w:name="competing-interests"/>
    <w:p>
      <w:pPr>
        <w:pStyle w:val="Heading1"/>
      </w:pPr>
      <w:r>
        <w:t xml:space="preserve">Competing interests</w:t>
      </w:r>
    </w:p>
    <w:p>
      <w:pPr>
        <w:pStyle w:val="FirstParagraph"/>
      </w:pPr>
      <w:r>
        <w:t xml:space="preserve">The authors declare no competing interests.</w:t>
      </w:r>
    </w:p>
    <w:bookmarkEnd w:id="59"/>
    <w:bookmarkStart w:id="60" w:name="acknowledgments"/>
    <w:p>
      <w:pPr>
        <w:pStyle w:val="Heading1"/>
      </w:pPr>
      <w:r>
        <w:t xml:space="preserve">Acknowledgments</w:t>
      </w:r>
    </w:p>
    <w:p>
      <w:pPr>
        <w:pStyle w:val="FirstParagraph"/>
      </w:pPr>
      <w:r>
        <w:t xml:space="preserve">We thank the BoneDat project for curating the standardised imaging-derived dataset used in this study.</w:t>
      </w:r>
    </w:p>
    <w:bookmarkEnd w:id="60"/>
    <w:bookmarkStart w:id="67" w:name="spectral-cluster-architecture"/>
    <w:p>
      <w:pPr>
        <w:pStyle w:val="Heading1"/>
      </w:pPr>
      <w:r>
        <w:t xml:space="preserve">Spectral cluster architecture</w:t>
      </w:r>
    </w:p>
    <w:p>
      <w:pPr>
        <w:pStyle w:val="FirstParagraph"/>
      </w:pPr>
      <w:r>
        <w:t xml:space="preserve">The appendices collect robustness, specificity, and model-boundary analyses that support the main manuscript.</w:t>
      </w:r>
      <w:r>
        <w:t xml:space="preserve"> </w:t>
      </w:r>
      <w:r>
        <w:t xml:space="preserve">They are integrated directly into this manuscript so that the working draft remains self-contained.</w:t>
      </w:r>
    </w:p>
    <w:p>
      <w:pPr>
        <w:pStyle w:val="BodyText"/>
      </w:pPr>
      <w:r>
        <w:t xml:space="preserve">This appendix expands the bookkeeping behind the recurrent clustered regimes, including reference-mode occupancy, swap frequencies, and morphology-axis diagnostics.</w:t>
      </w:r>
      <w:r>
        <w:t xml:space="preserve"> </w:t>
      </w:r>
      <w:r>
        <w:t xml:space="preserve">Table A1 reproduces the cohort-level cluster list used in the main Results.</w:t>
      </w:r>
      <w:r>
        <w:t xml:space="preserve"> </w:t>
      </w:r>
      <w:r>
        <w:t xml:space="preserve">Table A2 records the mapping between recurrent rank clusters and their dominant reference-mode identities.</w:t>
      </w:r>
      <w:r>
        <w:t xml:space="preserve"> </w:t>
      </w:r>
      <w:r>
        <w:t xml:space="preserve">Table A3 reports per-mode swap rates, Table A4 gives the adjacent rank-pair diagnostics, Table A5 summarises the exchange-regime classification, and Table A6 reports the morphology-axis permutation null test used to localise swap behaviour.</w:t>
      </w:r>
    </w:p>
    <w:bookmarkStart w:id="61" w:name="X070ba326be0cc7a6fb282a4479d43e3b3061343"/>
    <w:p>
      <w:pPr>
        <w:pStyle w:val="Heading2"/>
      </w:pPr>
      <w:r>
        <w:t xml:space="preserve">Table A1. Detected near-degenerate rank clusters</w:t>
      </w:r>
    </w:p>
    <w:tbl>
      <w:tblPr>
        <w:tblStyle w:val="Table"/>
        <w:tblW w:type="pct" w:w="0.0"/>
        <w:tblLook w:firstRow="1" w:lastRow="0" w:firstColumn="0" w:lastColumn="0" w:noHBand="0" w:noVBand="0" w:val="0020"/>
      </w:tblPr>
      <w:tblGrid/>
      <w:tr>
        <w:tc>
          <w:p>
            <w:pPr>
              <w:pStyle w:val="Compact"/>
              <w:jc w:val="left"/>
            </w:pPr>
            <w:r>
              <w:t xml:space="preserve">Cluster</w:t>
            </w:r>
          </w:p>
        </w:tc>
        <w:tc>
          <w:p>
            <w:pPr>
              <w:pStyle w:val="Compact"/>
              <w:jc w:val="right"/>
            </w:pPr>
            <w:r>
              <w:t xml:space="preserve">Dim</w:t>
            </w:r>
          </w:p>
        </w:tc>
        <w:tc>
          <w:p>
            <w:pPr>
              <w:pStyle w:val="Compact"/>
              <w:jc w:val="right"/>
            </w:pPr>
            <m:oMath>
              <m:r>
                <m:t>n</m:t>
              </m:r>
            </m:oMath>
          </w:p>
        </w:tc>
        <w:tc>
          <w:p>
            <w:pPr>
              <w:pStyle w:val="Compact"/>
              <w:jc w:val="left"/>
            </w:pPr>
            <w:r>
              <w:t xml:space="preserve">Prev.</w:t>
            </w:r>
          </w:p>
        </w:tc>
        <w:tc>
          <w:p>
            <w:pPr>
              <w:pStyle w:val="Compact"/>
              <w:jc w:val="right"/>
            </w:pPr>
            <w:r>
              <w:t xml:space="preserve">Med. gap</w:t>
            </w:r>
            <m:oMath>
              <m:sSub>
                <m:e>
                  <m:r>
                    <m:t>​</m:t>
                  </m:r>
                </m:e>
                <m:sub>
                  <m:r>
                    <m:rPr>
                      <m:sty m:val="p"/>
                    </m:rPr>
                    <m:t>i</m:t>
                  </m:r>
                  <m:r>
                    <m:rPr>
                      <m:sty m:val="p"/>
                    </m:rPr>
                    <m:t>n</m:t>
                  </m:r>
                  <m:r>
                    <m:rPr>
                      <m:sty m:val="p"/>
                    </m:rPr>
                    <m:t>,</m:t>
                  </m:r>
                  <m:r>
                    <m:rPr>
                      <m:sty m:val="p"/>
                    </m:rPr>
                    <m:t>m</m:t>
                  </m:r>
                  <m:r>
                    <m:rPr>
                      <m:sty m:val="p"/>
                    </m:rPr>
                    <m:t>i</m:t>
                  </m:r>
                  <m:r>
                    <m:rPr>
                      <m:sty m:val="p"/>
                    </m:rPr>
                    <m:t>n</m:t>
                  </m:r>
                </m:sub>
              </m:sSub>
            </m:oMath>
          </w:p>
        </w:tc>
        <w:tc>
          <w:p>
            <w:pPr>
              <w:pStyle w:val="Compact"/>
              <w:jc w:val="right"/>
            </w:pPr>
            <w:r>
              <w:t xml:space="preserve">Med. sep</w:t>
            </w:r>
            <m:oMath>
              <m:sSub>
                <m:e>
                  <m:r>
                    <m:t>​</m:t>
                  </m:r>
                </m:e>
                <m:sub>
                  <m:r>
                    <m:rPr>
                      <m:sty m:val="p"/>
                    </m:rPr>
                    <m:t>o</m:t>
                  </m:r>
                  <m:r>
                    <m:rPr>
                      <m:sty m:val="p"/>
                    </m:rPr>
                    <m:t>u</m:t>
                  </m:r>
                  <m:r>
                    <m:rPr>
                      <m:sty m:val="p"/>
                    </m:rPr>
                    <m:t>t</m:t>
                  </m:r>
                </m:sub>
              </m:sSub>
            </m:oMath>
          </w:p>
        </w:tc>
        <w:tc>
          <w:p>
            <w:pPr>
              <w:pStyle w:val="Compact"/>
              <w:jc w:val="left"/>
            </w:pPr>
            <w:r>
              <w:t xml:space="preserve">Type</w:t>
            </w:r>
          </w:p>
        </w:tc>
      </w:tr>
      <w:tr>
        <w:tc>
          <w:p>
            <w:pPr>
              <w:pStyle w:val="Compact"/>
              <w:jc w:val="left"/>
            </w:pPr>
            <w:r>
              <w:t xml:space="preserve">Rank modes 9–10</w:t>
            </w:r>
          </w:p>
        </w:tc>
        <w:tc>
          <w:p>
            <w:pPr>
              <w:pStyle w:val="Compact"/>
              <w:jc w:val="right"/>
            </w:pPr>
            <w:r>
              <w:t xml:space="preserve">2</w:t>
            </w:r>
          </w:p>
        </w:tc>
        <w:tc>
          <w:p>
            <w:pPr>
              <w:pStyle w:val="Compact"/>
              <w:jc w:val="right"/>
            </w:pPr>
            <w:r>
              <w:t xml:space="preserve">152</w:t>
            </w:r>
          </w:p>
        </w:tc>
        <w:tc>
          <w:p>
            <w:pPr>
              <w:pStyle w:val="Compact"/>
              <w:jc w:val="left"/>
            </w:pPr>
            <w:r>
              <w:t xml:space="preserve">54.7%</w:t>
            </w:r>
          </w:p>
        </w:tc>
        <w:tc>
          <w:p>
            <w:pPr>
              <w:pStyle w:val="Compact"/>
              <w:jc w:val="right"/>
            </w:pPr>
            <w:r>
              <w:t xml:space="preserve">0.08114</w:t>
            </w:r>
          </w:p>
        </w:tc>
        <w:tc>
          <w:p>
            <w:pPr>
              <w:pStyle w:val="Compact"/>
              <w:jc w:val="right"/>
            </w:pPr>
            <w:r>
              <w:t xml:space="preserve">0.4926</w:t>
            </w:r>
          </w:p>
        </w:tc>
        <w:tc>
          <w:p>
            <w:pPr>
              <w:pStyle w:val="Compact"/>
              <w:jc w:val="left"/>
            </w:pPr>
            <w:r>
              <w:t xml:space="preserve">near-degenerate</w:t>
            </w:r>
          </w:p>
        </w:tc>
      </w:tr>
      <w:tr>
        <w:tc>
          <w:p>
            <w:pPr>
              <w:pStyle w:val="Compact"/>
              <w:jc w:val="left"/>
            </w:pPr>
            <w:r>
              <w:t xml:space="preserve">Rank modes 12–15</w:t>
            </w:r>
          </w:p>
        </w:tc>
        <w:tc>
          <w:p>
            <w:pPr>
              <w:pStyle w:val="Compact"/>
              <w:jc w:val="right"/>
            </w:pPr>
            <w:r>
              <w:t xml:space="preserve">4</w:t>
            </w:r>
          </w:p>
        </w:tc>
        <w:tc>
          <w:p>
            <w:pPr>
              <w:pStyle w:val="Compact"/>
              <w:jc w:val="right"/>
            </w:pPr>
            <w:r>
              <w:t xml:space="preserve">116</w:t>
            </w:r>
          </w:p>
        </w:tc>
        <w:tc>
          <w:p>
            <w:pPr>
              <w:pStyle w:val="Compact"/>
              <w:jc w:val="left"/>
            </w:pPr>
            <w:r>
              <w:t xml:space="preserve">41.7%</w:t>
            </w:r>
          </w:p>
        </w:tc>
        <w:tc>
          <w:p>
            <w:pPr>
              <w:pStyle w:val="Compact"/>
              <w:jc w:val="right"/>
            </w:pPr>
            <w:r>
              <w:t xml:space="preserve">0.03153</w:t>
            </w:r>
          </w:p>
        </w:tc>
        <w:tc>
          <w:p>
            <w:pPr>
              <w:pStyle w:val="Compact"/>
              <w:jc w:val="right"/>
            </w:pPr>
            <w:r>
              <w:t xml:space="preserve">0.4331</w:t>
            </w:r>
          </w:p>
        </w:tc>
        <w:tc>
          <w:p>
            <w:pPr>
              <w:pStyle w:val="Compact"/>
              <w:jc w:val="left"/>
            </w:pPr>
            <w:r>
              <w:t xml:space="preserve">near-degenerate</w:t>
            </w:r>
          </w:p>
        </w:tc>
      </w:tr>
      <w:tr>
        <w:tc>
          <w:p>
            <w:pPr>
              <w:pStyle w:val="Compact"/>
              <w:jc w:val="left"/>
            </w:pPr>
            <w:r>
              <w:t xml:space="preserve">Rank modes 5–6</w:t>
            </w:r>
          </w:p>
        </w:tc>
        <w:tc>
          <w:p>
            <w:pPr>
              <w:pStyle w:val="Compact"/>
              <w:jc w:val="right"/>
            </w:pPr>
            <w:r>
              <w:t xml:space="preserve">2</w:t>
            </w:r>
          </w:p>
        </w:tc>
        <w:tc>
          <w:p>
            <w:pPr>
              <w:pStyle w:val="Compact"/>
              <w:jc w:val="right"/>
            </w:pPr>
            <w:r>
              <w:t xml:space="preserve">94</w:t>
            </w:r>
          </w:p>
        </w:tc>
        <w:tc>
          <w:p>
            <w:pPr>
              <w:pStyle w:val="Compact"/>
              <w:jc w:val="left"/>
            </w:pPr>
            <w:r>
              <w:t xml:space="preserve">33.8%</w:t>
            </w:r>
          </w:p>
        </w:tc>
        <w:tc>
          <w:p>
            <w:pPr>
              <w:pStyle w:val="Compact"/>
              <w:jc w:val="right"/>
            </w:pPr>
            <w:r>
              <w:t xml:space="preserve">0.08737</w:t>
            </w:r>
          </w:p>
        </w:tc>
        <w:tc>
          <w:p>
            <w:pPr>
              <w:pStyle w:val="Compact"/>
              <w:jc w:val="right"/>
            </w:pPr>
            <w:r>
              <w:t xml:space="preserve">0.2345</w:t>
            </w:r>
          </w:p>
        </w:tc>
        <w:tc>
          <w:p>
            <w:pPr>
              <w:pStyle w:val="Compact"/>
              <w:jc w:val="left"/>
            </w:pPr>
            <w:r>
              <w:t xml:space="preserve">near-degenerate</w:t>
            </w:r>
          </w:p>
        </w:tc>
      </w:tr>
      <w:tr>
        <w:tc>
          <w:p>
            <w:pPr>
              <w:pStyle w:val="Compact"/>
              <w:jc w:val="left"/>
            </w:pPr>
            <w:r>
              <w:t xml:space="preserve">Rank modes 12–13</w:t>
            </w:r>
          </w:p>
        </w:tc>
        <w:tc>
          <w:p>
            <w:pPr>
              <w:pStyle w:val="Compact"/>
              <w:jc w:val="right"/>
            </w:pPr>
            <w:r>
              <w:t xml:space="preserve">2</w:t>
            </w:r>
          </w:p>
        </w:tc>
        <w:tc>
          <w:p>
            <w:pPr>
              <w:pStyle w:val="Compact"/>
              <w:jc w:val="right"/>
            </w:pPr>
            <w:r>
              <w:t xml:space="preserve">78</w:t>
            </w:r>
          </w:p>
        </w:tc>
        <w:tc>
          <w:p>
            <w:pPr>
              <w:pStyle w:val="Compact"/>
              <w:jc w:val="left"/>
            </w:pPr>
            <w:r>
              <w:t xml:space="preserve">28.1%</w:t>
            </w:r>
          </w:p>
        </w:tc>
        <w:tc>
          <w:p>
            <w:pPr>
              <w:pStyle w:val="Compact"/>
              <w:jc w:val="right"/>
            </w:pPr>
            <w:r>
              <w:t xml:space="preserve">0.03839</w:t>
            </w:r>
          </w:p>
        </w:tc>
        <w:tc>
          <w:p>
            <w:pPr>
              <w:pStyle w:val="Compact"/>
              <w:jc w:val="right"/>
            </w:pPr>
            <w:r>
              <w:t xml:space="preserve">0.1941</w:t>
            </w:r>
          </w:p>
        </w:tc>
        <w:tc>
          <w:p>
            <w:pPr>
              <w:pStyle w:val="Compact"/>
              <w:jc w:val="left"/>
            </w:pPr>
            <w:r>
              <w:t xml:space="preserve">near-degenerate</w:t>
            </w:r>
          </w:p>
        </w:tc>
      </w:tr>
      <w:tr>
        <w:tc>
          <w:p>
            <w:pPr>
              <w:pStyle w:val="Compact"/>
              <w:jc w:val="left"/>
            </w:pPr>
            <w:r>
              <w:t xml:space="preserve">Rank modes 14–15</w:t>
            </w:r>
          </w:p>
        </w:tc>
        <w:tc>
          <w:p>
            <w:pPr>
              <w:pStyle w:val="Compact"/>
              <w:jc w:val="right"/>
            </w:pPr>
            <w:r>
              <w:t xml:space="preserve">2</w:t>
            </w:r>
          </w:p>
        </w:tc>
        <w:tc>
          <w:p>
            <w:pPr>
              <w:pStyle w:val="Compact"/>
              <w:jc w:val="right"/>
            </w:pPr>
            <w:r>
              <w:t xml:space="preserve">70</w:t>
            </w:r>
          </w:p>
        </w:tc>
        <w:tc>
          <w:p>
            <w:pPr>
              <w:pStyle w:val="Compact"/>
              <w:jc w:val="left"/>
            </w:pPr>
            <w:r>
              <w:t xml:space="preserve">25.2%</w:t>
            </w:r>
          </w:p>
        </w:tc>
        <w:tc>
          <w:p>
            <w:pPr>
              <w:pStyle w:val="Compact"/>
              <w:jc w:val="right"/>
            </w:pPr>
            <w:r>
              <w:t xml:space="preserve">0.05116</w:t>
            </w:r>
          </w:p>
        </w:tc>
        <w:tc>
          <w:p>
            <w:pPr>
              <w:pStyle w:val="Compact"/>
              <w:jc w:val="right"/>
            </w:pPr>
            <w:r>
              <w:t xml:space="preserve">0.1729</w:t>
            </w:r>
          </w:p>
        </w:tc>
        <w:tc>
          <w:p>
            <w:pPr>
              <w:pStyle w:val="Compact"/>
              <w:jc w:val="left"/>
            </w:pPr>
            <w:r>
              <w:t xml:space="preserve">near-degenerate</w:t>
            </w:r>
          </w:p>
        </w:tc>
      </w:tr>
      <w:tr>
        <w:tc>
          <w:p>
            <w:pPr>
              <w:pStyle w:val="Compact"/>
              <w:jc w:val="left"/>
            </w:pPr>
            <w:r>
              <w:t xml:space="preserve">Rank modes 12–14</w:t>
            </w:r>
          </w:p>
        </w:tc>
        <w:tc>
          <w:p>
            <w:pPr>
              <w:pStyle w:val="Compact"/>
              <w:jc w:val="right"/>
            </w:pPr>
            <w:r>
              <w:t xml:space="preserve">3</w:t>
            </w:r>
          </w:p>
        </w:tc>
        <w:tc>
          <w:p>
            <w:pPr>
              <w:pStyle w:val="Compact"/>
              <w:jc w:val="right"/>
            </w:pPr>
            <w:r>
              <w:t xml:space="preserve">45</w:t>
            </w:r>
          </w:p>
        </w:tc>
        <w:tc>
          <w:p>
            <w:pPr>
              <w:pStyle w:val="Compact"/>
              <w:jc w:val="left"/>
            </w:pPr>
            <w:r>
              <w:t xml:space="preserve">16.2%</w:t>
            </w:r>
          </w:p>
        </w:tc>
        <w:tc>
          <w:p>
            <w:pPr>
              <w:pStyle w:val="Compact"/>
              <w:jc w:val="right"/>
            </w:pPr>
            <w:r>
              <w:t xml:space="preserve">0.04109</w:t>
            </w:r>
          </w:p>
        </w:tc>
        <w:tc>
          <w:p>
            <w:pPr>
              <w:pStyle w:val="Compact"/>
              <w:jc w:val="right"/>
            </w:pPr>
            <w:r>
              <w:t xml:space="preserve">0.1855</w:t>
            </w:r>
          </w:p>
        </w:tc>
        <w:tc>
          <w:p>
            <w:pPr>
              <w:pStyle w:val="Compact"/>
              <w:jc w:val="left"/>
            </w:pPr>
            <w:r>
              <w:t xml:space="preserve">near-degenerate</w:t>
            </w:r>
          </w:p>
        </w:tc>
      </w:tr>
      <w:tr>
        <w:tc>
          <w:p>
            <w:pPr>
              <w:pStyle w:val="Compact"/>
              <w:jc w:val="left"/>
            </w:pPr>
            <w:r>
              <w:t xml:space="preserve">Rank modes 4–5</w:t>
            </w:r>
          </w:p>
        </w:tc>
        <w:tc>
          <w:p>
            <w:pPr>
              <w:pStyle w:val="Compact"/>
              <w:jc w:val="right"/>
            </w:pPr>
            <w:r>
              <w:t xml:space="preserve">2</w:t>
            </w:r>
          </w:p>
        </w:tc>
        <w:tc>
          <w:p>
            <w:pPr>
              <w:pStyle w:val="Compact"/>
              <w:jc w:val="right"/>
            </w:pPr>
            <w:r>
              <w:t xml:space="preserve">35</w:t>
            </w:r>
          </w:p>
        </w:tc>
        <w:tc>
          <w:p>
            <w:pPr>
              <w:pStyle w:val="Compact"/>
              <w:jc w:val="left"/>
            </w:pPr>
            <w:r>
              <w:t xml:space="preserve">12.6%</w:t>
            </w:r>
          </w:p>
        </w:tc>
        <w:tc>
          <w:p>
            <w:pPr>
              <w:pStyle w:val="Compact"/>
              <w:jc w:val="right"/>
            </w:pPr>
            <w:r>
              <w:t xml:space="preserve">0.09521</w:t>
            </w:r>
          </w:p>
        </w:tc>
        <w:tc>
          <w:p>
            <w:pPr>
              <w:pStyle w:val="Compact"/>
              <w:jc w:val="right"/>
            </w:pPr>
            <w:r>
              <w:t xml:space="preserve">0.2185</w:t>
            </w:r>
          </w:p>
        </w:tc>
        <w:tc>
          <w:p>
            <w:pPr>
              <w:pStyle w:val="Compact"/>
              <w:jc w:val="left"/>
            </w:pPr>
            <w:r>
              <w:t xml:space="preserve">near-degenerate</w:t>
            </w:r>
          </w:p>
        </w:tc>
      </w:tr>
      <w:tr>
        <w:tc>
          <w:p>
            <w:pPr>
              <w:pStyle w:val="Compact"/>
              <w:jc w:val="left"/>
            </w:pPr>
            <w:r>
              <w:t xml:space="preserve">Rank modes 13–15</w:t>
            </w:r>
          </w:p>
        </w:tc>
        <w:tc>
          <w:p>
            <w:pPr>
              <w:pStyle w:val="Compact"/>
              <w:jc w:val="right"/>
            </w:pPr>
            <w:r>
              <w:t xml:space="preserve">3</w:t>
            </w:r>
          </w:p>
        </w:tc>
        <w:tc>
          <w:p>
            <w:pPr>
              <w:pStyle w:val="Compact"/>
              <w:jc w:val="right"/>
            </w:pPr>
            <w:r>
              <w:t xml:space="preserve">29</w:t>
            </w:r>
          </w:p>
        </w:tc>
        <w:tc>
          <w:p>
            <w:pPr>
              <w:pStyle w:val="Compact"/>
              <w:jc w:val="left"/>
            </w:pPr>
            <w:r>
              <w:t xml:space="preserve">10.4%</w:t>
            </w:r>
          </w:p>
        </w:tc>
        <w:tc>
          <w:p>
            <w:pPr>
              <w:pStyle w:val="Compact"/>
              <w:jc w:val="right"/>
            </w:pPr>
            <w:r>
              <w:t xml:space="preserve">0.04465</w:t>
            </w:r>
          </w:p>
        </w:tc>
        <w:tc>
          <w:p>
            <w:pPr>
              <w:pStyle w:val="Compact"/>
              <w:jc w:val="right"/>
            </w:pPr>
            <w:r>
              <w:t xml:space="preserve">0.1588</w:t>
            </w:r>
          </w:p>
        </w:tc>
        <w:tc>
          <w:p>
            <w:pPr>
              <w:pStyle w:val="Compact"/>
              <w:jc w:val="left"/>
            </w:pPr>
            <w:r>
              <w:t xml:space="preserve">near-degenerate</w:t>
            </w:r>
          </w:p>
        </w:tc>
      </w:tr>
      <w:tr>
        <w:tc>
          <w:p>
            <w:pPr>
              <w:pStyle w:val="Compact"/>
              <w:jc w:val="left"/>
            </w:pPr>
            <w:r>
              <w:t xml:space="preserve">Rank modes 7–8</w:t>
            </w:r>
          </w:p>
        </w:tc>
        <w:tc>
          <w:p>
            <w:pPr>
              <w:pStyle w:val="Compact"/>
              <w:jc w:val="right"/>
            </w:pPr>
            <w:r>
              <w:t xml:space="preserve">2</w:t>
            </w:r>
          </w:p>
        </w:tc>
        <w:tc>
          <w:p>
            <w:pPr>
              <w:pStyle w:val="Compact"/>
              <w:jc w:val="right"/>
            </w:pPr>
            <w:r>
              <w:t xml:space="preserve">21</w:t>
            </w:r>
          </w:p>
        </w:tc>
        <w:tc>
          <w:p>
            <w:pPr>
              <w:pStyle w:val="Compact"/>
              <w:jc w:val="left"/>
            </w:pPr>
            <w:r>
              <w:t xml:space="preserve">7.6%</w:t>
            </w:r>
          </w:p>
        </w:tc>
        <w:tc>
          <w:p>
            <w:pPr>
              <w:pStyle w:val="Compact"/>
              <w:jc w:val="right"/>
            </w:pPr>
            <w:r>
              <w:t xml:space="preserve">0.1051</w:t>
            </w:r>
          </w:p>
        </w:tc>
        <w:tc>
          <w:p>
            <w:pPr>
              <w:pStyle w:val="Compact"/>
              <w:jc w:val="right"/>
            </w:pPr>
            <w:r>
              <w:t xml:space="preserve">0.3676</w:t>
            </w:r>
          </w:p>
        </w:tc>
        <w:tc>
          <w:p>
            <w:pPr>
              <w:pStyle w:val="Compact"/>
              <w:jc w:val="left"/>
            </w:pPr>
            <w:r>
              <w:t xml:space="preserve">near-degenerate</w:t>
            </w:r>
          </w:p>
        </w:tc>
      </w:tr>
    </w:tbl>
    <w:bookmarkEnd w:id="61"/>
    <w:bookmarkStart w:id="62" w:name="Xa4b795e3c90b4944d344312d15bd07b3f005248"/>
    <w:p>
      <w:pPr>
        <w:pStyle w:val="Heading2"/>
      </w:pPr>
      <w:r>
        <w:t xml:space="preserve">Table A2. Rank-cluster to reference-mode mapping</w:t>
      </w:r>
    </w:p>
    <w:tbl>
      <w:tblPr>
        <w:tblStyle w:val="Table"/>
        <w:tblW w:type="pct" w:w="0.0"/>
        <w:tblLook w:firstRow="1" w:lastRow="0" w:firstColumn="0" w:lastColumn="0" w:noHBand="0" w:noVBand="0" w:val="0020"/>
      </w:tblPr>
      <w:tblGrid/>
      <w:tr>
        <w:tc>
          <w:p>
            <w:pPr>
              <w:pStyle w:val="Compact"/>
              <w:jc w:val="left"/>
            </w:pPr>
            <w:r>
              <w:t xml:space="preserve">rank_cluster</w:t>
            </w:r>
          </w:p>
        </w:tc>
        <w:tc>
          <w:p>
            <w:pPr>
              <w:pStyle w:val="Compact"/>
              <w:jc w:val="right"/>
            </w:pPr>
            <w:r>
              <w:t xml:space="preserve">dim</w:t>
            </w:r>
          </w:p>
        </w:tc>
        <w:tc>
          <w:p>
            <w:pPr>
              <w:pStyle w:val="Compact"/>
              <w:jc w:val="right"/>
            </w:pPr>
            <w:r>
              <w:t xml:space="preserve">n_subjects</w:t>
            </w:r>
          </w:p>
        </w:tc>
        <w:tc>
          <w:p>
            <w:pPr>
              <w:pStyle w:val="Compact"/>
              <w:jc w:val="left"/>
            </w:pPr>
            <w:r>
              <w:t xml:space="preserve">prevalence</w:t>
            </w:r>
          </w:p>
        </w:tc>
        <w:tc>
          <w:p>
            <w:pPr>
              <w:pStyle w:val="Compact"/>
              <w:jc w:val="right"/>
            </w:pPr>
            <w:r>
              <w:t xml:space="preserve">paired_all_rate</w:t>
            </w:r>
          </w:p>
        </w:tc>
        <w:tc>
          <w:p>
            <w:pPr>
              <w:pStyle w:val="Compact"/>
              <w:jc w:val="left"/>
            </w:pPr>
            <w:r>
              <w:t xml:space="preserve">ref_modes_mode</w:t>
            </w:r>
          </w:p>
        </w:tc>
        <w:tc>
          <w:p>
            <w:pPr>
              <w:pStyle w:val="Compact"/>
              <w:jc w:val="right"/>
            </w:pPr>
            <w:r>
              <w:t xml:space="preserve">ref_modes_mode_rate</w:t>
            </w:r>
          </w:p>
        </w:tc>
        <w:tc>
          <w:p>
            <w:pPr>
              <w:pStyle w:val="Compact"/>
              <w:jc w:val="left"/>
            </w:pPr>
            <w:r>
              <w:t xml:space="preserve">ref_modes_top3</w:t>
            </w:r>
          </w:p>
        </w:tc>
      </w:tr>
      <w:tr>
        <w:tc>
          <w:p>
            <w:pPr>
              <w:pStyle w:val="Compact"/>
              <w:jc w:val="left"/>
            </w:pPr>
            <w:r>
              <w:t xml:space="preserve">Rank modes 9–10</w:t>
            </w:r>
          </w:p>
        </w:tc>
        <w:tc>
          <w:p>
            <w:pPr>
              <w:pStyle w:val="Compact"/>
              <w:jc w:val="right"/>
            </w:pPr>
            <w:r>
              <w:t xml:space="preserve">2</w:t>
            </w:r>
          </w:p>
        </w:tc>
        <w:tc>
          <w:p>
            <w:pPr>
              <w:pStyle w:val="Compact"/>
              <w:jc w:val="right"/>
            </w:pPr>
            <w:r>
              <w:t xml:space="preserve">152</w:t>
            </w:r>
          </w:p>
        </w:tc>
        <w:tc>
          <w:p>
            <w:pPr>
              <w:pStyle w:val="Compact"/>
              <w:jc w:val="left"/>
            </w:pPr>
            <w:r>
              <w:t xml:space="preserve">54.7%</w:t>
            </w:r>
          </w:p>
        </w:tc>
        <w:tc>
          <w:p>
            <w:pPr>
              <w:pStyle w:val="Compact"/>
              <w:jc w:val="right"/>
            </w:pPr>
            <w:r>
              <w:t xml:space="preserve">1</w:t>
            </w:r>
          </w:p>
        </w:tc>
        <w:tc>
          <w:p>
            <w:pPr>
              <w:pStyle w:val="Compact"/>
              <w:jc w:val="left"/>
            </w:pPr>
            <w:r>
              <w:t xml:space="preserve">9–10</w:t>
            </w:r>
          </w:p>
        </w:tc>
        <w:tc>
          <w:p>
            <w:pPr>
              <w:pStyle w:val="Compact"/>
              <w:jc w:val="right"/>
            </w:pPr>
            <w:r>
              <w:t xml:space="preserve">1</w:t>
            </w:r>
          </w:p>
        </w:tc>
        <w:tc>
          <w:p>
            <w:pPr>
              <w:pStyle w:val="Compact"/>
              <w:jc w:val="left"/>
            </w:pPr>
            <w:r>
              <w:t xml:space="preserve">9–10 (100%)</w:t>
            </w:r>
          </w:p>
        </w:tc>
      </w:tr>
      <w:tr>
        <w:tc>
          <w:p>
            <w:pPr>
              <w:pStyle w:val="Compact"/>
              <w:jc w:val="left"/>
            </w:pPr>
            <w:r>
              <w:t xml:space="preserve">Rank modes 12–15</w:t>
            </w:r>
          </w:p>
        </w:tc>
        <w:tc>
          <w:p>
            <w:pPr>
              <w:pStyle w:val="Compact"/>
              <w:jc w:val="right"/>
            </w:pPr>
            <w:r>
              <w:t xml:space="preserve">4</w:t>
            </w:r>
          </w:p>
        </w:tc>
        <w:tc>
          <w:p>
            <w:pPr>
              <w:pStyle w:val="Compact"/>
              <w:jc w:val="right"/>
            </w:pPr>
            <w:r>
              <w:t xml:space="preserve">116</w:t>
            </w:r>
          </w:p>
        </w:tc>
        <w:tc>
          <w:p>
            <w:pPr>
              <w:pStyle w:val="Compact"/>
              <w:jc w:val="left"/>
            </w:pPr>
            <w:r>
              <w:t xml:space="preserve">41.7%</w:t>
            </w:r>
          </w:p>
        </w:tc>
        <w:tc>
          <w:p>
            <w:pPr>
              <w:pStyle w:val="Compact"/>
              <w:jc w:val="right"/>
            </w:pPr>
            <w:r>
              <w:t xml:space="preserve">0.7414</w:t>
            </w:r>
          </w:p>
        </w:tc>
        <w:tc>
          <w:p>
            <w:pPr>
              <w:pStyle w:val="Compact"/>
              <w:jc w:val="left"/>
            </w:pPr>
            <w:r>
              <w:t xml:space="preserve">12–15</w:t>
            </w:r>
          </w:p>
        </w:tc>
        <w:tc>
          <w:p>
            <w:pPr>
              <w:pStyle w:val="Compact"/>
              <w:jc w:val="right"/>
            </w:pPr>
            <w:r>
              <w:t xml:space="preserve">1</w:t>
            </w:r>
          </w:p>
        </w:tc>
        <w:tc>
          <w:p>
            <w:pPr>
              <w:pStyle w:val="Compact"/>
              <w:jc w:val="left"/>
            </w:pPr>
            <w:r>
              <w:t xml:space="preserve">12–15 (100%)</w:t>
            </w:r>
          </w:p>
        </w:tc>
      </w:tr>
      <w:tr>
        <w:tc>
          <w:p>
            <w:pPr>
              <w:pStyle w:val="Compact"/>
              <w:jc w:val="left"/>
            </w:pPr>
            <w:r>
              <w:t xml:space="preserve">Rank modes 5–6</w:t>
            </w:r>
          </w:p>
        </w:tc>
        <w:tc>
          <w:p>
            <w:pPr>
              <w:pStyle w:val="Compact"/>
              <w:jc w:val="right"/>
            </w:pPr>
            <w:r>
              <w:t xml:space="preserve">2</w:t>
            </w:r>
          </w:p>
        </w:tc>
        <w:tc>
          <w:p>
            <w:pPr>
              <w:pStyle w:val="Compact"/>
              <w:jc w:val="right"/>
            </w:pPr>
            <w:r>
              <w:t xml:space="preserve">94</w:t>
            </w:r>
          </w:p>
        </w:tc>
        <w:tc>
          <w:p>
            <w:pPr>
              <w:pStyle w:val="Compact"/>
              <w:jc w:val="left"/>
            </w:pPr>
            <w:r>
              <w:t xml:space="preserve">33.8%</w:t>
            </w:r>
          </w:p>
        </w:tc>
        <w:tc>
          <w:p>
            <w:pPr>
              <w:pStyle w:val="Compact"/>
              <w:jc w:val="right"/>
            </w:pPr>
            <w:r>
              <w:t xml:space="preserve">1</w:t>
            </w:r>
          </w:p>
        </w:tc>
        <w:tc>
          <w:p>
            <w:pPr>
              <w:pStyle w:val="Compact"/>
              <w:jc w:val="left"/>
            </w:pPr>
            <w:r>
              <w:t xml:space="preserve">5–6</w:t>
            </w:r>
          </w:p>
        </w:tc>
        <w:tc>
          <w:p>
            <w:pPr>
              <w:pStyle w:val="Compact"/>
              <w:jc w:val="right"/>
            </w:pPr>
            <w:r>
              <w:t xml:space="preserve">0.8298</w:t>
            </w:r>
          </w:p>
        </w:tc>
        <w:tc>
          <w:p>
            <w:pPr>
              <w:pStyle w:val="Compact"/>
              <w:jc w:val="left"/>
            </w:pPr>
            <w:r>
              <w:t xml:space="preserve">5–6 (83%); 4,6 (17%)</w:t>
            </w:r>
          </w:p>
        </w:tc>
      </w:tr>
      <w:tr>
        <w:tc>
          <w:p>
            <w:pPr>
              <w:pStyle w:val="Compact"/>
              <w:jc w:val="left"/>
            </w:pPr>
            <w:r>
              <w:t xml:space="preserve">Rank modes 12–13</w:t>
            </w:r>
          </w:p>
        </w:tc>
        <w:tc>
          <w:p>
            <w:pPr>
              <w:pStyle w:val="Compact"/>
              <w:jc w:val="right"/>
            </w:pPr>
            <w:r>
              <w:t xml:space="preserve">2</w:t>
            </w:r>
          </w:p>
        </w:tc>
        <w:tc>
          <w:p>
            <w:pPr>
              <w:pStyle w:val="Compact"/>
              <w:jc w:val="right"/>
            </w:pPr>
            <w:r>
              <w:t xml:space="preserve">78</w:t>
            </w:r>
          </w:p>
        </w:tc>
        <w:tc>
          <w:p>
            <w:pPr>
              <w:pStyle w:val="Compact"/>
              <w:jc w:val="left"/>
            </w:pPr>
            <w:r>
              <w:t xml:space="preserve">28.1%</w:t>
            </w:r>
          </w:p>
        </w:tc>
        <w:tc>
          <w:p>
            <w:pPr>
              <w:pStyle w:val="Compact"/>
              <w:jc w:val="right"/>
            </w:pPr>
            <w:r>
              <w:t xml:space="preserve">0.9872</w:t>
            </w:r>
          </w:p>
        </w:tc>
        <w:tc>
          <w:p>
            <w:pPr>
              <w:pStyle w:val="Compact"/>
              <w:jc w:val="left"/>
            </w:pPr>
            <w:r>
              <w:t xml:space="preserve">13–14</w:t>
            </w:r>
          </w:p>
        </w:tc>
        <w:tc>
          <w:p>
            <w:pPr>
              <w:pStyle w:val="Compact"/>
              <w:jc w:val="right"/>
            </w:pPr>
            <w:r>
              <w:t xml:space="preserve">0.4805</w:t>
            </w:r>
          </w:p>
        </w:tc>
        <w:tc>
          <w:p>
            <w:pPr>
              <w:pStyle w:val="Compact"/>
              <w:jc w:val="left"/>
            </w:pPr>
            <w:r>
              <w:t xml:space="preserve">13–14 (48%); 12–13 (44%); 12,15 (6%)</w:t>
            </w:r>
          </w:p>
        </w:tc>
      </w:tr>
      <w:tr>
        <w:tc>
          <w:p>
            <w:pPr>
              <w:pStyle w:val="Compact"/>
              <w:jc w:val="left"/>
            </w:pPr>
            <w:r>
              <w:t xml:space="preserve">Rank modes 14–15</w:t>
            </w:r>
          </w:p>
        </w:tc>
        <w:tc>
          <w:p>
            <w:pPr>
              <w:pStyle w:val="Compact"/>
              <w:jc w:val="right"/>
            </w:pPr>
            <w:r>
              <w:t xml:space="preserve">2</w:t>
            </w:r>
          </w:p>
        </w:tc>
        <w:tc>
          <w:p>
            <w:pPr>
              <w:pStyle w:val="Compact"/>
              <w:jc w:val="right"/>
            </w:pPr>
            <w:r>
              <w:t xml:space="preserve">70</w:t>
            </w:r>
          </w:p>
        </w:tc>
        <w:tc>
          <w:p>
            <w:pPr>
              <w:pStyle w:val="Compact"/>
              <w:jc w:val="left"/>
            </w:pPr>
            <w:r>
              <w:t xml:space="preserve">25.2%</w:t>
            </w:r>
          </w:p>
        </w:tc>
        <w:tc>
          <w:p>
            <w:pPr>
              <w:pStyle w:val="Compact"/>
              <w:jc w:val="right"/>
            </w:pPr>
            <w:r>
              <w:t xml:space="preserve">0.8571</w:t>
            </w:r>
          </w:p>
        </w:tc>
        <w:tc>
          <w:p>
            <w:pPr>
              <w:pStyle w:val="Compact"/>
              <w:jc w:val="left"/>
            </w:pPr>
            <w:r>
              <w:t xml:space="preserve">12,15</w:t>
            </w:r>
          </w:p>
        </w:tc>
        <w:tc>
          <w:p>
            <w:pPr>
              <w:pStyle w:val="Compact"/>
              <w:jc w:val="right"/>
            </w:pPr>
            <w:r>
              <w:t xml:space="preserve">0.45</w:t>
            </w:r>
          </w:p>
        </w:tc>
        <w:tc>
          <w:p>
            <w:pPr>
              <w:pStyle w:val="Compact"/>
              <w:jc w:val="left"/>
            </w:pPr>
            <w:r>
              <w:t xml:space="preserve">12,15 (45%); 14–15 (38%); 13–14 (15%)</w:t>
            </w:r>
          </w:p>
        </w:tc>
      </w:tr>
      <w:tr>
        <w:tc>
          <w:p>
            <w:pPr>
              <w:pStyle w:val="Compact"/>
              <w:jc w:val="left"/>
            </w:pPr>
            <w:r>
              <w:t xml:space="preserve">Rank modes 12–14</w:t>
            </w:r>
          </w:p>
        </w:tc>
        <w:tc>
          <w:p>
            <w:pPr>
              <w:pStyle w:val="Compact"/>
              <w:jc w:val="right"/>
            </w:pPr>
            <w:r>
              <w:t xml:space="preserve">3</w:t>
            </w:r>
          </w:p>
        </w:tc>
        <w:tc>
          <w:p>
            <w:pPr>
              <w:pStyle w:val="Compact"/>
              <w:jc w:val="right"/>
            </w:pPr>
            <w:r>
              <w:t xml:space="preserve">45</w:t>
            </w:r>
          </w:p>
        </w:tc>
        <w:tc>
          <w:p>
            <w:pPr>
              <w:pStyle w:val="Compact"/>
              <w:jc w:val="left"/>
            </w:pPr>
            <w:r>
              <w:t xml:space="preserve">16.2%</w:t>
            </w:r>
          </w:p>
        </w:tc>
        <w:tc>
          <w:p>
            <w:pPr>
              <w:pStyle w:val="Compact"/>
              <w:jc w:val="right"/>
            </w:pPr>
            <w:r>
              <w:t xml:space="preserve">0.9333</w:t>
            </w:r>
          </w:p>
        </w:tc>
        <w:tc>
          <w:p>
            <w:pPr>
              <w:pStyle w:val="Compact"/>
              <w:jc w:val="left"/>
            </w:pPr>
            <w:r>
              <w:t xml:space="preserve">12–14</w:t>
            </w:r>
          </w:p>
        </w:tc>
        <w:tc>
          <w:p>
            <w:pPr>
              <w:pStyle w:val="Compact"/>
              <w:jc w:val="right"/>
            </w:pPr>
            <w:r>
              <w:t xml:space="preserve">0.8571</w:t>
            </w:r>
          </w:p>
        </w:tc>
        <w:tc>
          <w:p>
            <w:pPr>
              <w:pStyle w:val="Compact"/>
              <w:jc w:val="left"/>
            </w:pPr>
            <w:r>
              <w:t xml:space="preserve">12–14 (86%); 12,13,15 (10%); 13–15 (5%)</w:t>
            </w:r>
          </w:p>
        </w:tc>
      </w:tr>
      <w:tr>
        <w:tc>
          <w:p>
            <w:pPr>
              <w:pStyle w:val="Compact"/>
              <w:jc w:val="left"/>
            </w:pPr>
            <w:r>
              <w:t xml:space="preserve">Rank modes 4–5</w:t>
            </w:r>
          </w:p>
        </w:tc>
        <w:tc>
          <w:p>
            <w:pPr>
              <w:pStyle w:val="Compact"/>
              <w:jc w:val="right"/>
            </w:pPr>
            <w:r>
              <w:t xml:space="preserve">2</w:t>
            </w:r>
          </w:p>
        </w:tc>
        <w:tc>
          <w:p>
            <w:pPr>
              <w:pStyle w:val="Compact"/>
              <w:jc w:val="right"/>
            </w:pPr>
            <w:r>
              <w:t xml:space="preserve">35</w:t>
            </w:r>
          </w:p>
        </w:tc>
        <w:tc>
          <w:p>
            <w:pPr>
              <w:pStyle w:val="Compact"/>
              <w:jc w:val="left"/>
            </w:pPr>
            <w:r>
              <w:t xml:space="preserve">12.6%</w:t>
            </w:r>
          </w:p>
        </w:tc>
        <w:tc>
          <w:p>
            <w:pPr>
              <w:pStyle w:val="Compact"/>
              <w:jc w:val="right"/>
            </w:pPr>
            <w:r>
              <w:t xml:space="preserve">1</w:t>
            </w:r>
          </w:p>
        </w:tc>
        <w:tc>
          <w:p>
            <w:pPr>
              <w:pStyle w:val="Compact"/>
              <w:jc w:val="left"/>
            </w:pPr>
            <w:r>
              <w:t xml:space="preserve">4–5</w:t>
            </w:r>
          </w:p>
        </w:tc>
        <w:tc>
          <w:p>
            <w:pPr>
              <w:pStyle w:val="Compact"/>
              <w:jc w:val="right"/>
            </w:pPr>
            <w:r>
              <w:t xml:space="preserve">1</w:t>
            </w:r>
          </w:p>
        </w:tc>
        <w:tc>
          <w:p>
            <w:pPr>
              <w:pStyle w:val="Compact"/>
              <w:jc w:val="left"/>
            </w:pPr>
            <w:r>
              <w:t xml:space="preserve">4–5 (100%)</w:t>
            </w:r>
          </w:p>
        </w:tc>
      </w:tr>
      <w:tr>
        <w:tc>
          <w:p>
            <w:pPr>
              <w:pStyle w:val="Compact"/>
              <w:jc w:val="left"/>
            </w:pPr>
            <w:r>
              <w:t xml:space="preserve">Rank modes 13–15</w:t>
            </w:r>
          </w:p>
        </w:tc>
        <w:tc>
          <w:p>
            <w:pPr>
              <w:pStyle w:val="Compact"/>
              <w:jc w:val="right"/>
            </w:pPr>
            <w:r>
              <w:t xml:space="preserve">3</w:t>
            </w:r>
          </w:p>
        </w:tc>
        <w:tc>
          <w:p>
            <w:pPr>
              <w:pStyle w:val="Compact"/>
              <w:jc w:val="right"/>
            </w:pPr>
            <w:r>
              <w:t xml:space="preserve">29</w:t>
            </w:r>
          </w:p>
        </w:tc>
        <w:tc>
          <w:p>
            <w:pPr>
              <w:pStyle w:val="Compact"/>
              <w:jc w:val="left"/>
            </w:pPr>
            <w:r>
              <w:t xml:space="preserve">10.4%</w:t>
            </w:r>
          </w:p>
        </w:tc>
        <w:tc>
          <w:p>
            <w:pPr>
              <w:pStyle w:val="Compact"/>
              <w:jc w:val="right"/>
            </w:pPr>
            <w:r>
              <w:t xml:space="preserve">0.8966</w:t>
            </w:r>
          </w:p>
        </w:tc>
        <w:tc>
          <w:p>
            <w:pPr>
              <w:pStyle w:val="Compact"/>
              <w:jc w:val="left"/>
            </w:pPr>
            <w:r>
              <w:t xml:space="preserve">12–14</w:t>
            </w:r>
          </w:p>
        </w:tc>
        <w:tc>
          <w:p>
            <w:pPr>
              <w:pStyle w:val="Compact"/>
              <w:jc w:val="right"/>
            </w:pPr>
            <w:r>
              <w:t xml:space="preserve">0.5</w:t>
            </w:r>
          </w:p>
        </w:tc>
        <w:tc>
          <w:p>
            <w:pPr>
              <w:pStyle w:val="Compact"/>
              <w:jc w:val="left"/>
            </w:pPr>
            <w:r>
              <w:t xml:space="preserve">12–14 (50%); 13–15 (31%); 12,14,15 (15%)</w:t>
            </w:r>
          </w:p>
        </w:tc>
      </w:tr>
      <w:tr>
        <w:tc>
          <w:p>
            <w:pPr>
              <w:pStyle w:val="Compact"/>
              <w:jc w:val="left"/>
            </w:pPr>
            <w:r>
              <w:t xml:space="preserve">Rank modes 7–8</w:t>
            </w:r>
          </w:p>
        </w:tc>
        <w:tc>
          <w:p>
            <w:pPr>
              <w:pStyle w:val="Compact"/>
              <w:jc w:val="right"/>
            </w:pPr>
            <w:r>
              <w:t xml:space="preserve">2</w:t>
            </w:r>
          </w:p>
        </w:tc>
        <w:tc>
          <w:p>
            <w:pPr>
              <w:pStyle w:val="Compact"/>
              <w:jc w:val="right"/>
            </w:pPr>
            <w:r>
              <w:t xml:space="preserve">21</w:t>
            </w:r>
          </w:p>
        </w:tc>
        <w:tc>
          <w:p>
            <w:pPr>
              <w:pStyle w:val="Compact"/>
              <w:jc w:val="left"/>
            </w:pPr>
            <w:r>
              <w:t xml:space="preserve">7.6%</w:t>
            </w:r>
          </w:p>
        </w:tc>
        <w:tc>
          <w:p>
            <w:pPr>
              <w:pStyle w:val="Compact"/>
              <w:jc w:val="right"/>
            </w:pPr>
            <w:r>
              <w:t xml:space="preserve">1</w:t>
            </w:r>
          </w:p>
        </w:tc>
        <w:tc>
          <w:p>
            <w:pPr>
              <w:pStyle w:val="Compact"/>
              <w:jc w:val="left"/>
            </w:pPr>
            <w:r>
              <w:t xml:space="preserve">7–8</w:t>
            </w:r>
          </w:p>
        </w:tc>
        <w:tc>
          <w:p>
            <w:pPr>
              <w:pStyle w:val="Compact"/>
              <w:jc w:val="right"/>
            </w:pPr>
            <w:r>
              <w:t xml:space="preserve">1</w:t>
            </w:r>
          </w:p>
        </w:tc>
        <w:tc>
          <w:p>
            <w:pPr>
              <w:pStyle w:val="Compact"/>
              <w:jc w:val="left"/>
            </w:pPr>
            <w:r>
              <w:t xml:space="preserve">7–8 (100%)</w:t>
            </w:r>
          </w:p>
        </w:tc>
      </w:tr>
    </w:tbl>
    <w:bookmarkEnd w:id="62"/>
    <w:bookmarkStart w:id="63" w:name="table-a3.-per-mode-swap-rates"/>
    <w:p>
      <w:pPr>
        <w:pStyle w:val="Heading2"/>
      </w:pPr>
      <w:r>
        <w:t xml:space="preserve">Table A3. Per-mode swap rates</w:t>
      </w:r>
    </w:p>
    <w:tbl>
      <w:tblPr>
        <w:tblStyle w:val="Table"/>
        <w:tblW w:type="pct" w:w="0.0"/>
        <w:tblLook w:firstRow="1" w:lastRow="0" w:firstColumn="0" w:lastColumn="0" w:noHBand="0" w:noVBand="0" w:val="0020"/>
      </w:tblPr>
      <w:tblGrid/>
      <w:tr>
        <w:tc>
          <w:p>
            <w:pPr>
              <w:pStyle w:val="Compact"/>
              <w:jc w:val="right"/>
            </w:pPr>
            <w:r>
              <w:t xml:space="preserve">Mode</w:t>
            </w:r>
          </w:p>
        </w:tc>
        <w:tc>
          <w:p>
            <w:pPr>
              <w:pStyle w:val="Compact"/>
              <w:jc w:val="right"/>
            </w:pPr>
            <w:r>
              <w:t xml:space="preserve">Swap rate</w:t>
            </w:r>
          </w:p>
        </w:tc>
        <w:tc>
          <w:p>
            <w:pPr>
              <w:pStyle w:val="Compact"/>
              <w:jc w:val="right"/>
            </w:pPr>
            <w:r>
              <w:t xml:space="preserve">Fail rate</w:t>
            </w:r>
          </w:p>
        </w:tc>
        <w:tc>
          <w:p>
            <w:pPr>
              <w:pStyle w:val="Compact"/>
              <w:jc w:val="right"/>
            </w:pPr>
            <w:r>
              <w:t xml:space="preserve">Non-id. rate</w:t>
            </w:r>
          </w:p>
        </w:tc>
        <w:tc>
          <w:p>
            <w:pPr>
              <w:pStyle w:val="Compact"/>
              <w:jc w:val="right"/>
            </w:pPr>
            <m:oMath>
              <m:r>
                <m:t>n</m:t>
              </m:r>
            </m:oMath>
            <w:r>
              <w:t xml:space="preserve"> </w:t>
            </w:r>
            <w:r>
              <w:t xml:space="preserve">swapped</w:t>
            </w:r>
          </w:p>
        </w:tc>
        <w:tc>
          <w:p>
            <w:pPr>
              <w:pStyle w:val="Compact"/>
              <w:jc w:val="right"/>
            </w:pPr>
            <m:oMath>
              <m:r>
                <m:t>n</m:t>
              </m:r>
            </m:oMath>
            <w:r>
              <w:t xml:space="preserve"> </w:t>
            </w:r>
            <w:r>
              <w:t xml:space="preserve">failed</w:t>
            </w:r>
          </w:p>
        </w:tc>
      </w:tr>
      <w:tr>
        <w:tc>
          <w:p>
            <w:pPr>
              <w:pStyle w:val="Compact"/>
              <w:jc w:val="right"/>
            </w:pPr>
            <w:r>
              <w:t xml:space="preserve">1</w:t>
            </w:r>
          </w:p>
        </w:tc>
        <w:tc>
          <w:p>
            <w:pPr>
              <w:pStyle w:val="Compact"/>
              <w:jc w:val="right"/>
            </w:pPr>
            <w:r>
              <w:t xml:space="preserve">0</w:t>
            </w:r>
          </w:p>
        </w:tc>
        <w:tc>
          <w:p>
            <w:pPr>
              <w:pStyle w:val="Compact"/>
              <w:jc w:val="right"/>
            </w:pPr>
            <w:r>
              <w:t xml:space="preserve">0</w:t>
            </w:r>
          </w:p>
        </w:tc>
        <w:tc>
          <w:p>
            <w:pPr>
              <w:pStyle w:val="Compact"/>
              <w:jc w:val="right"/>
            </w:pPr>
            <w:r>
              <w:t xml:space="preserve">0</w:t>
            </w:r>
          </w:p>
        </w:tc>
        <w:tc>
          <w:p>
            <w:pPr>
              <w:pStyle w:val="Compact"/>
              <w:jc w:val="right"/>
            </w:pPr>
            <w:r>
              <w:t xml:space="preserve">0</w:t>
            </w:r>
          </w:p>
        </w:tc>
        <w:tc>
          <w:p>
            <w:pPr>
              <w:pStyle w:val="Compact"/>
              <w:jc w:val="right"/>
            </w:pPr>
            <w:r>
              <w:t xml:space="preserve">0</w:t>
            </w:r>
          </w:p>
        </w:tc>
      </w:tr>
      <w:tr>
        <w:tc>
          <w:p>
            <w:pPr>
              <w:pStyle w:val="Compact"/>
              <w:jc w:val="right"/>
            </w:pPr>
            <w:r>
              <w:t xml:space="preserve">2</w:t>
            </w:r>
          </w:p>
        </w:tc>
        <w:tc>
          <w:p>
            <w:pPr>
              <w:pStyle w:val="Compact"/>
              <w:jc w:val="right"/>
            </w:pPr>
            <w:r>
              <w:t xml:space="preserve">0</w:t>
            </w:r>
          </w:p>
        </w:tc>
        <w:tc>
          <w:p>
            <w:pPr>
              <w:pStyle w:val="Compact"/>
              <w:jc w:val="right"/>
            </w:pPr>
            <w:r>
              <w:t xml:space="preserve">0</w:t>
            </w:r>
          </w:p>
        </w:tc>
        <w:tc>
          <w:p>
            <w:pPr>
              <w:pStyle w:val="Compact"/>
              <w:jc w:val="right"/>
            </w:pPr>
            <w:r>
              <w:t xml:space="preserve">0</w:t>
            </w:r>
          </w:p>
        </w:tc>
        <w:tc>
          <w:p>
            <w:pPr>
              <w:pStyle w:val="Compact"/>
              <w:jc w:val="right"/>
            </w:pPr>
            <w:r>
              <w:t xml:space="preserve">0</w:t>
            </w:r>
          </w:p>
        </w:tc>
        <w:tc>
          <w:p>
            <w:pPr>
              <w:pStyle w:val="Compact"/>
              <w:jc w:val="right"/>
            </w:pPr>
            <w:r>
              <w:t xml:space="preserve">0</w:t>
            </w:r>
          </w:p>
        </w:tc>
      </w:tr>
      <w:tr>
        <w:tc>
          <w:p>
            <w:pPr>
              <w:pStyle w:val="Compact"/>
              <w:jc w:val="right"/>
            </w:pPr>
            <w:r>
              <w:t xml:space="preserve">3</w:t>
            </w:r>
          </w:p>
        </w:tc>
        <w:tc>
          <w:p>
            <w:pPr>
              <w:pStyle w:val="Compact"/>
              <w:jc w:val="right"/>
            </w:pPr>
            <w:r>
              <w:t xml:space="preserve">0.003597</w:t>
            </w:r>
          </w:p>
        </w:tc>
        <w:tc>
          <w:p>
            <w:pPr>
              <w:pStyle w:val="Compact"/>
              <w:jc w:val="right"/>
            </w:pPr>
            <w:r>
              <w:t xml:space="preserve">0</w:t>
            </w:r>
          </w:p>
        </w:tc>
        <w:tc>
          <w:p>
            <w:pPr>
              <w:pStyle w:val="Compact"/>
              <w:jc w:val="right"/>
            </w:pPr>
            <w:r>
              <w:t xml:space="preserve">0.003597</w:t>
            </w:r>
          </w:p>
        </w:tc>
        <w:tc>
          <w:p>
            <w:pPr>
              <w:pStyle w:val="Compact"/>
              <w:jc w:val="right"/>
            </w:pPr>
            <w:r>
              <w:t xml:space="preserve">1</w:t>
            </w:r>
          </w:p>
        </w:tc>
        <w:tc>
          <w:p>
            <w:pPr>
              <w:pStyle w:val="Compact"/>
              <w:jc w:val="right"/>
            </w:pPr>
            <w:r>
              <w:t xml:space="preserve">0</w:t>
            </w:r>
          </w:p>
        </w:tc>
      </w:tr>
      <w:tr>
        <w:tc>
          <w:p>
            <w:pPr>
              <w:pStyle w:val="Compact"/>
              <w:jc w:val="right"/>
            </w:pPr>
            <w:r>
              <w:t xml:space="preserve">4</w:t>
            </w:r>
          </w:p>
        </w:tc>
        <w:tc>
          <w:p>
            <w:pPr>
              <w:pStyle w:val="Compact"/>
              <w:jc w:val="right"/>
            </w:pPr>
            <w:r>
              <w:t xml:space="preserve">0.2698</w:t>
            </w:r>
          </w:p>
        </w:tc>
        <w:tc>
          <w:p>
            <w:pPr>
              <w:pStyle w:val="Compact"/>
              <w:jc w:val="right"/>
            </w:pPr>
            <w:r>
              <w:t xml:space="preserve">0</w:t>
            </w:r>
          </w:p>
        </w:tc>
        <w:tc>
          <w:p>
            <w:pPr>
              <w:pStyle w:val="Compact"/>
              <w:jc w:val="right"/>
            </w:pPr>
            <w:r>
              <w:t xml:space="preserve">0.2698</w:t>
            </w:r>
          </w:p>
        </w:tc>
        <w:tc>
          <w:p>
            <w:pPr>
              <w:pStyle w:val="Compact"/>
              <w:jc w:val="right"/>
            </w:pPr>
            <w:r>
              <w:t xml:space="preserve">75</w:t>
            </w:r>
          </w:p>
        </w:tc>
        <w:tc>
          <w:p>
            <w:pPr>
              <w:pStyle w:val="Compact"/>
              <w:jc w:val="right"/>
            </w:pPr>
            <w:r>
              <w:t xml:space="preserve">0</w:t>
            </w:r>
          </w:p>
        </w:tc>
      </w:tr>
      <w:tr>
        <w:tc>
          <w:p>
            <w:pPr>
              <w:pStyle w:val="Compact"/>
              <w:jc w:val="right"/>
            </w:pPr>
            <w:r>
              <w:t xml:space="preserve">5</w:t>
            </w:r>
          </w:p>
        </w:tc>
        <w:tc>
          <w:p>
            <w:pPr>
              <w:pStyle w:val="Compact"/>
              <w:jc w:val="right"/>
            </w:pPr>
            <w:r>
              <w:t xml:space="preserve">0.3777</w:t>
            </w:r>
          </w:p>
        </w:tc>
        <w:tc>
          <w:p>
            <w:pPr>
              <w:pStyle w:val="Compact"/>
              <w:jc w:val="right"/>
            </w:pPr>
            <w:r>
              <w:t xml:space="preserve">0</w:t>
            </w:r>
          </w:p>
        </w:tc>
        <w:tc>
          <w:p>
            <w:pPr>
              <w:pStyle w:val="Compact"/>
              <w:jc w:val="right"/>
            </w:pPr>
            <w:r>
              <w:t xml:space="preserve">0.3777</w:t>
            </w:r>
          </w:p>
        </w:tc>
        <w:tc>
          <w:p>
            <w:pPr>
              <w:pStyle w:val="Compact"/>
              <w:jc w:val="right"/>
            </w:pPr>
            <w:r>
              <w:t xml:space="preserve">105</w:t>
            </w:r>
          </w:p>
        </w:tc>
        <w:tc>
          <w:p>
            <w:pPr>
              <w:pStyle w:val="Compact"/>
              <w:jc w:val="right"/>
            </w:pPr>
            <w:r>
              <w:t xml:space="preserve">0</w:t>
            </w:r>
          </w:p>
        </w:tc>
      </w:tr>
      <w:tr>
        <w:tc>
          <w:p>
            <w:pPr>
              <w:pStyle w:val="Compact"/>
              <w:jc w:val="right"/>
            </w:pPr>
            <w:r>
              <w:t xml:space="preserve">6</w:t>
            </w:r>
          </w:p>
        </w:tc>
        <w:tc>
          <w:p>
            <w:pPr>
              <w:pStyle w:val="Compact"/>
              <w:jc w:val="right"/>
            </w:pPr>
            <w:r>
              <w:t xml:space="preserve">0.1835</w:t>
            </w:r>
          </w:p>
        </w:tc>
        <w:tc>
          <w:p>
            <w:pPr>
              <w:pStyle w:val="Compact"/>
              <w:jc w:val="right"/>
            </w:pPr>
            <w:r>
              <w:t xml:space="preserve">0</w:t>
            </w:r>
          </w:p>
        </w:tc>
        <w:tc>
          <w:p>
            <w:pPr>
              <w:pStyle w:val="Compact"/>
              <w:jc w:val="right"/>
            </w:pPr>
            <w:r>
              <w:t xml:space="preserve">0.1835</w:t>
            </w:r>
          </w:p>
        </w:tc>
        <w:tc>
          <w:p>
            <w:pPr>
              <w:pStyle w:val="Compact"/>
              <w:jc w:val="right"/>
            </w:pPr>
            <w:r>
              <w:t xml:space="preserve">51</w:t>
            </w:r>
          </w:p>
        </w:tc>
        <w:tc>
          <w:p>
            <w:pPr>
              <w:pStyle w:val="Compact"/>
              <w:jc w:val="right"/>
            </w:pPr>
            <w:r>
              <w:t xml:space="preserve">0</w:t>
            </w:r>
          </w:p>
        </w:tc>
      </w:tr>
      <w:tr>
        <w:tc>
          <w:p>
            <w:pPr>
              <w:pStyle w:val="Compact"/>
              <w:jc w:val="right"/>
            </w:pPr>
            <w:r>
              <w:t xml:space="preserve">7</w:t>
            </w:r>
          </w:p>
        </w:tc>
        <w:tc>
          <w:p>
            <w:pPr>
              <w:pStyle w:val="Compact"/>
              <w:jc w:val="right"/>
            </w:pPr>
            <w:r>
              <w:t xml:space="preserve">0.01079</w:t>
            </w:r>
          </w:p>
        </w:tc>
        <w:tc>
          <w:p>
            <w:pPr>
              <w:pStyle w:val="Compact"/>
              <w:jc w:val="right"/>
            </w:pPr>
            <w:r>
              <w:t xml:space="preserve">0</w:t>
            </w:r>
          </w:p>
        </w:tc>
        <w:tc>
          <w:p>
            <w:pPr>
              <w:pStyle w:val="Compact"/>
              <w:jc w:val="right"/>
            </w:pPr>
            <w:r>
              <w:t xml:space="preserve">0.01079</w:t>
            </w:r>
          </w:p>
        </w:tc>
        <w:tc>
          <w:p>
            <w:pPr>
              <w:pStyle w:val="Compact"/>
              <w:jc w:val="right"/>
            </w:pPr>
            <w:r>
              <w:t xml:space="preserve">3</w:t>
            </w:r>
          </w:p>
        </w:tc>
        <w:tc>
          <w:p>
            <w:pPr>
              <w:pStyle w:val="Compact"/>
              <w:jc w:val="right"/>
            </w:pPr>
            <w:r>
              <w:t xml:space="preserve">0</w:t>
            </w:r>
          </w:p>
        </w:tc>
      </w:tr>
      <w:tr>
        <w:tc>
          <w:p>
            <w:pPr>
              <w:pStyle w:val="Compact"/>
              <w:jc w:val="right"/>
            </w:pPr>
            <w:r>
              <w:t xml:space="preserve">8</w:t>
            </w:r>
          </w:p>
        </w:tc>
        <w:tc>
          <w:p>
            <w:pPr>
              <w:pStyle w:val="Compact"/>
              <w:jc w:val="right"/>
            </w:pPr>
            <w:r>
              <w:t xml:space="preserve">0.003597</w:t>
            </w:r>
          </w:p>
        </w:tc>
        <w:tc>
          <w:p>
            <w:pPr>
              <w:pStyle w:val="Compact"/>
              <w:jc w:val="right"/>
            </w:pPr>
            <w:r>
              <w:t xml:space="preserve">0</w:t>
            </w:r>
          </w:p>
        </w:tc>
        <w:tc>
          <w:p>
            <w:pPr>
              <w:pStyle w:val="Compact"/>
              <w:jc w:val="right"/>
            </w:pPr>
            <w:r>
              <w:t xml:space="preserve">0.003597</w:t>
            </w:r>
          </w:p>
        </w:tc>
        <w:tc>
          <w:p>
            <w:pPr>
              <w:pStyle w:val="Compact"/>
              <w:jc w:val="right"/>
            </w:pPr>
            <w:r>
              <w:t xml:space="preserve">1</w:t>
            </w:r>
          </w:p>
        </w:tc>
        <w:tc>
          <w:p>
            <w:pPr>
              <w:pStyle w:val="Compact"/>
              <w:jc w:val="right"/>
            </w:pPr>
            <w:r>
              <w:t xml:space="preserve">0</w:t>
            </w:r>
          </w:p>
        </w:tc>
      </w:tr>
      <w:tr>
        <w:tc>
          <w:p>
            <w:pPr>
              <w:pStyle w:val="Compact"/>
              <w:jc w:val="right"/>
            </w:pPr>
            <w:r>
              <w:t xml:space="preserve">9</w:t>
            </w:r>
          </w:p>
        </w:tc>
        <w:tc>
          <w:p>
            <w:pPr>
              <w:pStyle w:val="Compact"/>
              <w:jc w:val="right"/>
            </w:pPr>
            <w:r>
              <w:t xml:space="preserve">0.2698</w:t>
            </w:r>
          </w:p>
        </w:tc>
        <w:tc>
          <w:p>
            <w:pPr>
              <w:pStyle w:val="Compact"/>
              <w:jc w:val="right"/>
            </w:pPr>
            <w:r>
              <w:t xml:space="preserve">0</w:t>
            </w:r>
          </w:p>
        </w:tc>
        <w:tc>
          <w:p>
            <w:pPr>
              <w:pStyle w:val="Compact"/>
              <w:jc w:val="right"/>
            </w:pPr>
            <w:r>
              <w:t xml:space="preserve">0.2698</w:t>
            </w:r>
          </w:p>
        </w:tc>
        <w:tc>
          <w:p>
            <w:pPr>
              <w:pStyle w:val="Compact"/>
              <w:jc w:val="right"/>
            </w:pPr>
            <w:r>
              <w:t xml:space="preserve">75</w:t>
            </w:r>
          </w:p>
        </w:tc>
        <w:tc>
          <w:p>
            <w:pPr>
              <w:pStyle w:val="Compact"/>
              <w:jc w:val="right"/>
            </w:pPr>
            <w:r>
              <w:t xml:space="preserve">0</w:t>
            </w:r>
          </w:p>
        </w:tc>
      </w:tr>
      <w:tr>
        <w:tc>
          <w:p>
            <w:pPr>
              <w:pStyle w:val="Compact"/>
              <w:jc w:val="right"/>
            </w:pPr>
            <w:r>
              <w:t xml:space="preserve">10</w:t>
            </w:r>
          </w:p>
        </w:tc>
        <w:tc>
          <w:p>
            <w:pPr>
              <w:pStyle w:val="Compact"/>
              <w:jc w:val="right"/>
            </w:pPr>
            <w:r>
              <w:t xml:space="preserve">0.2698</w:t>
            </w:r>
          </w:p>
        </w:tc>
        <w:tc>
          <w:p>
            <w:pPr>
              <w:pStyle w:val="Compact"/>
              <w:jc w:val="right"/>
            </w:pPr>
            <w:r>
              <w:t xml:space="preserve">0</w:t>
            </w:r>
          </w:p>
        </w:tc>
        <w:tc>
          <w:p>
            <w:pPr>
              <w:pStyle w:val="Compact"/>
              <w:jc w:val="right"/>
            </w:pPr>
            <w:r>
              <w:t xml:space="preserve">0.2698</w:t>
            </w:r>
          </w:p>
        </w:tc>
        <w:tc>
          <w:p>
            <w:pPr>
              <w:pStyle w:val="Compact"/>
              <w:jc w:val="right"/>
            </w:pPr>
            <w:r>
              <w:t xml:space="preserve">75</w:t>
            </w:r>
          </w:p>
        </w:tc>
        <w:tc>
          <w:p>
            <w:pPr>
              <w:pStyle w:val="Compact"/>
              <w:jc w:val="right"/>
            </w:pPr>
            <w:r>
              <w:t xml:space="preserve">0</w:t>
            </w:r>
          </w:p>
        </w:tc>
      </w:tr>
      <w:tr>
        <w:tc>
          <w:p>
            <w:pPr>
              <w:pStyle w:val="Compact"/>
              <w:jc w:val="right"/>
            </w:pPr>
            <w:r>
              <w:t xml:space="preserve">11</w:t>
            </w:r>
          </w:p>
        </w:tc>
        <w:tc>
          <w:p>
            <w:pPr>
              <w:pStyle w:val="Compact"/>
              <w:jc w:val="right"/>
            </w:pPr>
            <w:r>
              <w:t xml:space="preserve">0.003597</w:t>
            </w:r>
          </w:p>
        </w:tc>
        <w:tc>
          <w:p>
            <w:pPr>
              <w:pStyle w:val="Compact"/>
              <w:jc w:val="right"/>
            </w:pPr>
            <w:r>
              <w:t xml:space="preserve">0</w:t>
            </w:r>
          </w:p>
        </w:tc>
        <w:tc>
          <w:p>
            <w:pPr>
              <w:pStyle w:val="Compact"/>
              <w:jc w:val="right"/>
            </w:pPr>
            <w:r>
              <w:t xml:space="preserve">0.003597</w:t>
            </w:r>
          </w:p>
        </w:tc>
        <w:tc>
          <w:p>
            <w:pPr>
              <w:pStyle w:val="Compact"/>
              <w:jc w:val="right"/>
            </w:pPr>
            <w:r>
              <w:t xml:space="preserve">1</w:t>
            </w:r>
          </w:p>
        </w:tc>
        <w:tc>
          <w:p>
            <w:pPr>
              <w:pStyle w:val="Compact"/>
              <w:jc w:val="right"/>
            </w:pPr>
            <w:r>
              <w:t xml:space="preserve">0</w:t>
            </w:r>
          </w:p>
        </w:tc>
      </w:tr>
      <w:tr>
        <w:tc>
          <w:p>
            <w:pPr>
              <w:pStyle w:val="Compact"/>
              <w:jc w:val="right"/>
            </w:pPr>
            <w:r>
              <w:t xml:space="preserve">12</w:t>
            </w:r>
          </w:p>
        </w:tc>
        <w:tc>
          <w:p>
            <w:pPr>
              <w:pStyle w:val="Compact"/>
              <w:jc w:val="right"/>
            </w:pPr>
            <w:r>
              <w:t xml:space="preserve">0.6151</w:t>
            </w:r>
          </w:p>
        </w:tc>
        <w:tc>
          <w:p>
            <w:pPr>
              <w:pStyle w:val="Compact"/>
              <w:jc w:val="right"/>
            </w:pPr>
            <w:r>
              <w:t xml:space="preserve">0.007194</w:t>
            </w:r>
          </w:p>
        </w:tc>
        <w:tc>
          <w:p>
            <w:pPr>
              <w:pStyle w:val="Compact"/>
              <w:jc w:val="right"/>
            </w:pPr>
            <w:r>
              <w:t xml:space="preserve">0.6223</w:t>
            </w:r>
          </w:p>
        </w:tc>
        <w:tc>
          <w:p>
            <w:pPr>
              <w:pStyle w:val="Compact"/>
              <w:jc w:val="right"/>
            </w:pPr>
            <w:r>
              <w:t xml:space="preserve">171</w:t>
            </w:r>
          </w:p>
        </w:tc>
        <w:tc>
          <w:p>
            <w:pPr>
              <w:pStyle w:val="Compact"/>
              <w:jc w:val="right"/>
            </w:pPr>
            <w:r>
              <w:t xml:space="preserve">2</w:t>
            </w:r>
          </w:p>
        </w:tc>
      </w:tr>
      <w:tr>
        <w:tc>
          <w:p>
            <w:pPr>
              <w:pStyle w:val="Compact"/>
              <w:jc w:val="right"/>
            </w:pPr>
            <w:r>
              <w:t xml:space="preserve">13</w:t>
            </w:r>
          </w:p>
        </w:tc>
        <w:tc>
          <w:p>
            <w:pPr>
              <w:pStyle w:val="Compact"/>
              <w:jc w:val="right"/>
            </w:pPr>
            <w:r>
              <w:t xml:space="preserve">0.6295</w:t>
            </w:r>
          </w:p>
        </w:tc>
        <w:tc>
          <w:p>
            <w:pPr>
              <w:pStyle w:val="Compact"/>
              <w:jc w:val="right"/>
            </w:pPr>
            <w:r>
              <w:t xml:space="preserve">0</w:t>
            </w:r>
          </w:p>
        </w:tc>
        <w:tc>
          <w:p>
            <w:pPr>
              <w:pStyle w:val="Compact"/>
              <w:jc w:val="right"/>
            </w:pPr>
            <w:r>
              <w:t xml:space="preserve">0.6295</w:t>
            </w:r>
          </w:p>
        </w:tc>
        <w:tc>
          <w:p>
            <w:pPr>
              <w:pStyle w:val="Compact"/>
              <w:jc w:val="right"/>
            </w:pPr>
            <w:r>
              <w:t xml:space="preserve">175</w:t>
            </w:r>
          </w:p>
        </w:tc>
        <w:tc>
          <w:p>
            <w:pPr>
              <w:pStyle w:val="Compact"/>
              <w:jc w:val="right"/>
            </w:pPr>
            <w:r>
              <w:t xml:space="preserve">0</w:t>
            </w:r>
          </w:p>
        </w:tc>
      </w:tr>
      <w:tr>
        <w:tc>
          <w:p>
            <w:pPr>
              <w:pStyle w:val="Compact"/>
              <w:jc w:val="right"/>
            </w:pPr>
            <w:r>
              <w:t xml:space="preserve">14</w:t>
            </w:r>
          </w:p>
        </w:tc>
        <w:tc>
          <w:p>
            <w:pPr>
              <w:pStyle w:val="Compact"/>
              <w:jc w:val="right"/>
            </w:pPr>
            <w:r>
              <w:t xml:space="preserve">0.5072</w:t>
            </w:r>
          </w:p>
        </w:tc>
        <w:tc>
          <w:p>
            <w:pPr>
              <w:pStyle w:val="Compact"/>
              <w:jc w:val="right"/>
            </w:pPr>
            <w:r>
              <w:t xml:space="preserve">0.01439</w:t>
            </w:r>
          </w:p>
        </w:tc>
        <w:tc>
          <w:p>
            <w:pPr>
              <w:pStyle w:val="Compact"/>
              <w:jc w:val="right"/>
            </w:pPr>
            <w:r>
              <w:t xml:space="preserve">0.5216</w:t>
            </w:r>
          </w:p>
        </w:tc>
        <w:tc>
          <w:p>
            <w:pPr>
              <w:pStyle w:val="Compact"/>
              <w:jc w:val="right"/>
            </w:pPr>
            <w:r>
              <w:t xml:space="preserve">141</w:t>
            </w:r>
          </w:p>
        </w:tc>
        <w:tc>
          <w:p>
            <w:pPr>
              <w:pStyle w:val="Compact"/>
              <w:jc w:val="right"/>
            </w:pPr>
            <w:r>
              <w:t xml:space="preserve">4</w:t>
            </w:r>
          </w:p>
        </w:tc>
      </w:tr>
      <w:tr>
        <w:tc>
          <w:p>
            <w:pPr>
              <w:pStyle w:val="Compact"/>
              <w:jc w:val="right"/>
            </w:pPr>
            <w:r>
              <w:t xml:space="preserve">15</w:t>
            </w:r>
          </w:p>
        </w:tc>
        <w:tc>
          <w:p>
            <w:pPr>
              <w:pStyle w:val="Compact"/>
              <w:jc w:val="right"/>
            </w:pPr>
            <w:r>
              <w:t xml:space="preserve">0.3813</w:t>
            </w:r>
          </w:p>
        </w:tc>
        <w:tc>
          <w:p>
            <w:pPr>
              <w:pStyle w:val="Compact"/>
              <w:jc w:val="right"/>
            </w:pPr>
            <w:r>
              <w:t xml:space="preserve">0.1978</w:t>
            </w:r>
          </w:p>
        </w:tc>
        <w:tc>
          <w:p>
            <w:pPr>
              <w:pStyle w:val="Compact"/>
              <w:jc w:val="right"/>
            </w:pPr>
            <w:r>
              <w:t xml:space="preserve">0.5791</w:t>
            </w:r>
          </w:p>
        </w:tc>
        <w:tc>
          <w:p>
            <w:pPr>
              <w:pStyle w:val="Compact"/>
              <w:jc w:val="right"/>
            </w:pPr>
            <w:r>
              <w:t xml:space="preserve">106</w:t>
            </w:r>
          </w:p>
        </w:tc>
        <w:tc>
          <w:p>
            <w:pPr>
              <w:pStyle w:val="Compact"/>
              <w:jc w:val="right"/>
            </w:pPr>
            <w:r>
              <w:t xml:space="preserve">55</w:t>
            </w:r>
          </w:p>
        </w:tc>
      </w:tr>
    </w:tbl>
    <w:bookmarkEnd w:id="63"/>
    <w:bookmarkStart w:id="64" w:name="X3e5054be92e06cc170a4db000c4128bf7429187"/>
    <w:p>
      <w:pPr>
        <w:pStyle w:val="Heading2"/>
      </w:pPr>
      <w:r>
        <w:t xml:space="preserve">Table A4. Adjacent rank-pair swap diagnostics</w:t>
      </w:r>
    </w:p>
    <w:tbl>
      <w:tblPr>
        <w:tblStyle w:val="Table"/>
        <w:tblW w:type="pct" w:w="0.0"/>
        <w:tblLook w:firstRow="1" w:lastRow="0" w:firstColumn="0" w:lastColumn="0" w:noHBand="0" w:noVBand="0" w:val="0020"/>
      </w:tblPr>
      <w:tblGrid/>
      <w:tr>
        <w:tc>
          <w:p>
            <w:pPr>
              <w:pStyle w:val="Compact"/>
              <w:jc w:val="left"/>
            </w:pPr>
            <w:r>
              <w:t xml:space="preserve">cluster</w:t>
            </w:r>
          </w:p>
        </w:tc>
        <w:tc>
          <w:p>
            <w:pPr>
              <w:pStyle w:val="Compact"/>
              <w:jc w:val="left"/>
            </w:pPr>
            <w:r>
              <w:t xml:space="preserve">cluster_key</w:t>
            </w:r>
          </w:p>
        </w:tc>
        <w:tc>
          <w:p>
            <w:pPr>
              <w:pStyle w:val="Compact"/>
              <w:jc w:val="left"/>
            </w:pPr>
            <w:r>
              <w:t xml:space="preserve">rank_pair</w:t>
            </w:r>
          </w:p>
        </w:tc>
        <w:tc>
          <w:p>
            <w:pPr>
              <w:pStyle w:val="Compact"/>
              <w:jc w:val="left"/>
            </w:pPr>
            <w:r>
              <w:t xml:space="preserve">ref_pair_mode</w:t>
            </w:r>
          </w:p>
        </w:tc>
        <w:tc>
          <w:p>
            <w:pPr>
              <w:pStyle w:val="Compact"/>
              <w:jc w:val="left"/>
            </w:pPr>
            <w:r>
              <w:t xml:space="preserve">swap_rate</w:t>
            </w:r>
          </w:p>
        </w:tc>
        <w:tc>
          <w:p>
            <w:pPr>
              <w:pStyle w:val="Compact"/>
              <w:jc w:val="left"/>
            </w:pPr>
            <w:r>
              <w:t xml:space="preserve">invalid_rate</w:t>
            </w:r>
          </w:p>
        </w:tc>
        <w:tc>
          <w:p>
            <w:pPr>
              <w:pStyle w:val="Compact"/>
              <w:jc w:val="left"/>
            </w:pPr>
            <w:r>
              <w:t xml:space="preserve">match_rate</w:t>
            </w:r>
          </w:p>
        </w:tc>
        <w:tc>
          <w:p>
            <w:pPr>
              <w:pStyle w:val="Compact"/>
              <w:jc w:val="left"/>
            </w:pPr>
            <w:r>
              <w:t xml:space="preserve">median_gap_in</w:t>
            </w:r>
          </w:p>
        </w:tc>
        <w:tc>
          <w:p>
            <w:pPr>
              <w:pStyle w:val="Compact"/>
              <w:jc w:val="left"/>
            </w:pPr>
            <w:r>
              <w:t xml:space="preserve">near_deg_rate</w:t>
            </w:r>
          </w:p>
        </w:tc>
        <w:tc>
          <w:p>
            <w:pPr>
              <w:pStyle w:val="Compact"/>
              <w:jc w:val="left"/>
            </w:pPr>
            <w:r>
              <w:t xml:space="preserve">true_deg_rate</w:t>
            </w:r>
          </w:p>
        </w:tc>
        <w:tc>
          <w:p>
            <w:pPr>
              <w:pStyle w:val="Compact"/>
              <w:jc w:val="left"/>
            </w:pPr>
            <w:r>
              <w:t xml:space="preserve">peak_rate</w:t>
            </w:r>
          </w:p>
        </w:tc>
        <w:tc>
          <w:p>
            <w:pPr>
              <w:pStyle w:val="Compact"/>
              <w:jc w:val="left"/>
            </w:pPr>
            <w:r>
              <w:t xml:space="preserve">active_frac</w:t>
            </w:r>
          </w:p>
        </w:tc>
        <w:tc>
          <w:p>
            <w:pPr>
              <w:pStyle w:val="Compact"/>
              <w:jc w:val="left"/>
            </w:pPr>
            <w:r>
              <w:t xml:space="preserve">cv_swap</w:t>
            </w:r>
          </w:p>
        </w:tc>
        <w:tc>
          <w:p>
            <w:pPr>
              <w:pStyle w:val="Compact"/>
              <w:jc w:val="left"/>
            </w:pPr>
            <w:r>
              <w:t xml:space="preserve">verdict</w:t>
            </w:r>
          </w:p>
        </w:tc>
      </w:tr>
      <w:tr>
        <w:tc>
          <w:p>
            <w:pPr>
              <w:pStyle w:val="Compact"/>
              <w:jc w:val="left"/>
            </w:pPr>
            <w:r>
              <w:t xml:space="preserve">Rank modes 9–10</w:t>
            </w:r>
          </w:p>
        </w:tc>
        <w:tc>
          <w:p>
            <w:pPr>
              <w:pStyle w:val="Compact"/>
              <w:jc w:val="left"/>
            </w:pPr>
            <w:r>
              <w:t xml:space="preserve">modes_9_10</w:t>
            </w:r>
          </w:p>
        </w:tc>
        <w:tc>
          <w:p>
            <w:pPr>
              <w:pStyle w:val="Compact"/>
              <w:jc w:val="left"/>
            </w:pPr>
            <w:r>
              <w:t xml:space="preserve">9</w:t>
            </w:r>
            <m:oMath>
              <m:r>
                <m:rPr>
                  <m:sty m:val="p"/>
                </m:rPr>
                <m:t>⇄</m:t>
              </m:r>
            </m:oMath>
            <w:r>
              <w:t xml:space="preserve">10</w:t>
            </w:r>
          </w:p>
        </w:tc>
        <w:tc>
          <w:p>
            <w:pPr>
              <w:pStyle w:val="Compact"/>
              <w:jc w:val="left"/>
            </w:pPr>
            <w:r>
              <w:t xml:space="preserve">9</w:t>
            </w:r>
            <m:oMath>
              <m:r>
                <m:rPr>
                  <m:sty m:val="p"/>
                </m:rPr>
                <m:t>⇄</m:t>
              </m:r>
            </m:oMath>
            <w:r>
              <w:t xml:space="preserve">10</w:t>
            </w:r>
          </w:p>
        </w:tc>
        <w:tc>
          <w:p>
            <w:pPr>
              <w:pStyle w:val="Compact"/>
              <w:jc w:val="left"/>
            </w:pPr>
            <w:r>
              <w:t xml:space="preserve">0.3750</w:t>
            </w:r>
          </w:p>
        </w:tc>
        <w:tc>
          <w:p>
            <w:pPr>
              <w:pStyle w:val="Compact"/>
              <w:jc w:val="left"/>
            </w:pPr>
            <w:r>
              <w:t xml:space="preserve">0.0000</w:t>
            </w:r>
          </w:p>
        </w:tc>
        <w:tc>
          <w:p>
            <w:pPr>
              <w:pStyle w:val="Compact"/>
              <w:jc w:val="left"/>
            </w:pPr>
            <w:r>
              <w:t xml:space="preserve">1.0000</w:t>
            </w:r>
          </w:p>
        </w:tc>
        <w:tc>
          <w:p>
            <w:pPr>
              <w:pStyle w:val="Compact"/>
              <w:jc w:val="left"/>
            </w:pPr>
            <w:r>
              <w:t xml:space="preserve">0.1206</w:t>
            </w:r>
          </w:p>
        </w:tc>
        <w:tc>
          <w:p>
            <w:pPr>
              <w:pStyle w:val="Compact"/>
              <w:jc w:val="left"/>
            </w:pPr>
            <w:r>
              <w:t xml:space="preserve">0.5468</w:t>
            </w:r>
          </w:p>
        </w:tc>
        <w:tc>
          <w:p>
            <w:pPr>
              <w:pStyle w:val="Compact"/>
              <w:jc w:val="left"/>
            </w:pPr>
            <w:r>
              <w:t xml:space="preserve">0.0000</w:t>
            </w:r>
          </w:p>
        </w:tc>
        <w:tc>
          <w:p>
            <w:pPr>
              <w:pStyle w:val="Compact"/>
              <w:jc w:val="left"/>
            </w:pPr>
            <w:r>
              <w:t xml:space="preserve">1.0000</w:t>
            </w:r>
          </w:p>
        </w:tc>
        <w:tc>
          <w:p>
            <w:pPr>
              <w:pStyle w:val="Compact"/>
              <w:jc w:val="left"/>
            </w:pPr>
            <w:r>
              <w:t xml:space="preserve">0.2050</w:t>
            </w:r>
          </w:p>
        </w:tc>
        <w:tc>
          <w:p>
            <w:pPr>
              <w:pStyle w:val="Compact"/>
              <w:jc w:val="left"/>
            </w:pPr>
            <w:r>
              <w:t xml:space="preserve">0.6157</w:t>
            </w:r>
          </w:p>
        </w:tc>
        <w:tc>
          <w:p>
            <w:pPr>
              <w:pStyle w:val="Compact"/>
              <w:jc w:val="left"/>
            </w:pPr>
            <w:r>
              <w:t xml:space="preserve">veering</w:t>
            </w:r>
          </w:p>
        </w:tc>
      </w:tr>
      <w:tr>
        <w:tc>
          <w:p>
            <w:pPr>
              <w:pStyle w:val="Compact"/>
              <w:jc w:val="left"/>
            </w:pPr>
            <w:r>
              <w:t xml:space="preserve">Rank modes 12–15</w:t>
            </w:r>
          </w:p>
        </w:tc>
        <w:tc>
          <w:p>
            <w:pPr>
              <w:pStyle w:val="Compact"/>
              <w:jc w:val="left"/>
            </w:pPr>
            <w:r>
              <w:t xml:space="preserve">modes_12_15</w:t>
            </w:r>
          </w:p>
        </w:tc>
        <w:tc>
          <w:p>
            <w:pPr>
              <w:pStyle w:val="Compact"/>
              <w:jc w:val="left"/>
            </w:pPr>
            <w:r>
              <w:t xml:space="preserve">12</w:t>
            </w:r>
            <m:oMath>
              <m:r>
                <m:rPr>
                  <m:sty m:val="p"/>
                </m:rPr>
                <m:t>⇄</m:t>
              </m:r>
            </m:oMath>
            <w:r>
              <w:t xml:space="preserve">13</w:t>
            </w:r>
          </w:p>
        </w:tc>
        <w:tc>
          <w:p>
            <w:pPr>
              <w:pStyle w:val="Compact"/>
              <w:jc w:val="left"/>
            </w:pPr>
            <w:r>
              <w:t xml:space="preserve">12</w:t>
            </w:r>
            <m:oMath>
              <m:r>
                <m:rPr>
                  <m:sty m:val="p"/>
                </m:rPr>
                <m:t>⇄</m:t>
              </m:r>
            </m:oMath>
            <w:r>
              <w:t xml:space="preserve">13</w:t>
            </w:r>
          </w:p>
        </w:tc>
        <w:tc>
          <w:p>
            <w:pPr>
              <w:pStyle w:val="Compact"/>
              <w:jc w:val="left"/>
            </w:pPr>
            <w:r>
              <w:t xml:space="preserve">0.4154</w:t>
            </w:r>
          </w:p>
        </w:tc>
        <w:tc>
          <w:p>
            <w:pPr>
              <w:pStyle w:val="Compact"/>
              <w:jc w:val="left"/>
            </w:pPr>
            <w:r>
              <w:t xml:space="preserve">0.0345</w:t>
            </w:r>
          </w:p>
        </w:tc>
        <w:tc>
          <w:p>
            <w:pPr>
              <w:pStyle w:val="Compact"/>
              <w:jc w:val="left"/>
            </w:pPr>
            <w:r>
              <w:t xml:space="preserve">0.5603</w:t>
            </w:r>
          </w:p>
        </w:tc>
        <w:tc>
          <w:p>
            <w:pPr>
              <w:pStyle w:val="Compact"/>
              <w:jc w:val="left"/>
            </w:pPr>
            <w:r>
              <w:t xml:space="preserve">0.0516</w:t>
            </w:r>
          </w:p>
        </w:tc>
        <w:tc>
          <w:p>
            <w:pPr>
              <w:pStyle w:val="Compact"/>
              <w:jc w:val="left"/>
            </w:pPr>
            <w:r>
              <w:t xml:space="preserve">0.8597</w:t>
            </w:r>
          </w:p>
        </w:tc>
        <w:tc>
          <w:p>
            <w:pPr>
              <w:pStyle w:val="Compact"/>
              <w:jc w:val="left"/>
            </w:pPr>
            <w:r>
              <w:t xml:space="preserve">0.0000</w:t>
            </w:r>
          </w:p>
        </w:tc>
        <w:tc>
          <w:p>
            <w:pPr>
              <w:pStyle w:val="Compact"/>
              <w:jc w:val="left"/>
            </w:pPr>
            <w:r>
              <w:t xml:space="preserve">1.0000</w:t>
            </w:r>
          </w:p>
        </w:tc>
        <w:tc>
          <w:p>
            <w:pPr>
              <w:pStyle w:val="Compact"/>
              <w:jc w:val="left"/>
            </w:pPr>
            <w:r>
              <w:t xml:space="preserve">0.3094</w:t>
            </w:r>
          </w:p>
        </w:tc>
        <w:tc>
          <w:p>
            <w:pPr>
              <w:pStyle w:val="Compact"/>
              <w:jc w:val="left"/>
            </w:pPr>
            <w:r>
              <w:t xml:space="preserve">0.7588</w:t>
            </w:r>
          </w:p>
        </w:tc>
        <w:tc>
          <w:p>
            <w:pPr>
              <w:pStyle w:val="Compact"/>
              <w:jc w:val="left"/>
            </w:pPr>
            <w:r>
              <w:t xml:space="preserve">veering</w:t>
            </w:r>
          </w:p>
        </w:tc>
      </w:tr>
      <w:tr>
        <w:tc>
          <w:p>
            <w:pPr>
              <w:pStyle w:val="Compact"/>
              <w:jc w:val="left"/>
            </w:pPr>
            <w:r>
              <w:t xml:space="preserve">Rank modes 12–15</w:t>
            </w:r>
          </w:p>
        </w:tc>
        <w:tc>
          <w:p>
            <w:pPr>
              <w:pStyle w:val="Compact"/>
              <w:jc w:val="left"/>
            </w:pPr>
            <w:r>
              <w:t xml:space="preserve">modes_12_15</w:t>
            </w:r>
          </w:p>
        </w:tc>
        <w:tc>
          <w:p>
            <w:pPr>
              <w:pStyle w:val="Compact"/>
              <w:jc w:val="left"/>
            </w:pPr>
            <w:r>
              <w:t xml:space="preserve">13</w:t>
            </w:r>
            <m:oMath>
              <m:r>
                <m:rPr>
                  <m:sty m:val="p"/>
                </m:rPr>
                <m:t>⇄</m:t>
              </m:r>
            </m:oMath>
            <w:r>
              <w:t xml:space="preserve">14</w:t>
            </w:r>
          </w:p>
        </w:tc>
        <w:tc>
          <w:p>
            <w:pPr>
              <w:pStyle w:val="Compact"/>
              <w:jc w:val="left"/>
            </w:pPr>
            <w:r>
              <w:t xml:space="preserve">13</w:t>
            </w:r>
            <m:oMath>
              <m:r>
                <m:rPr>
                  <m:sty m:val="p"/>
                </m:rPr>
                <m:t>⇄</m:t>
              </m:r>
            </m:oMath>
            <w:r>
              <w:t xml:space="preserve">14</w:t>
            </w:r>
          </w:p>
        </w:tc>
        <w:tc>
          <w:p>
            <w:pPr>
              <w:pStyle w:val="Compact"/>
              <w:jc w:val="left"/>
            </w:pPr>
            <w:r>
              <w:t xml:space="preserve">0.1429</w:t>
            </w:r>
          </w:p>
        </w:tc>
        <w:tc>
          <w:p>
            <w:pPr>
              <w:pStyle w:val="Compact"/>
              <w:jc w:val="left"/>
            </w:pPr>
            <w:r>
              <w:t xml:space="preserve">0.0603</w:t>
            </w:r>
          </w:p>
        </w:tc>
        <w:tc>
          <w:p>
            <w:pPr>
              <w:pStyle w:val="Compact"/>
              <w:jc w:val="left"/>
            </w:pPr>
            <w:r>
              <w:t xml:space="preserve">0.3017</w:t>
            </w:r>
          </w:p>
        </w:tc>
        <w:tc>
          <w:p>
            <w:pPr>
              <w:pStyle w:val="Compact"/>
              <w:jc w:val="left"/>
            </w:pPr>
            <w:r>
              <w:t xml:space="preserve">0.0802</w:t>
            </w:r>
          </w:p>
        </w:tc>
        <w:tc>
          <w:p>
            <w:pPr>
              <w:pStyle w:val="Compact"/>
              <w:jc w:val="left"/>
            </w:pPr>
            <w:r>
              <w:t xml:space="preserve">0.7014</w:t>
            </w:r>
          </w:p>
        </w:tc>
        <w:tc>
          <w:p>
            <w:pPr>
              <w:pStyle w:val="Compact"/>
              <w:jc w:val="left"/>
            </w:pPr>
            <w:r>
              <w:t xml:space="preserve">0.0000</w:t>
            </w:r>
          </w:p>
        </w:tc>
        <w:tc>
          <w:p>
            <w:pPr>
              <w:pStyle w:val="Compact"/>
              <w:jc w:val="left"/>
            </w:pPr>
            <w:r>
              <w:t xml:space="preserve">1.0000</w:t>
            </w:r>
          </w:p>
        </w:tc>
        <w:tc>
          <w:p>
            <w:pPr>
              <w:pStyle w:val="Compact"/>
              <w:jc w:val="left"/>
            </w:pPr>
            <w:r>
              <w:t xml:space="preserve">0.0324</w:t>
            </w:r>
          </w:p>
        </w:tc>
        <w:tc>
          <w:p>
            <w:pPr>
              <w:pStyle w:val="Compact"/>
              <w:jc w:val="left"/>
            </w:pPr>
            <w:r>
              <w:t xml:space="preserve">2.0521</w:t>
            </w:r>
          </w:p>
        </w:tc>
        <w:tc>
          <w:p>
            <w:pPr>
              <w:pStyle w:val="Compact"/>
              <w:jc w:val="left"/>
            </w:pPr>
            <w:r>
              <w:t xml:space="preserve">veering</w:t>
            </w:r>
          </w:p>
        </w:tc>
      </w:tr>
      <w:tr>
        <w:tc>
          <w:p>
            <w:pPr>
              <w:pStyle w:val="Compact"/>
              <w:jc w:val="left"/>
            </w:pPr>
            <w:r>
              <w:t xml:space="preserve">Rank modes 12–15</w:t>
            </w:r>
          </w:p>
        </w:tc>
        <w:tc>
          <w:p>
            <w:pPr>
              <w:pStyle w:val="Compact"/>
              <w:jc w:val="left"/>
            </w:pPr>
            <w:r>
              <w:t xml:space="preserve">modes_12_15</w:t>
            </w:r>
          </w:p>
        </w:tc>
        <w:tc>
          <w:p>
            <w:pPr>
              <w:pStyle w:val="Compact"/>
              <w:jc w:val="left"/>
            </w:pPr>
            <w:r>
              <w:t xml:space="preserve">14</w:t>
            </w:r>
            <m:oMath>
              <m:r>
                <m:rPr>
                  <m:sty m:val="p"/>
                </m:rPr>
                <m:t>⇄</m:t>
              </m:r>
            </m:oMath>
            <w:r>
              <w:t xml:space="preserve">15</w:t>
            </w:r>
          </w:p>
        </w:tc>
        <w:tc>
          <w:p>
            <w:pPr>
              <w:pStyle w:val="Compact"/>
              <w:jc w:val="left"/>
            </w:pPr>
            <w:r>
              <w:t xml:space="preserve">14</w:t>
            </w:r>
            <m:oMath>
              <m:r>
                <m:rPr>
                  <m:sty m:val="p"/>
                </m:rPr>
                <m:t>⇄</m:t>
              </m:r>
            </m:oMath>
            <w:r>
              <w:t xml:space="preserve">15</w:t>
            </w:r>
          </w:p>
        </w:tc>
        <w:tc>
          <w:p>
            <w:pPr>
              <w:pStyle w:val="Compact"/>
              <w:jc w:val="left"/>
            </w:pPr>
            <w:r>
              <w:t xml:space="preserve">0.1818</w:t>
            </w:r>
          </w:p>
        </w:tc>
        <w:tc>
          <w:p>
            <w:pPr>
              <w:pStyle w:val="Compact"/>
              <w:jc w:val="left"/>
            </w:pPr>
            <w:r>
              <w:t xml:space="preserve">0.2241</w:t>
            </w:r>
          </w:p>
        </w:tc>
        <w:tc>
          <w:p>
            <w:pPr>
              <w:pStyle w:val="Compact"/>
              <w:jc w:val="left"/>
            </w:pPr>
            <w:r>
              <w:t xml:space="preserve">0.3793</w:t>
            </w:r>
          </w:p>
        </w:tc>
        <w:tc>
          <w:p>
            <w:pPr>
              <w:pStyle w:val="Compact"/>
              <w:jc w:val="left"/>
            </w:pPr>
            <w:r>
              <w:t xml:space="preserve">0.0721</w:t>
            </w:r>
          </w:p>
        </w:tc>
        <w:tc>
          <w:p>
            <w:pPr>
              <w:pStyle w:val="Compact"/>
              <w:jc w:val="left"/>
            </w:pPr>
            <w:r>
              <w:t xml:space="preserve">0.7734</w:t>
            </w:r>
          </w:p>
        </w:tc>
        <w:tc>
          <w:p>
            <w:pPr>
              <w:pStyle w:val="Compact"/>
              <w:jc w:val="left"/>
            </w:pPr>
            <w:r>
              <w:t xml:space="preserve">0.0000</w:t>
            </w:r>
          </w:p>
        </w:tc>
        <w:tc>
          <w:p>
            <w:pPr>
              <w:pStyle w:val="Compact"/>
              <w:jc w:val="left"/>
            </w:pPr>
            <w:r>
              <w:t xml:space="preserve">1.0000</w:t>
            </w:r>
          </w:p>
        </w:tc>
        <w:tc>
          <w:p>
            <w:pPr>
              <w:pStyle w:val="Compact"/>
              <w:jc w:val="left"/>
            </w:pPr>
            <w:r>
              <w:t xml:space="preserve">0.0935</w:t>
            </w:r>
          </w:p>
        </w:tc>
        <w:tc>
          <w:p>
            <w:pPr>
              <w:pStyle w:val="Compact"/>
              <w:jc w:val="left"/>
            </w:pPr>
            <w:r>
              <w:t xml:space="preserve">1.6757</w:t>
            </w:r>
          </w:p>
        </w:tc>
        <w:tc>
          <w:p>
            <w:pPr>
              <w:pStyle w:val="Compact"/>
              <w:jc w:val="left"/>
            </w:pPr>
            <w:r>
              <w:t xml:space="preserve">veering</w:t>
            </w:r>
          </w:p>
        </w:tc>
      </w:tr>
      <w:tr>
        <w:tc>
          <w:p>
            <w:pPr>
              <w:pStyle w:val="Compact"/>
              <w:jc w:val="left"/>
            </w:pPr>
            <w:r>
              <w:t xml:space="preserve">Rank modes 5–6</w:t>
            </w:r>
          </w:p>
        </w:tc>
        <w:tc>
          <w:p>
            <w:pPr>
              <w:pStyle w:val="Compact"/>
              <w:jc w:val="left"/>
            </w:pPr>
            <w:r>
              <w:t xml:space="preserve">modes_5_6</w:t>
            </w:r>
          </w:p>
        </w:tc>
        <w:tc>
          <w:p>
            <w:pPr>
              <w:pStyle w:val="Compact"/>
              <w:jc w:val="left"/>
            </w:pPr>
            <w:r>
              <w:t xml:space="preserve">5</w:t>
            </w:r>
            <m:oMath>
              <m:r>
                <m:rPr>
                  <m:sty m:val="p"/>
                </m:rPr>
                <m:t>⇄</m:t>
              </m:r>
            </m:oMath>
            <w:r>
              <w:t xml:space="preserve">6</w:t>
            </w:r>
          </w:p>
        </w:tc>
        <w:tc>
          <w:p>
            <w:pPr>
              <w:pStyle w:val="Compact"/>
              <w:jc w:val="left"/>
            </w:pPr>
            <w:r>
              <w:t xml:space="preserve">5</w:t>
            </w:r>
            <m:oMath>
              <m:r>
                <m:rPr>
                  <m:sty m:val="p"/>
                </m:rPr>
                <m:t>⇄</m:t>
              </m:r>
            </m:oMath>
            <w:r>
              <w:t xml:space="preserve">6</w:t>
            </w:r>
          </w:p>
        </w:tc>
        <w:tc>
          <w:p>
            <w:pPr>
              <w:pStyle w:val="Compact"/>
              <w:jc w:val="left"/>
            </w:pPr>
            <w:r>
              <w:t xml:space="preserve">0.1282</w:t>
            </w:r>
          </w:p>
        </w:tc>
        <w:tc>
          <w:p>
            <w:pPr>
              <w:pStyle w:val="Compact"/>
              <w:jc w:val="left"/>
            </w:pPr>
            <w:r>
              <w:t xml:space="preserve">0.0000</w:t>
            </w:r>
          </w:p>
        </w:tc>
        <w:tc>
          <w:p>
            <w:pPr>
              <w:pStyle w:val="Compact"/>
              <w:jc w:val="left"/>
            </w:pPr>
            <w:r>
              <w:t xml:space="preserve">0.8298</w:t>
            </w:r>
          </w:p>
        </w:tc>
        <w:tc>
          <w:p>
            <w:pPr>
              <w:pStyle w:val="Compact"/>
              <w:jc w:val="left"/>
            </w:pPr>
            <w:r>
              <w:t xml:space="preserve">0.1661</w:t>
            </w:r>
          </w:p>
        </w:tc>
        <w:tc>
          <w:p>
            <w:pPr>
              <w:pStyle w:val="Compact"/>
              <w:jc w:val="left"/>
            </w:pPr>
            <w:r>
              <w:t xml:space="preserve">0.3633</w:t>
            </w:r>
          </w:p>
        </w:tc>
        <w:tc>
          <w:p>
            <w:pPr>
              <w:pStyle w:val="Compact"/>
              <w:jc w:val="left"/>
            </w:pPr>
            <w:r>
              <w:t xml:space="preserve">0.0000</w:t>
            </w:r>
          </w:p>
        </w:tc>
        <w:tc>
          <w:p>
            <w:pPr>
              <w:pStyle w:val="Compact"/>
              <w:jc w:val="left"/>
            </w:pPr>
            <w:r>
              <w:t xml:space="preserve">1.0000</w:t>
            </w:r>
          </w:p>
        </w:tc>
        <w:tc>
          <w:p>
            <w:pPr>
              <w:pStyle w:val="Compact"/>
              <w:jc w:val="left"/>
            </w:pPr>
            <w:r>
              <w:t xml:space="preserve">0.0288</w:t>
            </w:r>
          </w:p>
        </w:tc>
        <w:tc>
          <w:p>
            <w:pPr>
              <w:pStyle w:val="Compact"/>
              <w:jc w:val="left"/>
            </w:pPr>
            <w:r>
              <w:t xml:space="preserve">1.6080</w:t>
            </w:r>
          </w:p>
        </w:tc>
        <w:tc>
          <w:p>
            <w:pPr>
              <w:pStyle w:val="Compact"/>
              <w:jc w:val="left"/>
            </w:pPr>
            <w:r>
              <w:t xml:space="preserve">veering</w:t>
            </w:r>
          </w:p>
        </w:tc>
      </w:tr>
      <w:tr>
        <w:tc>
          <w:p>
            <w:pPr>
              <w:pStyle w:val="Compact"/>
              <w:jc w:val="left"/>
            </w:pPr>
            <w:r>
              <w:t xml:space="preserve">Rank modes 12–13</w:t>
            </w:r>
          </w:p>
        </w:tc>
        <w:tc>
          <w:p>
            <w:pPr>
              <w:pStyle w:val="Compact"/>
              <w:jc w:val="left"/>
            </w:pPr>
            <w:r>
              <w:t xml:space="preserve">modes_12_13</w:t>
            </w:r>
          </w:p>
        </w:tc>
        <w:tc>
          <w:p>
            <w:pPr>
              <w:pStyle w:val="Compact"/>
              <w:jc w:val="left"/>
            </w:pPr>
            <w:r>
              <w:t xml:space="preserve">12</w:t>
            </w:r>
            <m:oMath>
              <m:r>
                <m:rPr>
                  <m:sty m:val="p"/>
                </m:rPr>
                <m:t>⇄</m:t>
              </m:r>
            </m:oMath>
            <w:r>
              <w:t xml:space="preserve">13</w:t>
            </w:r>
          </w:p>
        </w:tc>
        <w:tc>
          <w:p>
            <w:pPr>
              <w:pStyle w:val="Compact"/>
              <w:jc w:val="left"/>
            </w:pPr>
            <w:r>
              <w:t xml:space="preserve">13</w:t>
            </w:r>
            <m:oMath>
              <m:r>
                <m:rPr>
                  <m:sty m:val="p"/>
                </m:rPr>
                <m:t>⇄</m:t>
              </m:r>
            </m:oMath>
            <w:r>
              <w:t xml:space="preserve">14</w:t>
            </w:r>
          </w:p>
        </w:tc>
        <w:tc>
          <w:p>
            <w:pPr>
              <w:pStyle w:val="Compact"/>
              <w:jc w:val="left"/>
            </w:pPr>
            <w:r>
              <w:t xml:space="preserve">0.0811</w:t>
            </w:r>
          </w:p>
        </w:tc>
        <w:tc>
          <w:p>
            <w:pPr>
              <w:pStyle w:val="Compact"/>
              <w:jc w:val="left"/>
            </w:pPr>
            <w:r>
              <w:t xml:space="preserve">0.0128</w:t>
            </w:r>
          </w:p>
        </w:tc>
        <w:tc>
          <w:p>
            <w:pPr>
              <w:pStyle w:val="Compact"/>
              <w:jc w:val="left"/>
            </w:pPr>
            <w:r>
              <w:t xml:space="preserve">0.4744</w:t>
            </w:r>
          </w:p>
        </w:tc>
        <w:tc>
          <w:p>
            <w:pPr>
              <w:pStyle w:val="Compact"/>
              <w:jc w:val="left"/>
            </w:pPr>
            <w:r>
              <w:t xml:space="preserve">0.0516</w:t>
            </w:r>
          </w:p>
        </w:tc>
        <w:tc>
          <w:p>
            <w:pPr>
              <w:pStyle w:val="Compact"/>
              <w:jc w:val="left"/>
            </w:pPr>
            <w:r>
              <w:t xml:space="preserve">0.8597</w:t>
            </w:r>
          </w:p>
        </w:tc>
        <w:tc>
          <w:p>
            <w:pPr>
              <w:pStyle w:val="Compact"/>
              <w:jc w:val="left"/>
            </w:pPr>
            <w:r>
              <w:t xml:space="preserve">0.0000</w:t>
            </w:r>
          </w:p>
        </w:tc>
        <w:tc>
          <w:p>
            <w:pPr>
              <w:pStyle w:val="Compact"/>
              <w:jc w:val="left"/>
            </w:pPr>
            <w:r>
              <w:t xml:space="preserve">1.0000</w:t>
            </w:r>
          </w:p>
        </w:tc>
        <w:tc>
          <w:p>
            <w:pPr>
              <w:pStyle w:val="Compact"/>
              <w:jc w:val="left"/>
            </w:pPr>
            <w:r>
              <w:t xml:space="preserve">0.0432</w:t>
            </w:r>
          </w:p>
        </w:tc>
        <w:tc>
          <w:p>
            <w:pPr>
              <w:pStyle w:val="Compact"/>
              <w:jc w:val="left"/>
            </w:pPr>
            <w:r>
              <w:t xml:space="preserve">2.9996</w:t>
            </w:r>
          </w:p>
        </w:tc>
        <w:tc>
          <w:p>
            <w:pPr>
              <w:pStyle w:val="Compact"/>
              <w:jc w:val="left"/>
            </w:pPr>
            <w:r>
              <w:t xml:space="preserve">veering</w:t>
            </w:r>
          </w:p>
        </w:tc>
      </w:tr>
      <w:tr>
        <w:tc>
          <w:p>
            <w:pPr>
              <w:pStyle w:val="Compact"/>
              <w:jc w:val="left"/>
            </w:pPr>
            <w:r>
              <w:t xml:space="preserve">Rank modes 14–15</w:t>
            </w:r>
          </w:p>
        </w:tc>
        <w:tc>
          <w:p>
            <w:pPr>
              <w:pStyle w:val="Compact"/>
              <w:jc w:val="left"/>
            </w:pPr>
            <w:r>
              <w:t xml:space="preserve">modes_14_15</w:t>
            </w:r>
          </w:p>
        </w:tc>
        <w:tc>
          <w:p>
            <w:pPr>
              <w:pStyle w:val="Compact"/>
              <w:jc w:val="left"/>
            </w:pPr>
            <w:r>
              <w:t xml:space="preserve">14</w:t>
            </w:r>
            <m:oMath>
              <m:r>
                <m:rPr>
                  <m:sty m:val="p"/>
                </m:rPr>
                <m:t>⇄</m:t>
              </m:r>
            </m:oMath>
            <w:r>
              <w:t xml:space="preserve">15</w:t>
            </w:r>
          </w:p>
        </w:tc>
        <w:tc>
          <w:p>
            <w:pPr>
              <w:pStyle w:val="Compact"/>
              <w:jc w:val="left"/>
            </w:pPr>
            <w:r>
              <w:t xml:space="preserve">12</w:t>
            </w:r>
            <m:oMath>
              <m:r>
                <m:rPr>
                  <m:sty m:val="p"/>
                </m:rPr>
                <m:t>⇄</m:t>
              </m:r>
            </m:oMath>
            <w:r>
              <w:t xml:space="preserve">15</w:t>
            </w:r>
          </w:p>
        </w:tc>
        <w:tc>
          <w:p>
            <w:pPr>
              <w:pStyle w:val="Compact"/>
              <w:jc w:val="left"/>
            </w:pPr>
            <w:r>
              <w:t xml:space="preserve">0.6296</w:t>
            </w:r>
          </w:p>
        </w:tc>
        <w:tc>
          <w:p>
            <w:pPr>
              <w:pStyle w:val="Compact"/>
              <w:jc w:val="left"/>
            </w:pPr>
            <w:r>
              <w:t xml:space="preserve">0.1429</w:t>
            </w:r>
          </w:p>
        </w:tc>
        <w:tc>
          <w:p>
            <w:pPr>
              <w:pStyle w:val="Compact"/>
              <w:jc w:val="left"/>
            </w:pPr>
            <w:r>
              <w:t xml:space="preserve">0.3857</w:t>
            </w:r>
          </w:p>
        </w:tc>
        <w:tc>
          <w:p>
            <w:pPr>
              <w:pStyle w:val="Compact"/>
              <w:jc w:val="left"/>
            </w:pPr>
            <w:r>
              <w:t xml:space="preserve">0.0721</w:t>
            </w:r>
          </w:p>
        </w:tc>
        <w:tc>
          <w:p>
            <w:pPr>
              <w:pStyle w:val="Compact"/>
              <w:jc w:val="left"/>
            </w:pPr>
            <w:r>
              <w:t xml:space="preserve">0.7734</w:t>
            </w:r>
          </w:p>
        </w:tc>
        <w:tc>
          <w:p>
            <w:pPr>
              <w:pStyle w:val="Compact"/>
              <w:jc w:val="left"/>
            </w:pPr>
            <w:r>
              <w:t xml:space="preserve">0.0000</w:t>
            </w:r>
          </w:p>
        </w:tc>
        <w:tc>
          <w:p>
            <w:pPr>
              <w:pStyle w:val="Compact"/>
              <w:jc w:val="left"/>
            </w:pPr>
            <w:r>
              <w:t xml:space="preserve">1.0000</w:t>
            </w:r>
          </w:p>
        </w:tc>
        <w:tc>
          <w:p>
            <w:pPr>
              <w:pStyle w:val="Compact"/>
              <w:jc w:val="left"/>
            </w:pPr>
            <w:r>
              <w:t xml:space="preserve">0.3921</w:t>
            </w:r>
          </w:p>
        </w:tc>
        <w:tc>
          <w:p>
            <w:pPr>
              <w:pStyle w:val="Compact"/>
              <w:jc w:val="left"/>
            </w:pPr>
            <w:r>
              <w:t xml:space="preserve">0.8933</w:t>
            </w:r>
          </w:p>
        </w:tc>
        <w:tc>
          <w:p>
            <w:pPr>
              <w:pStyle w:val="Compact"/>
              <w:jc w:val="left"/>
            </w:pPr>
            <w:r>
              <w:t xml:space="preserve">veering</w:t>
            </w:r>
          </w:p>
        </w:tc>
      </w:tr>
    </w:tbl>
    <w:bookmarkEnd w:id="64"/>
    <w:bookmarkStart w:id="65" w:name="Xd71e14c0fa504db411b2f5b009ac53e6ec2549d"/>
    <w:p>
      <w:pPr>
        <w:pStyle w:val="Heading2"/>
      </w:pPr>
      <w:r>
        <w:t xml:space="preserve">Table A5. Cluster-level exchange classification</w:t>
      </w:r>
    </w:p>
    <w:tbl>
      <w:tblPr>
        <w:tblStyle w:val="Table"/>
        <w:tblW w:type="pct" w:w="0.0"/>
        <w:tblLook w:firstRow="1" w:lastRow="0" w:firstColumn="0" w:lastColumn="0" w:noHBand="0" w:noVBand="0" w:val="0020"/>
      </w:tblPr>
      <w:tblGrid/>
      <w:tr>
        <w:tc>
          <w:p>
            <w:pPr>
              <w:pStyle w:val="Compact"/>
              <w:jc w:val="left"/>
            </w:pPr>
            <w:r>
              <w:t xml:space="preserve">cluster</w:t>
            </w:r>
          </w:p>
        </w:tc>
        <w:tc>
          <w:p>
            <w:pPr>
              <w:pStyle w:val="Compact"/>
              <w:jc w:val="left"/>
            </w:pPr>
            <w:r>
              <w:t xml:space="preserve">cluster_key</w:t>
            </w:r>
          </w:p>
        </w:tc>
        <w:tc>
          <w:p>
            <w:pPr>
              <w:pStyle w:val="Compact"/>
              <w:jc w:val="left"/>
            </w:pPr>
            <w:r>
              <w:t xml:space="preserve">dim</w:t>
            </w:r>
          </w:p>
        </w:tc>
        <w:tc>
          <w:p>
            <w:pPr>
              <w:pStyle w:val="Compact"/>
              <w:jc w:val="left"/>
            </w:pPr>
            <w:r>
              <w:t xml:space="preserve">n_subjects</w:t>
            </w:r>
          </w:p>
        </w:tc>
        <w:tc>
          <w:p>
            <w:pPr>
              <w:pStyle w:val="Compact"/>
              <w:jc w:val="left"/>
            </w:pPr>
            <w:r>
              <w:t xml:space="preserve">prevalence</w:t>
            </w:r>
          </w:p>
        </w:tc>
        <w:tc>
          <w:p>
            <w:pPr>
              <w:pStyle w:val="Compact"/>
              <w:jc w:val="left"/>
            </w:pPr>
            <w:r>
              <w:t xml:space="preserve">median_gap_in_min</w:t>
            </w:r>
          </w:p>
        </w:tc>
        <w:tc>
          <w:p>
            <w:pPr>
              <w:pStyle w:val="Compact"/>
              <w:jc w:val="left"/>
            </w:pPr>
            <w:r>
              <w:t xml:space="preserve">gap_type</w:t>
            </w:r>
          </w:p>
        </w:tc>
        <w:tc>
          <w:p>
            <w:pPr>
              <w:pStyle w:val="Compact"/>
              <w:jc w:val="left"/>
            </w:pPr>
            <w:r>
              <w:t xml:space="preserve">swap_verdict</w:t>
            </w:r>
          </w:p>
        </w:tc>
        <w:tc>
          <w:p>
            <w:pPr>
              <w:pStyle w:val="Compact"/>
              <w:jc w:val="left"/>
            </w:pPr>
            <w:r>
              <w:t xml:space="preserve">final_verdict</w:t>
            </w:r>
          </w:p>
        </w:tc>
        <w:tc>
          <w:p>
            <w:pPr>
              <w:pStyle w:val="Compact"/>
              <w:jc w:val="left"/>
            </w:pPr>
            <w:r>
              <w:t xml:space="preserve">ref_modes_mode</w:t>
            </w:r>
          </w:p>
        </w:tc>
        <w:tc>
          <w:p>
            <w:pPr>
              <w:pStyle w:val="Compact"/>
              <w:jc w:val="left"/>
            </w:pPr>
            <w:r>
              <w:t xml:space="preserve">ref_modes_mode_rate</w:t>
            </w:r>
          </w:p>
        </w:tc>
        <w:tc>
          <w:p>
            <w:pPr>
              <w:pStyle w:val="Compact"/>
              <w:jc w:val="left"/>
            </w:pPr>
            <w:r>
              <w:t xml:space="preserve">paired_all_rate</w:t>
            </w:r>
          </w:p>
        </w:tc>
        <w:tc>
          <w:p>
            <w:pPr>
              <w:pStyle w:val="Compact"/>
              <w:jc w:val="left"/>
            </w:pPr>
            <w:r>
              <w:t xml:space="preserve">any_swap_rate</w:t>
            </w:r>
          </w:p>
        </w:tc>
        <w:tc>
          <w:p>
            <w:pPr>
              <w:pStyle w:val="Compact"/>
              <w:jc w:val="left"/>
            </w:pPr>
            <w:r>
              <w:t xml:space="preserve">failed_rate</w:t>
            </w:r>
          </w:p>
        </w:tc>
        <w:tc>
          <w:p>
            <w:pPr>
              <w:pStyle w:val="Compact"/>
              <w:jc w:val="left"/>
            </w:pPr>
            <w:r>
              <w:t xml:space="preserve">within_block_rate</w:t>
            </w:r>
          </w:p>
        </w:tc>
        <w:tc>
          <w:p>
            <w:pPr>
              <w:pStyle w:val="Compact"/>
              <w:jc w:val="left"/>
            </w:pPr>
            <w:r>
              <w:t xml:space="preserve">transposition_rate</w:t>
            </w:r>
          </w:p>
        </w:tc>
        <w:tc>
          <w:p>
            <w:pPr>
              <w:pStyle w:val="Compact"/>
              <w:jc w:val="left"/>
            </w:pPr>
            <w:r>
              <w:t xml:space="preserve">cycle_gt2_rate</w:t>
            </w:r>
          </w:p>
        </w:tc>
        <w:tc>
          <w:p>
            <w:pPr>
              <w:pStyle w:val="Compact"/>
              <w:jc w:val="left"/>
            </w:pPr>
            <w:r>
              <w:t xml:space="preserve">n_sig_pairs</w:t>
            </w:r>
          </w:p>
        </w:tc>
        <w:tc>
          <w:p>
            <w:pPr>
              <w:pStyle w:val="Compact"/>
              <w:jc w:val="left"/>
            </w:pPr>
            <w:r>
              <w:t xml:space="preserve">n_veering_pairs</w:t>
            </w:r>
          </w:p>
        </w:tc>
      </w:tr>
      <w:tr>
        <w:tc>
          <w:p>
            <w:pPr>
              <w:pStyle w:val="Compact"/>
              <w:jc w:val="left"/>
            </w:pPr>
            <w:r>
              <w:t xml:space="preserve">Rank modes 9–10</w:t>
            </w:r>
          </w:p>
        </w:tc>
        <w:tc>
          <w:p>
            <w:pPr>
              <w:pStyle w:val="Compact"/>
              <w:jc w:val="left"/>
            </w:pPr>
            <w:r>
              <w:t xml:space="preserve">modes_9_10</w:t>
            </w:r>
          </w:p>
        </w:tc>
        <w:tc>
          <w:p>
            <w:pPr>
              <w:pStyle w:val="Compact"/>
              <w:jc w:val="left"/>
            </w:pPr>
            <w:r>
              <w:t xml:space="preserve">2</w:t>
            </w:r>
          </w:p>
        </w:tc>
        <w:tc>
          <w:p>
            <w:pPr>
              <w:pStyle w:val="Compact"/>
              <w:jc w:val="left"/>
            </w:pPr>
            <w:r>
              <w:t xml:space="preserve">152</w:t>
            </w:r>
          </w:p>
        </w:tc>
        <w:tc>
          <w:p>
            <w:pPr>
              <w:pStyle w:val="Compact"/>
              <w:jc w:val="left"/>
            </w:pPr>
            <w:r>
              <w:t xml:space="preserve">54.7%</w:t>
            </w:r>
          </w:p>
        </w:tc>
        <w:tc>
          <w:p>
            <w:pPr>
              <w:pStyle w:val="Compact"/>
              <w:jc w:val="left"/>
            </w:pPr>
            <w:r>
              <w:t xml:space="preserve">0.0811</w:t>
            </w:r>
          </w:p>
        </w:tc>
        <w:tc>
          <w:p>
            <w:pPr>
              <w:pStyle w:val="Compact"/>
              <w:jc w:val="left"/>
            </w:pPr>
            <w:r>
              <w:t xml:space="preserve">near-degenerate</w:t>
            </w:r>
          </w:p>
        </w:tc>
        <w:tc>
          <w:p>
            <w:pPr>
              <w:pStyle w:val="Compact"/>
              <w:jc w:val="left"/>
            </w:pPr>
            <w:r>
              <w:t xml:space="preserve">VEERING (localized character exchange)</w:t>
            </w:r>
          </w:p>
        </w:tc>
        <w:tc>
          <w:p>
            <w:pPr>
              <w:pStyle w:val="Compact"/>
              <w:jc w:val="left"/>
            </w:pPr>
            <w:r>
              <w:t xml:space="preserve">VEERING (localized character exchange)</w:t>
            </w:r>
          </w:p>
        </w:tc>
        <w:tc>
          <w:p>
            <w:pPr>
              <w:pStyle w:val="Compact"/>
              <w:jc w:val="left"/>
            </w:pPr>
            <w:r>
              <w:t xml:space="preserve">9–10</w:t>
            </w:r>
          </w:p>
        </w:tc>
        <w:tc>
          <w:p>
            <w:pPr>
              <w:pStyle w:val="Compact"/>
              <w:jc w:val="left"/>
            </w:pPr>
            <w:r>
              <w:t xml:space="preserve">1.0000</w:t>
            </w:r>
          </w:p>
        </w:tc>
        <w:tc>
          <w:p>
            <w:pPr>
              <w:pStyle w:val="Compact"/>
              <w:jc w:val="left"/>
            </w:pPr>
            <w:r>
              <w:t xml:space="preserve">1.0000</w:t>
            </w:r>
          </w:p>
        </w:tc>
        <w:tc>
          <w:p>
            <w:pPr>
              <w:pStyle w:val="Compact"/>
              <w:jc w:val="left"/>
            </w:pPr>
            <w:r>
              <w:t xml:space="preserve">0.3750</w:t>
            </w:r>
          </w:p>
        </w:tc>
        <w:tc>
          <w:p>
            <w:pPr>
              <w:pStyle w:val="Compact"/>
              <w:jc w:val="left"/>
            </w:pPr>
            <w:r>
              <w:t xml:space="preserve">0.0000</w:t>
            </w:r>
          </w:p>
        </w:tc>
        <w:tc>
          <w:p>
            <w:pPr>
              <w:pStyle w:val="Compact"/>
              <w:jc w:val="left"/>
            </w:pPr>
            <w:r>
              <w:t xml:space="preserve">1.0000</w:t>
            </w:r>
          </w:p>
        </w:tc>
        <w:tc>
          <w:p>
            <w:pPr>
              <w:pStyle w:val="Compact"/>
              <w:jc w:val="left"/>
            </w:pPr>
            <w:r>
              <w:t xml:space="preserve">0.3750</w:t>
            </w:r>
          </w:p>
        </w:tc>
        <w:tc>
          <w:p>
            <w:pPr>
              <w:pStyle w:val="Compact"/>
              <w:jc w:val="left"/>
            </w:pPr>
            <w:r>
              <w:t xml:space="preserve">0.0000</w:t>
            </w:r>
          </w:p>
        </w:tc>
        <w:tc>
          <w:p>
            <w:pPr>
              <w:pStyle w:val="Compact"/>
              <w:jc w:val="left"/>
            </w:pPr>
            <w:r>
              <w:t xml:space="preserve">1</w:t>
            </w:r>
          </w:p>
        </w:tc>
        <w:tc>
          <w:p>
            <w:pPr>
              <w:pStyle w:val="Compact"/>
              <w:jc w:val="left"/>
            </w:pPr>
            <w:r>
              <w:t xml:space="preserve">1</w:t>
            </w:r>
          </w:p>
        </w:tc>
      </w:tr>
      <w:tr>
        <w:tc>
          <w:p>
            <w:pPr>
              <w:pStyle w:val="Compact"/>
              <w:jc w:val="left"/>
            </w:pPr>
            <w:r>
              <w:t xml:space="preserve">Rank modes 12–15</w:t>
            </w:r>
          </w:p>
        </w:tc>
        <w:tc>
          <w:p>
            <w:pPr>
              <w:pStyle w:val="Compact"/>
              <w:jc w:val="left"/>
            </w:pPr>
            <w:r>
              <w:t xml:space="preserve">modes_12_15</w:t>
            </w:r>
          </w:p>
        </w:tc>
        <w:tc>
          <w:p>
            <w:pPr>
              <w:pStyle w:val="Compact"/>
              <w:jc w:val="left"/>
            </w:pPr>
            <w:r>
              <w:t xml:space="preserve">4</w:t>
            </w:r>
          </w:p>
        </w:tc>
        <w:tc>
          <w:p>
            <w:pPr>
              <w:pStyle w:val="Compact"/>
              <w:jc w:val="left"/>
            </w:pPr>
            <w:r>
              <w:t xml:space="preserve">116</w:t>
            </w:r>
          </w:p>
        </w:tc>
        <w:tc>
          <w:p>
            <w:pPr>
              <w:pStyle w:val="Compact"/>
              <w:jc w:val="left"/>
            </w:pPr>
            <w:r>
              <w:t xml:space="preserve">41.7%</w:t>
            </w:r>
          </w:p>
        </w:tc>
        <w:tc>
          <w:p>
            <w:pPr>
              <w:pStyle w:val="Compact"/>
              <w:jc w:val="left"/>
            </w:pPr>
            <w:r>
              <w:t xml:space="preserve">0.0315</w:t>
            </w:r>
          </w:p>
        </w:tc>
        <w:tc>
          <w:p>
            <w:pPr>
              <w:pStyle w:val="Compact"/>
              <w:jc w:val="left"/>
            </w:pPr>
            <w:r>
              <w:t xml:space="preserve">near-degenerate</w:t>
            </w:r>
          </w:p>
        </w:tc>
        <w:tc>
          <w:p>
            <w:pPr>
              <w:pStyle w:val="Compact"/>
              <w:jc w:val="left"/>
            </w:pPr>
            <w:r>
              <w:t xml:space="preserve">VEERING (localized character exchange)</w:t>
            </w:r>
          </w:p>
        </w:tc>
        <w:tc>
          <w:p>
            <w:pPr>
              <w:pStyle w:val="Compact"/>
              <w:jc w:val="left"/>
            </w:pPr>
            <w:r>
              <w:t xml:space="preserve">MIXING (multi-mode; cycles &gt; 2 common)</w:t>
            </w:r>
          </w:p>
        </w:tc>
        <w:tc>
          <w:p>
            <w:pPr>
              <w:pStyle w:val="Compact"/>
              <w:jc w:val="left"/>
            </w:pPr>
            <w:r>
              <w:t xml:space="preserve">12–15</w:t>
            </w:r>
          </w:p>
        </w:tc>
        <w:tc>
          <w:p>
            <w:pPr>
              <w:pStyle w:val="Compact"/>
              <w:jc w:val="left"/>
            </w:pPr>
            <w:r>
              <w:t xml:space="preserve">1.0000</w:t>
            </w:r>
          </w:p>
        </w:tc>
        <w:tc>
          <w:p>
            <w:pPr>
              <w:pStyle w:val="Compact"/>
              <w:jc w:val="left"/>
            </w:pPr>
            <w:r>
              <w:t xml:space="preserve">0.7414</w:t>
            </w:r>
          </w:p>
        </w:tc>
        <w:tc>
          <w:p>
            <w:pPr>
              <w:pStyle w:val="Compact"/>
              <w:jc w:val="left"/>
            </w:pPr>
            <w:r>
              <w:t xml:space="preserve">0.5431</w:t>
            </w:r>
          </w:p>
        </w:tc>
        <w:tc>
          <w:p>
            <w:pPr>
              <w:pStyle w:val="Compact"/>
              <w:jc w:val="left"/>
            </w:pPr>
            <w:r>
              <w:t xml:space="preserve">0.2586</w:t>
            </w:r>
          </w:p>
        </w:tc>
        <w:tc>
          <w:p>
            <w:pPr>
              <w:pStyle w:val="Compact"/>
              <w:jc w:val="left"/>
            </w:pPr>
            <w:r>
              <w:t xml:space="preserve">0.7414</w:t>
            </w:r>
          </w:p>
        </w:tc>
        <w:tc>
          <w:p>
            <w:pPr>
              <w:pStyle w:val="Compact"/>
              <w:jc w:val="left"/>
            </w:pPr>
            <w:r>
              <w:t xml:space="preserve">0.3023</w:t>
            </w:r>
          </w:p>
        </w:tc>
        <w:tc>
          <w:p>
            <w:pPr>
              <w:pStyle w:val="Compact"/>
              <w:jc w:val="left"/>
            </w:pPr>
            <w:r>
              <w:t xml:space="preserve">0.3372</w:t>
            </w:r>
          </w:p>
        </w:tc>
        <w:tc>
          <w:p>
            <w:pPr>
              <w:pStyle w:val="Compact"/>
              <w:jc w:val="left"/>
            </w:pPr>
            <w:r>
              <w:t xml:space="preserve">3</w:t>
            </w:r>
          </w:p>
        </w:tc>
        <w:tc>
          <w:p>
            <w:pPr>
              <w:pStyle w:val="Compact"/>
              <w:jc w:val="left"/>
            </w:pPr>
            <w:r>
              <w:t xml:space="preserve">3</w:t>
            </w:r>
          </w:p>
        </w:tc>
      </w:tr>
      <w:tr>
        <w:tc>
          <w:p>
            <w:pPr>
              <w:pStyle w:val="Compact"/>
              <w:jc w:val="left"/>
            </w:pPr>
            <w:r>
              <w:t xml:space="preserve">Rank modes 5–6</w:t>
            </w:r>
          </w:p>
        </w:tc>
        <w:tc>
          <w:p>
            <w:pPr>
              <w:pStyle w:val="Compact"/>
              <w:jc w:val="left"/>
            </w:pPr>
            <w:r>
              <w:t xml:space="preserve">modes_5_6</w:t>
            </w:r>
          </w:p>
        </w:tc>
        <w:tc>
          <w:p>
            <w:pPr>
              <w:pStyle w:val="Compact"/>
              <w:jc w:val="left"/>
            </w:pPr>
            <w:r>
              <w:t xml:space="preserve">2</w:t>
            </w:r>
          </w:p>
        </w:tc>
        <w:tc>
          <w:p>
            <w:pPr>
              <w:pStyle w:val="Compact"/>
              <w:jc w:val="left"/>
            </w:pPr>
            <w:r>
              <w:t xml:space="preserve">94</w:t>
            </w:r>
          </w:p>
        </w:tc>
        <w:tc>
          <w:p>
            <w:pPr>
              <w:pStyle w:val="Compact"/>
              <w:jc w:val="left"/>
            </w:pPr>
            <w:r>
              <w:t xml:space="preserve">33.8%</w:t>
            </w:r>
          </w:p>
        </w:tc>
        <w:tc>
          <w:p>
            <w:pPr>
              <w:pStyle w:val="Compact"/>
              <w:jc w:val="left"/>
            </w:pPr>
            <w:r>
              <w:t xml:space="preserve">0.0874</w:t>
            </w:r>
          </w:p>
        </w:tc>
        <w:tc>
          <w:p>
            <w:pPr>
              <w:pStyle w:val="Compact"/>
              <w:jc w:val="left"/>
            </w:pPr>
            <w:r>
              <w:t xml:space="preserve">near-degenerate</w:t>
            </w:r>
          </w:p>
        </w:tc>
        <w:tc>
          <w:p>
            <w:pPr>
              <w:pStyle w:val="Compact"/>
              <w:jc w:val="left"/>
            </w:pPr>
            <w:r>
              <w:t xml:space="preserve">VEERING (localized character exchange)</w:t>
            </w:r>
          </w:p>
        </w:tc>
        <w:tc>
          <w:p>
            <w:pPr>
              <w:pStyle w:val="Compact"/>
              <w:jc w:val="left"/>
            </w:pPr>
            <w:r>
              <w:t xml:space="preserve">VEERING (localized character exchange)</w:t>
            </w:r>
          </w:p>
        </w:tc>
        <w:tc>
          <w:p>
            <w:pPr>
              <w:pStyle w:val="Compact"/>
              <w:jc w:val="left"/>
            </w:pPr>
            <w:r>
              <w:t xml:space="preserve">5–6</w:t>
            </w:r>
          </w:p>
        </w:tc>
        <w:tc>
          <w:p>
            <w:pPr>
              <w:pStyle w:val="Compact"/>
              <w:jc w:val="left"/>
            </w:pPr>
            <w:r>
              <w:t xml:space="preserve">0.8298</w:t>
            </w:r>
          </w:p>
        </w:tc>
        <w:tc>
          <w:p>
            <w:pPr>
              <w:pStyle w:val="Compact"/>
              <w:jc w:val="left"/>
            </w:pPr>
            <w:r>
              <w:t xml:space="preserve">1.0000</w:t>
            </w:r>
          </w:p>
        </w:tc>
        <w:tc>
          <w:p>
            <w:pPr>
              <w:pStyle w:val="Compact"/>
              <w:jc w:val="left"/>
            </w:pPr>
            <w:r>
              <w:t xml:space="preserve">0.1064</w:t>
            </w:r>
          </w:p>
        </w:tc>
        <w:tc>
          <w:p>
            <w:pPr>
              <w:pStyle w:val="Compact"/>
              <w:jc w:val="left"/>
            </w:pPr>
            <w:r>
              <w:t xml:space="preserve">0.0000</w:t>
            </w:r>
          </w:p>
        </w:tc>
        <w:tc>
          <w:p>
            <w:pPr>
              <w:pStyle w:val="Compact"/>
              <w:jc w:val="left"/>
            </w:pPr>
            <w:r>
              <w:t xml:space="preserve">0.8298</w:t>
            </w:r>
          </w:p>
        </w:tc>
        <w:tc>
          <w:p>
            <w:pPr>
              <w:pStyle w:val="Compact"/>
              <w:jc w:val="left"/>
            </w:pPr>
            <w:r>
              <w:t xml:space="preserve">0.1282</w:t>
            </w:r>
          </w:p>
        </w:tc>
        <w:tc>
          <w:p>
            <w:pPr>
              <w:pStyle w:val="Compact"/>
              <w:jc w:val="left"/>
            </w:pPr>
            <w:r>
              <w:t xml:space="preserve">0.0000</w:t>
            </w:r>
          </w:p>
        </w:tc>
        <w:tc>
          <w:p>
            <w:pPr>
              <w:pStyle w:val="Compact"/>
              <w:jc w:val="left"/>
            </w:pPr>
            <w:r>
              <w:t xml:space="preserve">1</w:t>
            </w:r>
          </w:p>
        </w:tc>
        <w:tc>
          <w:p>
            <w:pPr>
              <w:pStyle w:val="Compact"/>
              <w:jc w:val="left"/>
            </w:pPr>
            <w:r>
              <w:t xml:space="preserve">1</w:t>
            </w:r>
          </w:p>
        </w:tc>
      </w:tr>
      <w:tr>
        <w:tc>
          <w:p>
            <w:pPr>
              <w:pStyle w:val="Compact"/>
              <w:jc w:val="left"/>
            </w:pPr>
            <w:r>
              <w:t xml:space="preserve">Rank modes 12–13</w:t>
            </w:r>
          </w:p>
        </w:tc>
        <w:tc>
          <w:p>
            <w:pPr>
              <w:pStyle w:val="Compact"/>
              <w:jc w:val="left"/>
            </w:pPr>
            <w:r>
              <w:t xml:space="preserve">modes_12_13</w:t>
            </w:r>
          </w:p>
        </w:tc>
        <w:tc>
          <w:p>
            <w:pPr>
              <w:pStyle w:val="Compact"/>
              <w:jc w:val="left"/>
            </w:pPr>
            <w:r>
              <w:t xml:space="preserve">2</w:t>
            </w:r>
          </w:p>
        </w:tc>
        <w:tc>
          <w:p>
            <w:pPr>
              <w:pStyle w:val="Compact"/>
              <w:jc w:val="left"/>
            </w:pPr>
            <w:r>
              <w:t xml:space="preserve">78</w:t>
            </w:r>
          </w:p>
        </w:tc>
        <w:tc>
          <w:p>
            <w:pPr>
              <w:pStyle w:val="Compact"/>
              <w:jc w:val="left"/>
            </w:pPr>
            <w:r>
              <w:t xml:space="preserve">28.1%</w:t>
            </w:r>
          </w:p>
        </w:tc>
        <w:tc>
          <w:p>
            <w:pPr>
              <w:pStyle w:val="Compact"/>
              <w:jc w:val="left"/>
            </w:pPr>
            <w:r>
              <w:t xml:space="preserve">0.0384</w:t>
            </w:r>
          </w:p>
        </w:tc>
        <w:tc>
          <w:p>
            <w:pPr>
              <w:pStyle w:val="Compact"/>
              <w:jc w:val="left"/>
            </w:pPr>
            <w:r>
              <w:t xml:space="preserve">near-degenerate</w:t>
            </w:r>
          </w:p>
        </w:tc>
        <w:tc>
          <w:p>
            <w:pPr>
              <w:pStyle w:val="Compact"/>
              <w:jc w:val="left"/>
            </w:pPr>
            <w:r>
              <w:t xml:space="preserve">VEERING (localized character exchange)</w:t>
            </w:r>
          </w:p>
        </w:tc>
        <w:tc>
          <w:p>
            <w:pPr>
              <w:pStyle w:val="Compact"/>
              <w:jc w:val="left"/>
            </w:pPr>
            <w:r>
              <w:t xml:space="preserve">VEERING (localized character exchange)</w:t>
            </w:r>
          </w:p>
        </w:tc>
        <w:tc>
          <w:p>
            <w:pPr>
              <w:pStyle w:val="Compact"/>
              <w:jc w:val="left"/>
            </w:pPr>
            <w:r>
              <w:t xml:space="preserve">13–14</w:t>
            </w:r>
          </w:p>
        </w:tc>
        <w:tc>
          <w:p>
            <w:pPr>
              <w:pStyle w:val="Compact"/>
              <w:jc w:val="left"/>
            </w:pPr>
            <w:r>
              <w:t xml:space="preserve">0.4805</w:t>
            </w:r>
          </w:p>
        </w:tc>
        <w:tc>
          <w:p>
            <w:pPr>
              <w:pStyle w:val="Compact"/>
              <w:jc w:val="left"/>
            </w:pPr>
            <w:r>
              <w:t xml:space="preserve">0.9872</w:t>
            </w:r>
          </w:p>
        </w:tc>
        <w:tc>
          <w:p>
            <w:pPr>
              <w:pStyle w:val="Compact"/>
              <w:jc w:val="left"/>
            </w:pPr>
            <w:r>
              <w:t xml:space="preserve">0.0385</w:t>
            </w:r>
          </w:p>
        </w:tc>
        <w:tc>
          <w:p>
            <w:pPr>
              <w:pStyle w:val="Compact"/>
              <w:jc w:val="left"/>
            </w:pPr>
            <w:r>
              <w:t xml:space="preserve">0.0128</w:t>
            </w:r>
          </w:p>
        </w:tc>
        <w:tc>
          <w:p>
            <w:pPr>
              <w:pStyle w:val="Compact"/>
              <w:jc w:val="left"/>
            </w:pPr>
            <w:r>
              <w:t xml:space="preserve">0.4744</w:t>
            </w:r>
          </w:p>
        </w:tc>
        <w:tc>
          <w:p>
            <w:pPr>
              <w:pStyle w:val="Compact"/>
              <w:jc w:val="left"/>
            </w:pPr>
            <w:r>
              <w:t xml:space="preserve">0.0811</w:t>
            </w:r>
          </w:p>
        </w:tc>
        <w:tc>
          <w:p>
            <w:pPr>
              <w:pStyle w:val="Compact"/>
              <w:jc w:val="left"/>
            </w:pPr>
            <w:r>
              <w:t xml:space="preserve">0.0000</w:t>
            </w:r>
          </w:p>
        </w:tc>
        <w:tc>
          <w:p>
            <w:pPr>
              <w:pStyle w:val="Compact"/>
              <w:jc w:val="left"/>
            </w:pPr>
            <w:r>
              <w:t xml:space="preserve">1</w:t>
            </w:r>
          </w:p>
        </w:tc>
        <w:tc>
          <w:p>
            <w:pPr>
              <w:pStyle w:val="Compact"/>
              <w:jc w:val="left"/>
            </w:pPr>
            <w:r>
              <w:t xml:space="preserve">1</w:t>
            </w:r>
          </w:p>
        </w:tc>
      </w:tr>
      <w:tr>
        <w:tc>
          <w:p>
            <w:pPr>
              <w:pStyle w:val="Compact"/>
              <w:jc w:val="left"/>
            </w:pPr>
            <w:r>
              <w:t xml:space="preserve">Rank modes 14–15</w:t>
            </w:r>
          </w:p>
        </w:tc>
        <w:tc>
          <w:p>
            <w:pPr>
              <w:pStyle w:val="Compact"/>
              <w:jc w:val="left"/>
            </w:pPr>
            <w:r>
              <w:t xml:space="preserve">modes_14_15</w:t>
            </w:r>
          </w:p>
        </w:tc>
        <w:tc>
          <w:p>
            <w:pPr>
              <w:pStyle w:val="Compact"/>
              <w:jc w:val="left"/>
            </w:pPr>
            <w:r>
              <w:t xml:space="preserve">2</w:t>
            </w:r>
          </w:p>
        </w:tc>
        <w:tc>
          <w:p>
            <w:pPr>
              <w:pStyle w:val="Compact"/>
              <w:jc w:val="left"/>
            </w:pPr>
            <w:r>
              <w:t xml:space="preserve">70</w:t>
            </w:r>
          </w:p>
        </w:tc>
        <w:tc>
          <w:p>
            <w:pPr>
              <w:pStyle w:val="Compact"/>
              <w:jc w:val="left"/>
            </w:pPr>
            <w:r>
              <w:t xml:space="preserve">25.2%</w:t>
            </w:r>
          </w:p>
        </w:tc>
        <w:tc>
          <w:p>
            <w:pPr>
              <w:pStyle w:val="Compact"/>
              <w:jc w:val="left"/>
            </w:pPr>
            <w:r>
              <w:t xml:space="preserve">0.0512</w:t>
            </w:r>
          </w:p>
        </w:tc>
        <w:tc>
          <w:p>
            <w:pPr>
              <w:pStyle w:val="Compact"/>
              <w:jc w:val="left"/>
            </w:pPr>
            <w:r>
              <w:t xml:space="preserve">near-degenerate</w:t>
            </w:r>
          </w:p>
        </w:tc>
        <w:tc>
          <w:p>
            <w:pPr>
              <w:pStyle w:val="Compact"/>
              <w:jc w:val="left"/>
            </w:pPr>
            <w:r>
              <w:t xml:space="preserve">VEERING (localized character exchange)</w:t>
            </w:r>
          </w:p>
        </w:tc>
        <w:tc>
          <w:p>
            <w:pPr>
              <w:pStyle w:val="Compact"/>
              <w:jc w:val="left"/>
            </w:pPr>
            <w:r>
              <w:t xml:space="preserve">VEERING (localized character exchange)</w:t>
            </w:r>
          </w:p>
        </w:tc>
        <w:tc>
          <w:p>
            <w:pPr>
              <w:pStyle w:val="Compact"/>
              <w:jc w:val="left"/>
            </w:pPr>
            <w:r>
              <w:t xml:space="preserve">12,15</w:t>
            </w:r>
          </w:p>
        </w:tc>
        <w:tc>
          <w:p>
            <w:pPr>
              <w:pStyle w:val="Compact"/>
              <w:jc w:val="left"/>
            </w:pPr>
            <w:r>
              <w:t xml:space="preserve">0.4500</w:t>
            </w:r>
          </w:p>
        </w:tc>
        <w:tc>
          <w:p>
            <w:pPr>
              <w:pStyle w:val="Compact"/>
              <w:jc w:val="left"/>
            </w:pPr>
            <w:r>
              <w:t xml:space="preserve">0.8571</w:t>
            </w:r>
          </w:p>
        </w:tc>
        <w:tc>
          <w:p>
            <w:pPr>
              <w:pStyle w:val="Compact"/>
              <w:jc w:val="left"/>
            </w:pPr>
            <w:r>
              <w:t xml:space="preserve">0.1429</w:t>
            </w:r>
          </w:p>
        </w:tc>
        <w:tc>
          <w:p>
            <w:pPr>
              <w:pStyle w:val="Compact"/>
              <w:jc w:val="left"/>
            </w:pPr>
            <w:r>
              <w:t xml:space="preserve">0.1429</w:t>
            </w:r>
          </w:p>
        </w:tc>
        <w:tc>
          <w:p>
            <w:pPr>
              <w:pStyle w:val="Compact"/>
              <w:jc w:val="left"/>
            </w:pPr>
            <w:r>
              <w:t xml:space="preserve">0.3857</w:t>
            </w:r>
          </w:p>
        </w:tc>
        <w:tc>
          <w:p>
            <w:pPr>
              <w:pStyle w:val="Compact"/>
              <w:jc w:val="left"/>
            </w:pPr>
            <w:r>
              <w:t xml:space="preserve">0.3704</w:t>
            </w:r>
          </w:p>
        </w:tc>
        <w:tc>
          <w:p>
            <w:pPr>
              <w:pStyle w:val="Compact"/>
              <w:jc w:val="left"/>
            </w:pPr>
            <w:r>
              <w:t xml:space="preserve">0.0000</w:t>
            </w:r>
          </w:p>
        </w:tc>
        <w:tc>
          <w:p>
            <w:pPr>
              <w:pStyle w:val="Compact"/>
              <w:jc w:val="left"/>
            </w:pPr>
            <w:r>
              <w:t xml:space="preserve">1</w:t>
            </w:r>
          </w:p>
        </w:tc>
        <w:tc>
          <w:p>
            <w:pPr>
              <w:pStyle w:val="Compact"/>
              <w:jc w:val="left"/>
            </w:pPr>
            <w:r>
              <w:t xml:space="preserve">1</w:t>
            </w:r>
          </w:p>
        </w:tc>
      </w:tr>
    </w:tbl>
    <w:bookmarkEnd w:id="65"/>
    <w:bookmarkStart w:id="66" w:name="X1560dbefc7cae5f73726fbe2d0f304d8863faa5"/>
    <w:p>
      <w:pPr>
        <w:pStyle w:val="Heading2"/>
      </w:pPr>
      <w:r>
        <w:t xml:space="preserve">Table A6. Morphology-axis permutation null test</w:t>
      </w:r>
    </w:p>
    <w:tbl>
      <w:tblPr>
        <w:tblStyle w:val="Table"/>
        <w:tblW w:type="pct" w:w="0.0"/>
        <w:tblLook w:firstRow="1" w:lastRow="0" w:firstColumn="0" w:lastColumn="0" w:noHBand="0" w:noVBand="0" w:val="0020"/>
      </w:tblPr>
      <w:tblGrid/>
      <w:tr>
        <w:tc>
          <w:p>
            <w:pPr>
              <w:pStyle w:val="Compact"/>
              <w:jc w:val="left"/>
            </w:pPr>
            <w:r>
              <w:t xml:space="preserve">Cluster</w:t>
            </w:r>
          </w:p>
        </w:tc>
        <w:tc>
          <w:p>
            <w:pPr>
              <w:pStyle w:val="Compact"/>
              <w:jc w:val="left"/>
            </w:pPr>
            <w:r>
              <w:t xml:space="preserve">Rank pair</w:t>
            </w:r>
          </w:p>
        </w:tc>
        <w:tc>
          <w:p>
            <w:pPr>
              <w:pStyle w:val="Compact"/>
              <w:jc w:val="right"/>
            </w:pPr>
            <w:r>
              <w:t xml:space="preserve">Peak</w:t>
            </w:r>
            <m:oMath>
              <m:sSub>
                <m:e>
                  <m:r>
                    <m:t>​</m:t>
                  </m:r>
                </m:e>
                <m:sub>
                  <m:r>
                    <m:rPr>
                      <m:sty m:val="p"/>
                    </m:rPr>
                    <m:t>o</m:t>
                  </m:r>
                  <m:r>
                    <m:rPr>
                      <m:sty m:val="p"/>
                    </m:rPr>
                    <m:t>b</m:t>
                  </m:r>
                  <m:r>
                    <m:rPr>
                      <m:sty m:val="p"/>
                    </m:rPr>
                    <m:t>s</m:t>
                  </m:r>
                </m:sub>
              </m:sSub>
            </m:oMath>
          </w:p>
        </w:tc>
        <w:tc>
          <w:p>
            <w:pPr>
              <w:pStyle w:val="Compact"/>
              <w:jc w:val="right"/>
            </w:pPr>
            <m:oMath>
              <m:r>
                <m:t>p</m:t>
              </m:r>
            </m:oMath>
            <w:r>
              <w:t xml:space="preserve"> </w:t>
            </w:r>
            <w:r>
              <w:t xml:space="preserve">(peak)</w:t>
            </w:r>
          </w:p>
        </w:tc>
        <w:tc>
          <w:p>
            <w:pPr>
              <w:pStyle w:val="Compact"/>
              <w:jc w:val="right"/>
            </w:pPr>
            <w:r>
              <w:t xml:space="preserve">Active</w:t>
            </w:r>
            <m:oMath>
              <m:sSub>
                <m:e>
                  <m:r>
                    <m:t>​</m:t>
                  </m:r>
                </m:e>
                <m:sub>
                  <m:r>
                    <m:rPr>
                      <m:sty m:val="p"/>
                    </m:rPr>
                    <m:t>o</m:t>
                  </m:r>
                  <m:r>
                    <m:rPr>
                      <m:sty m:val="p"/>
                    </m:rPr>
                    <m:t>b</m:t>
                  </m:r>
                  <m:r>
                    <m:rPr>
                      <m:sty m:val="p"/>
                    </m:rPr>
                    <m:t>s</m:t>
                  </m:r>
                </m:sub>
              </m:sSub>
            </m:oMath>
          </w:p>
        </w:tc>
        <w:tc>
          <w:p>
            <w:pPr>
              <w:pStyle w:val="Compact"/>
              <w:jc w:val="right"/>
            </w:pPr>
            <m:oMath>
              <m:r>
                <m:t>p</m:t>
              </m:r>
            </m:oMath>
            <w:r>
              <w:t xml:space="preserve"> </w:t>
            </w:r>
            <w:r>
              <w:t xml:space="preserve">(active)</w:t>
            </w:r>
          </w:p>
        </w:tc>
        <w:tc>
          <w:p>
            <w:pPr>
              <w:pStyle w:val="Compact"/>
              <w:jc w:val="right"/>
            </w:pPr>
            <w:r>
              <w:t xml:space="preserve">CV</w:t>
            </w:r>
            <m:oMath>
              <m:sSub>
                <m:e>
                  <m:r>
                    <m:t>​</m:t>
                  </m:r>
                </m:e>
                <m:sub>
                  <m:r>
                    <m:rPr>
                      <m:sty m:val="p"/>
                    </m:rPr>
                    <m:t>o</m:t>
                  </m:r>
                  <m:r>
                    <m:rPr>
                      <m:sty m:val="p"/>
                    </m:rPr>
                    <m:t>b</m:t>
                  </m:r>
                  <m:r>
                    <m:rPr>
                      <m:sty m:val="p"/>
                    </m:rPr>
                    <m:t>s</m:t>
                  </m:r>
                </m:sub>
              </m:sSub>
            </m:oMath>
          </w:p>
        </w:tc>
        <w:tc>
          <w:p>
            <w:pPr>
              <w:pStyle w:val="Compact"/>
              <w:jc w:val="right"/>
            </w:pPr>
            <m:oMath>
              <m:r>
                <m:t>p</m:t>
              </m:r>
            </m:oMath>
            <w:r>
              <w:t xml:space="preserve"> </w:t>
            </w:r>
            <w:r>
              <w:t xml:space="preserve">(CV)</w:t>
            </w:r>
          </w:p>
        </w:tc>
        <w:tc>
          <w:p>
            <w:pPr>
              <w:pStyle w:val="Compact"/>
              <w:jc w:val="left"/>
            </w:pPr>
            <w:r>
              <w:t xml:space="preserve">Significant</w:t>
            </w:r>
          </w:p>
        </w:tc>
      </w:tr>
      <w:tr>
        <w:tc>
          <w:p>
            <w:pPr>
              <w:pStyle w:val="Compact"/>
              <w:jc w:val="left"/>
            </w:pPr>
            <w:r>
              <w:t xml:space="preserve">Rank modes 9–10</w:t>
            </w:r>
          </w:p>
        </w:tc>
        <w:tc>
          <w:p>
            <w:pPr>
              <w:pStyle w:val="Compact"/>
              <w:jc w:val="left"/>
            </w:pPr>
            <w:r>
              <w:t xml:space="preserve">9</w:t>
            </w:r>
            <m:oMath>
              <m:r>
                <m:rPr>
                  <m:sty m:val="p"/>
                </m:rPr>
                <m:t>⇄</m:t>
              </m:r>
            </m:oMath>
            <w:r>
              <w:t xml:space="preserve">10</w:t>
            </w:r>
          </w:p>
        </w:tc>
        <w:tc>
          <w:p>
            <w:pPr>
              <w:pStyle w:val="Compact"/>
              <w:jc w:val="right"/>
            </w:pPr>
            <w:r>
              <w:t xml:space="preserve">1</w:t>
            </w:r>
          </w:p>
        </w:tc>
        <w:tc>
          <w:p>
            <w:pPr>
              <w:pStyle w:val="Compact"/>
              <w:jc w:val="right"/>
            </w:pPr>
            <w:r>
              <w:t xml:space="preserve">0.2547</w:t>
            </w:r>
          </w:p>
        </w:tc>
        <w:tc>
          <w:p>
            <w:pPr>
              <w:pStyle w:val="Compact"/>
              <w:jc w:val="right"/>
            </w:pPr>
            <w:r>
              <w:t xml:space="preserve">0.2162</w:t>
            </w:r>
          </w:p>
        </w:tc>
        <w:tc>
          <w:p>
            <w:pPr>
              <w:pStyle w:val="Compact"/>
              <w:jc w:val="right"/>
            </w:pPr>
            <w:r>
              <w:t xml:space="preserve">0.8202</w:t>
            </w:r>
          </w:p>
        </w:tc>
        <w:tc>
          <w:p>
            <w:pPr>
              <w:pStyle w:val="Compact"/>
              <w:jc w:val="right"/>
            </w:pPr>
            <w:r>
              <w:t xml:space="preserve">0.6042</w:t>
            </w:r>
          </w:p>
        </w:tc>
        <w:tc>
          <w:p>
            <w:pPr>
              <w:pStyle w:val="Compact"/>
              <w:jc w:val="right"/>
            </w:pPr>
            <w:r>
              <w:t xml:space="preserve">0.02697</w:t>
            </w:r>
          </w:p>
        </w:tc>
        <w:tc>
          <w:p>
            <w:pPr>
              <w:pStyle w:val="Compact"/>
              <w:jc w:val="left"/>
            </w:pPr>
            <w:r>
              <w:t xml:space="preserve">NO</w:t>
            </w:r>
          </w:p>
        </w:tc>
      </w:tr>
      <w:tr>
        <w:tc>
          <w:p>
            <w:pPr>
              <w:pStyle w:val="Compact"/>
              <w:jc w:val="left"/>
            </w:pPr>
            <w:r>
              <w:t xml:space="preserve">Rank modes 12–15</w:t>
            </w:r>
          </w:p>
        </w:tc>
        <w:tc>
          <w:p>
            <w:pPr>
              <w:pStyle w:val="Compact"/>
              <w:jc w:val="left"/>
            </w:pPr>
            <w:r>
              <w:t xml:space="preserve">12</w:t>
            </w:r>
            <m:oMath>
              <m:r>
                <m:rPr>
                  <m:sty m:val="p"/>
                </m:rPr>
                <m:t>⇄</m:t>
              </m:r>
            </m:oMath>
            <w:r>
              <w:t xml:space="preserve">13</w:t>
            </w:r>
          </w:p>
        </w:tc>
        <w:tc>
          <w:p>
            <w:pPr>
              <w:pStyle w:val="Compact"/>
              <w:jc w:val="right"/>
            </w:pPr>
            <w:r>
              <w:t xml:space="preserve">1</w:t>
            </w:r>
          </w:p>
        </w:tc>
        <w:tc>
          <w:p>
            <w:pPr>
              <w:pStyle w:val="Compact"/>
              <w:jc w:val="right"/>
            </w:pPr>
            <w:r>
              <w:t xml:space="preserve">0.4496</w:t>
            </w:r>
          </w:p>
        </w:tc>
        <w:tc>
          <w:p>
            <w:pPr>
              <w:pStyle w:val="Compact"/>
              <w:jc w:val="right"/>
            </w:pPr>
            <w:r>
              <w:t xml:space="preserve">0.283</w:t>
            </w:r>
          </w:p>
        </w:tc>
        <w:tc>
          <w:p>
            <w:pPr>
              <w:pStyle w:val="Compact"/>
              <w:jc w:val="right"/>
            </w:pPr>
            <w:r>
              <w:t xml:space="preserve">0.7223</w:t>
            </w:r>
          </w:p>
        </w:tc>
        <w:tc>
          <w:p>
            <w:pPr>
              <w:pStyle w:val="Compact"/>
              <w:jc w:val="right"/>
            </w:pPr>
            <w:r>
              <w:t xml:space="preserve">0.5553</w:t>
            </w:r>
          </w:p>
        </w:tc>
        <w:tc>
          <w:p>
            <w:pPr>
              <w:pStyle w:val="Compact"/>
              <w:jc w:val="right"/>
            </w:pPr>
            <w:r>
              <w:t xml:space="preserve">0.4046</w:t>
            </w:r>
          </w:p>
        </w:tc>
        <w:tc>
          <w:p>
            <w:pPr>
              <w:pStyle w:val="Compact"/>
              <w:jc w:val="left"/>
            </w:pPr>
            <w:r>
              <w:t xml:space="preserve">NO</w:t>
            </w:r>
          </w:p>
        </w:tc>
      </w:tr>
      <w:tr>
        <w:tc>
          <w:p>
            <w:pPr>
              <w:pStyle w:val="Compact"/>
              <w:jc w:val="left"/>
            </w:pPr>
            <w:r>
              <w:t xml:space="preserve">Rank modes 12–15</w:t>
            </w:r>
          </w:p>
        </w:tc>
        <w:tc>
          <w:p>
            <w:pPr>
              <w:pStyle w:val="Compact"/>
              <w:jc w:val="left"/>
            </w:pPr>
            <w:r>
              <w:t xml:space="preserve">13</w:t>
            </w:r>
            <m:oMath>
              <m:r>
                <m:rPr>
                  <m:sty m:val="p"/>
                </m:rPr>
                <m:t>⇄</m:t>
              </m:r>
            </m:oMath>
            <w:r>
              <w:t xml:space="preserve">14</w:t>
            </w:r>
          </w:p>
        </w:tc>
        <w:tc>
          <w:p>
            <w:pPr>
              <w:pStyle w:val="Compact"/>
              <w:jc w:val="right"/>
            </w:pPr>
            <w:r>
              <w:t xml:space="preserve">0.25</w:t>
            </w:r>
          </w:p>
        </w:tc>
        <w:tc>
          <w:p>
            <w:pPr>
              <w:pStyle w:val="Compact"/>
              <w:jc w:val="right"/>
            </w:pPr>
            <w:r>
              <w:t xml:space="preserve">0.8891</w:t>
            </w:r>
          </w:p>
        </w:tc>
        <w:tc>
          <w:p>
            <w:pPr>
              <w:pStyle w:val="Compact"/>
              <w:jc w:val="right"/>
            </w:pPr>
            <w:r>
              <w:t xml:space="preserve">0.5</w:t>
            </w:r>
          </w:p>
        </w:tc>
        <w:tc>
          <w:p>
            <w:pPr>
              <w:pStyle w:val="Compact"/>
              <w:jc w:val="right"/>
            </w:pPr>
            <w:r>
              <w:t xml:space="preserve">0.3437</w:t>
            </w:r>
          </w:p>
        </w:tc>
        <w:tc>
          <w:p>
            <w:pPr>
              <w:pStyle w:val="Compact"/>
              <w:jc w:val="right"/>
            </w:pPr>
            <w:r>
              <w:t xml:space="preserve">1</w:t>
            </w:r>
          </w:p>
        </w:tc>
        <w:tc>
          <w:p>
            <w:pPr>
              <w:pStyle w:val="Compact"/>
              <w:jc w:val="right"/>
            </w:pPr>
            <w:r>
              <w:t xml:space="preserve">0.4336</w:t>
            </w:r>
          </w:p>
        </w:tc>
        <w:tc>
          <w:p>
            <w:pPr>
              <w:pStyle w:val="Compact"/>
              <w:jc w:val="left"/>
            </w:pPr>
            <w:r>
              <w:t xml:space="preserve">NO</w:t>
            </w:r>
          </w:p>
        </w:tc>
      </w:tr>
      <w:tr>
        <w:tc>
          <w:p>
            <w:pPr>
              <w:pStyle w:val="Compact"/>
              <w:jc w:val="left"/>
            </w:pPr>
            <w:r>
              <w:t xml:space="preserve">Rank modes 12–15</w:t>
            </w:r>
          </w:p>
        </w:tc>
        <w:tc>
          <w:p>
            <w:pPr>
              <w:pStyle w:val="Compact"/>
              <w:jc w:val="left"/>
            </w:pPr>
            <w:r>
              <w:t xml:space="preserve">14</w:t>
            </w:r>
            <m:oMath>
              <m:r>
                <m:rPr>
                  <m:sty m:val="p"/>
                </m:rPr>
                <m:t>⇄</m:t>
              </m:r>
            </m:oMath>
            <w:r>
              <w:t xml:space="preserve">15</w:t>
            </w:r>
          </w:p>
        </w:tc>
        <w:tc>
          <w:p>
            <w:pPr>
              <w:pStyle w:val="Compact"/>
              <w:jc w:val="right"/>
            </w:pPr>
            <w:r>
              <w:t xml:space="preserve">0.5</w:t>
            </w:r>
          </w:p>
        </w:tc>
        <w:tc>
          <w:p>
            <w:pPr>
              <w:pStyle w:val="Compact"/>
              <w:jc w:val="right"/>
            </w:pPr>
            <w:r>
              <w:t xml:space="preserve">0.7443</w:t>
            </w:r>
          </w:p>
        </w:tc>
        <w:tc>
          <w:p>
            <w:pPr>
              <w:pStyle w:val="Compact"/>
              <w:jc w:val="right"/>
            </w:pPr>
            <w:r>
              <w:t xml:space="preserve">0.09302</w:t>
            </w:r>
          </w:p>
        </w:tc>
        <w:tc>
          <w:p>
            <w:pPr>
              <w:pStyle w:val="Compact"/>
              <w:jc w:val="right"/>
            </w:pPr>
            <w:r>
              <w:t xml:space="preserve">0.8492</w:t>
            </w:r>
          </w:p>
        </w:tc>
        <w:tc>
          <w:p>
            <w:pPr>
              <w:pStyle w:val="Compact"/>
              <w:jc w:val="right"/>
            </w:pPr>
            <w:r>
              <w:t xml:space="preserve">0.9727</w:t>
            </w:r>
          </w:p>
        </w:tc>
        <w:tc>
          <w:p>
            <w:pPr>
              <w:pStyle w:val="Compact"/>
              <w:jc w:val="right"/>
            </w:pPr>
            <w:r>
              <w:t xml:space="preserve">0.4256</w:t>
            </w:r>
          </w:p>
        </w:tc>
        <w:tc>
          <w:p>
            <w:pPr>
              <w:pStyle w:val="Compact"/>
              <w:jc w:val="left"/>
            </w:pPr>
            <w:r>
              <w:t xml:space="preserve">NO</w:t>
            </w:r>
          </w:p>
        </w:tc>
      </w:tr>
      <w:tr>
        <w:tc>
          <w:p>
            <w:pPr>
              <w:pStyle w:val="Compact"/>
              <w:jc w:val="left"/>
            </w:pPr>
            <w:r>
              <w:t xml:space="preserve">Rank modes 5–6</w:t>
            </w:r>
          </w:p>
        </w:tc>
        <w:tc>
          <w:p>
            <w:pPr>
              <w:pStyle w:val="Compact"/>
              <w:jc w:val="left"/>
            </w:pPr>
            <w:r>
              <w:t xml:space="preserve">5</w:t>
            </w:r>
            <m:oMath>
              <m:r>
                <m:rPr>
                  <m:sty m:val="p"/>
                </m:rPr>
                <m:t>⇄</m:t>
              </m:r>
            </m:oMath>
            <w:r>
              <w:t xml:space="preserve">6</w:t>
            </w:r>
          </w:p>
        </w:tc>
        <w:tc>
          <w:p>
            <w:pPr>
              <w:pStyle w:val="Compact"/>
              <w:jc w:val="right"/>
            </w:pPr>
            <w:r>
              <w:t xml:space="preserve">0.5</w:t>
            </w:r>
          </w:p>
        </w:tc>
        <w:tc>
          <w:p>
            <w:pPr>
              <w:pStyle w:val="Compact"/>
              <w:jc w:val="right"/>
            </w:pPr>
            <w:r>
              <w:t xml:space="preserve">0.9001</w:t>
            </w:r>
          </w:p>
        </w:tc>
        <w:tc>
          <w:p>
            <w:pPr>
              <w:pStyle w:val="Compact"/>
              <w:jc w:val="right"/>
            </w:pPr>
            <w:r>
              <w:t xml:space="preserve">0.1267</w:t>
            </w:r>
          </w:p>
        </w:tc>
        <w:tc>
          <w:p>
            <w:pPr>
              <w:pStyle w:val="Compact"/>
              <w:jc w:val="right"/>
            </w:pPr>
            <w:r>
              <w:t xml:space="preserve">0.4535</w:t>
            </w:r>
          </w:p>
        </w:tc>
        <w:tc>
          <w:p>
            <w:pPr>
              <w:pStyle w:val="Compact"/>
              <w:jc w:val="right"/>
            </w:pPr>
            <w:r>
              <w:t xml:space="preserve">1.048</w:t>
            </w:r>
          </w:p>
        </w:tc>
        <w:tc>
          <w:p>
            <w:pPr>
              <w:pStyle w:val="Compact"/>
              <w:jc w:val="right"/>
            </w:pPr>
            <w:r>
              <w:t xml:space="preserve">0.7263</w:t>
            </w:r>
          </w:p>
        </w:tc>
        <w:tc>
          <w:p>
            <w:pPr>
              <w:pStyle w:val="Compact"/>
              <w:jc w:val="left"/>
            </w:pPr>
            <w:r>
              <w:t xml:space="preserve">NO</w:t>
            </w:r>
          </w:p>
        </w:tc>
      </w:tr>
      <w:tr>
        <w:tc>
          <w:p>
            <w:pPr>
              <w:pStyle w:val="Compact"/>
              <w:jc w:val="left"/>
            </w:pPr>
            <w:r>
              <w:t xml:space="preserve">Rank modes 12–13</w:t>
            </w:r>
          </w:p>
        </w:tc>
        <w:tc>
          <w:p>
            <w:pPr>
              <w:pStyle w:val="Compact"/>
              <w:jc w:val="left"/>
            </w:pPr>
            <w:r>
              <w:t xml:space="preserve">12</w:t>
            </w:r>
            <m:oMath>
              <m:r>
                <m:rPr>
                  <m:sty m:val="p"/>
                </m:rPr>
                <m:t>⇄</m:t>
              </m:r>
            </m:oMath>
            <w:r>
              <w:t xml:space="preserve">13</w:t>
            </w:r>
          </w:p>
        </w:tc>
        <w:tc>
          <w:p>
            <w:pPr>
              <w:pStyle w:val="Compact"/>
              <w:jc w:val="right"/>
            </w:pPr>
            <w:r>
              <w:t xml:space="preserve">0.25</w:t>
            </w:r>
          </w:p>
        </w:tc>
        <w:tc>
          <w:p>
            <w:pPr>
              <w:pStyle w:val="Compact"/>
              <w:jc w:val="right"/>
            </w:pPr>
            <w:r>
              <w:t xml:space="preserve">0.8192</w:t>
            </w:r>
          </w:p>
        </w:tc>
        <w:tc>
          <w:p>
            <w:pPr>
              <w:pStyle w:val="Compact"/>
              <w:jc w:val="right"/>
            </w:pPr>
            <w:r>
              <w:t xml:space="preserve">0.4375</w:t>
            </w:r>
          </w:p>
        </w:tc>
        <w:tc>
          <w:p>
            <w:pPr>
              <w:pStyle w:val="Compact"/>
              <w:jc w:val="right"/>
            </w:pPr>
            <w:r>
              <w:t xml:space="preserve">0.2438</w:t>
            </w:r>
          </w:p>
        </w:tc>
        <w:tc>
          <w:p>
            <w:pPr>
              <w:pStyle w:val="Compact"/>
              <w:jc w:val="right"/>
            </w:pPr>
            <w:r>
              <w:t xml:space="preserve">1.146</w:t>
            </w:r>
          </w:p>
        </w:tc>
        <w:tc>
          <w:p>
            <w:pPr>
              <w:pStyle w:val="Compact"/>
              <w:jc w:val="right"/>
            </w:pPr>
            <w:r>
              <w:t xml:space="preserve">0.5455</w:t>
            </w:r>
          </w:p>
        </w:tc>
        <w:tc>
          <w:p>
            <w:pPr>
              <w:pStyle w:val="Compact"/>
              <w:jc w:val="left"/>
            </w:pPr>
            <w:r>
              <w:t xml:space="preserve">NO</w:t>
            </w:r>
          </w:p>
        </w:tc>
      </w:tr>
      <w:tr>
        <w:tc>
          <w:p>
            <w:pPr>
              <w:pStyle w:val="Compact"/>
              <w:jc w:val="left"/>
            </w:pPr>
            <w:r>
              <w:t xml:space="preserve">Rank modes 14–15</w:t>
            </w:r>
          </w:p>
        </w:tc>
        <w:tc>
          <w:p>
            <w:pPr>
              <w:pStyle w:val="Compact"/>
              <w:jc w:val="left"/>
            </w:pPr>
            <w:r>
              <w:t xml:space="preserve">14</w:t>
            </w:r>
            <m:oMath>
              <m:r>
                <m:rPr>
                  <m:sty m:val="p"/>
                </m:rPr>
                <m:t>⇄</m:t>
              </m:r>
            </m:oMath>
            <w:r>
              <w:t xml:space="preserve">15</w:t>
            </w:r>
          </w:p>
        </w:tc>
        <w:tc>
          <w:p>
            <w:pPr>
              <w:pStyle w:val="Compact"/>
              <w:jc w:val="right"/>
            </w:pPr>
            <w:r>
              <w:t xml:space="preserve">0.75</w:t>
            </w:r>
          </w:p>
        </w:tc>
        <w:tc>
          <w:p>
            <w:pPr>
              <w:pStyle w:val="Compact"/>
              <w:jc w:val="right"/>
            </w:pPr>
            <w:r>
              <w:t xml:space="preserve">0.6563</w:t>
            </w:r>
          </w:p>
        </w:tc>
        <w:tc>
          <w:p>
            <w:pPr>
              <w:pStyle w:val="Compact"/>
              <w:jc w:val="right"/>
            </w:pPr>
            <w:r>
              <w:t xml:space="preserve">1</w:t>
            </w:r>
          </w:p>
        </w:tc>
        <w:tc>
          <w:p>
            <w:pPr>
              <w:pStyle w:val="Compact"/>
              <w:jc w:val="right"/>
            </w:pPr>
            <w:r>
              <w:t xml:space="preserve">0.5504</w:t>
            </w:r>
          </w:p>
        </w:tc>
        <w:tc>
          <w:p>
            <w:pPr>
              <w:pStyle w:val="Compact"/>
              <w:jc w:val="right"/>
            </w:pPr>
            <w:r>
              <w:t xml:space="preserve">0</w:t>
            </w:r>
          </w:p>
        </w:tc>
        <w:tc>
          <w:p>
            <w:pPr>
              <w:pStyle w:val="Compact"/>
              <w:jc w:val="right"/>
            </w:pPr>
            <w:r>
              <w:t xml:space="preserve">1</w:t>
            </w:r>
          </w:p>
        </w:tc>
        <w:tc>
          <w:p>
            <w:pPr>
              <w:pStyle w:val="Compact"/>
              <w:jc w:val="left"/>
            </w:pPr>
            <w:r>
              <w:t xml:space="preserve">NO</w:t>
            </w:r>
          </w:p>
        </w:tc>
      </w:tr>
    </w:tbl>
    <w:bookmarkEnd w:id="66"/>
    <w:bookmarkEnd w:id="67"/>
    <w:bookmarkStart w:id="72" w:name="cohort-robustness-and-sex-effects"/>
    <w:p>
      <w:pPr>
        <w:pStyle w:val="Heading1"/>
      </w:pPr>
      <w:r>
        <w:t xml:space="preserve">Cohort robustness and sex effects</w:t>
      </w:r>
    </w:p>
    <w:p>
      <w:pPr>
        <w:pStyle w:val="FirstParagraph"/>
      </w:pPr>
      <w:r>
        <w:t xml:space="preserve">The main text uses sex effects only where they materially sharpen interpretation of the recurrent clustered subspaces, especially the 9–10 inlet-related pair.</w:t>
      </w:r>
      <w:r>
        <w:t xml:space="preserve"> </w:t>
      </w:r>
      <w:r>
        <w:t xml:space="preserve">This appendix provides the broader sex-stratified summary and the bootstrap evidence that the dominant clusters are stable cohort-level features rather than products of a few outlying subjects.</w:t>
      </w:r>
      <w:r>
        <w:t xml:space="preserve"> </w:t>
      </w:r>
      <w:r>
        <w:t xml:space="preserve">Table B1 gives the bootstrap stability estimates for the dominant clusters and gap statistics.</w:t>
      </w:r>
      <w:r>
        <w:t xml:space="preserve"> </w:t>
      </w:r>
      <w:r>
        <w:t xml:space="preserve">Figure B1 summarises the sex-stratified spectral structure, and Table B2 reports the accompanying sex-stratified statistical tests for the spectral and subspace metrics.</w:t>
      </w:r>
    </w:p>
    <w:bookmarkStart w:id="68" w:name="Xafc06f4cc7618f252207153b2da5dd75ab2b94e"/>
    <w:p>
      <w:pPr>
        <w:pStyle w:val="Heading2"/>
      </w:pPr>
      <w:r>
        <w:t xml:space="preserve">Table B1. Bootstrap robustness under random 80% subcohorts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Target</w:t>
            </w:r>
          </w:p>
        </w:tc>
        <w:tc>
          <w:p>
            <w:pPr>
              <w:pStyle w:val="Compact"/>
              <w:jc w:val="left"/>
            </w:pPr>
            <w:r>
              <w:t xml:space="preserve">Observed</w:t>
            </w:r>
          </w:p>
        </w:tc>
        <w:tc>
          <w:p>
            <w:pPr>
              <w:pStyle w:val="Compact"/>
              <w:jc w:val="left"/>
            </w:pPr>
            <w:r>
              <w:t xml:space="preserve">Boot. mean</w:t>
            </w:r>
          </w:p>
        </w:tc>
        <w:tc>
          <w:p>
            <w:pPr>
              <w:pStyle w:val="Compact"/>
              <w:jc w:val="left"/>
            </w:pPr>
            <w:r>
              <w:t xml:space="preserve">Boot. std</w:t>
            </w:r>
          </w:p>
        </w:tc>
        <w:tc>
          <w:p>
            <w:pPr>
              <w:pStyle w:val="Compact"/>
              <w:jc w:val="left"/>
            </w:pPr>
            <w:r>
              <w:t xml:space="preserve">95</w:t>
            </w:r>
          </w:p>
        </w:tc>
      </w:tr>
      <w:tr>
        <w:tc>
          <w:p>
            <w:pPr>
              <w:pStyle w:val="Compact"/>
              <w:jc w:val="left"/>
            </w:pPr>
            <w:r>
              <w:t xml:space="preserve">prevalence</w:t>
            </w:r>
          </w:p>
        </w:tc>
        <w:tc>
          <w:p>
            <w:pPr>
              <w:pStyle w:val="Compact"/>
              <w:jc w:val="left"/>
            </w:pPr>
            <w:r>
              <w:t xml:space="preserve">Rank modes 9–10</w:t>
            </w:r>
          </w:p>
        </w:tc>
        <w:tc>
          <w:p>
            <w:pPr>
              <w:pStyle w:val="Compact"/>
              <w:jc w:val="left"/>
            </w:pPr>
            <w:r>
              <w:t xml:space="preserve">0.547</w:t>
            </w:r>
          </w:p>
        </w:tc>
        <w:tc>
          <w:p>
            <w:pPr>
              <w:pStyle w:val="Compact"/>
              <w:jc w:val="left"/>
            </w:pPr>
            <w:r>
              <w:t xml:space="preserve">0.548</w:t>
            </w:r>
          </w:p>
        </w:tc>
        <w:tc>
          <w:p>
            <w:pPr>
              <w:pStyle w:val="Compact"/>
              <w:jc w:val="left"/>
            </w:pPr>
            <w:r>
              <w:t xml:space="preserve">0.015</w:t>
            </w:r>
          </w:p>
        </w:tc>
        <w:tc>
          <w:p>
            <w:pPr>
              <w:pStyle w:val="Compact"/>
              <w:jc w:val="left"/>
            </w:pPr>
            <w:r>
              <w:t xml:space="preserve">[0.518, 0.577]</w:t>
            </w:r>
          </w:p>
        </w:tc>
      </w:tr>
      <w:tr>
        <w:tc>
          <w:p>
            <w:pPr>
              <w:pStyle w:val="Compact"/>
              <w:jc w:val="left"/>
            </w:pPr>
            <w:r>
              <w:t xml:space="preserve">prevalence</w:t>
            </w:r>
          </w:p>
        </w:tc>
        <w:tc>
          <w:p>
            <w:pPr>
              <w:pStyle w:val="Compact"/>
              <w:jc w:val="left"/>
            </w:pPr>
            <w:r>
              <w:t xml:space="preserve">Rank modes 12–15</w:t>
            </w:r>
          </w:p>
        </w:tc>
        <w:tc>
          <w:p>
            <w:pPr>
              <w:pStyle w:val="Compact"/>
              <w:jc w:val="left"/>
            </w:pPr>
            <w:r>
              <w:t xml:space="preserve">0.417</w:t>
            </w:r>
          </w:p>
        </w:tc>
        <w:tc>
          <w:p>
            <w:pPr>
              <w:pStyle w:val="Compact"/>
              <w:jc w:val="left"/>
            </w:pPr>
            <w:r>
              <w:t xml:space="preserve">0.417</w:t>
            </w:r>
          </w:p>
        </w:tc>
        <w:tc>
          <w:p>
            <w:pPr>
              <w:pStyle w:val="Compact"/>
              <w:jc w:val="left"/>
            </w:pPr>
            <w:r>
              <w:t xml:space="preserve">0.015</w:t>
            </w:r>
          </w:p>
        </w:tc>
        <w:tc>
          <w:p>
            <w:pPr>
              <w:pStyle w:val="Compact"/>
              <w:jc w:val="left"/>
            </w:pPr>
            <w:r>
              <w:t xml:space="preserve">[0.387, 0.450]</w:t>
            </w:r>
          </w:p>
        </w:tc>
      </w:tr>
      <w:tr>
        <w:tc>
          <w:p>
            <w:pPr>
              <w:pStyle w:val="Compact"/>
              <w:jc w:val="left"/>
            </w:pPr>
            <w:r>
              <w:t xml:space="preserve">prevalence</w:t>
            </w:r>
          </w:p>
        </w:tc>
        <w:tc>
          <w:p>
            <w:pPr>
              <w:pStyle w:val="Compact"/>
              <w:jc w:val="left"/>
            </w:pPr>
            <w:r>
              <w:t xml:space="preserve">Rank modes 5–6</w:t>
            </w:r>
          </w:p>
        </w:tc>
        <w:tc>
          <w:p>
            <w:pPr>
              <w:pStyle w:val="Compact"/>
              <w:jc w:val="left"/>
            </w:pPr>
            <w:r>
              <w:t xml:space="preserve">0.338</w:t>
            </w:r>
          </w:p>
        </w:tc>
        <w:tc>
          <w:p>
            <w:pPr>
              <w:pStyle w:val="Compact"/>
              <w:jc w:val="left"/>
            </w:pPr>
            <w:r>
              <w:t xml:space="preserve">0.338</w:t>
            </w:r>
          </w:p>
        </w:tc>
        <w:tc>
          <w:p>
            <w:pPr>
              <w:pStyle w:val="Compact"/>
              <w:jc w:val="left"/>
            </w:pPr>
            <w:r>
              <w:t xml:space="preserve">0.014</w:t>
            </w:r>
          </w:p>
        </w:tc>
        <w:tc>
          <w:p>
            <w:pPr>
              <w:pStyle w:val="Compact"/>
              <w:jc w:val="left"/>
            </w:pPr>
            <w:r>
              <w:t xml:space="preserve">[0.311, 0.365]</w:t>
            </w:r>
          </w:p>
        </w:tc>
      </w:tr>
      <w:tr>
        <w:tc>
          <w:p>
            <w:pPr>
              <w:pStyle w:val="Compact"/>
              <w:jc w:val="left"/>
            </w:pPr>
            <w:r>
              <w:t xml:space="preserve">prevalence</w:t>
            </w:r>
          </w:p>
        </w:tc>
        <w:tc>
          <w:p>
            <w:pPr>
              <w:pStyle w:val="Compact"/>
              <w:jc w:val="left"/>
            </w:pPr>
            <w:r>
              <w:t xml:space="preserve">Rank modes 12–13</w:t>
            </w:r>
          </w:p>
        </w:tc>
        <w:tc>
          <w:p>
            <w:pPr>
              <w:pStyle w:val="Compact"/>
              <w:jc w:val="left"/>
            </w:pPr>
            <w:r>
              <w:t xml:space="preserve">0.281</w:t>
            </w:r>
          </w:p>
        </w:tc>
        <w:tc>
          <w:p>
            <w:pPr>
              <w:pStyle w:val="Compact"/>
              <w:jc w:val="left"/>
            </w:pPr>
            <w:r>
              <w:t xml:space="preserve">0.280</w:t>
            </w:r>
          </w:p>
        </w:tc>
        <w:tc>
          <w:p>
            <w:pPr>
              <w:pStyle w:val="Compact"/>
              <w:jc w:val="left"/>
            </w:pPr>
            <w:r>
              <w:t xml:space="preserve">0.014</w:t>
            </w:r>
          </w:p>
        </w:tc>
        <w:tc>
          <w:p>
            <w:pPr>
              <w:pStyle w:val="Compact"/>
              <w:jc w:val="left"/>
            </w:pPr>
            <w:r>
              <w:t xml:space="preserve">[0.252, 0.311]</w:t>
            </w:r>
          </w:p>
        </w:tc>
      </w:tr>
      <w:tr>
        <w:tc>
          <w:p>
            <w:pPr>
              <w:pStyle w:val="Compact"/>
              <w:jc w:val="left"/>
            </w:pPr>
            <w:r>
              <w:t xml:space="preserve">prevalence</w:t>
            </w:r>
          </w:p>
        </w:tc>
        <w:tc>
          <w:p>
            <w:pPr>
              <w:pStyle w:val="Compact"/>
              <w:jc w:val="left"/>
            </w:pPr>
            <w:r>
              <w:t xml:space="preserve">Rank modes 14–15</w:t>
            </w:r>
          </w:p>
        </w:tc>
        <w:tc>
          <w:p>
            <w:pPr>
              <w:pStyle w:val="Compact"/>
              <w:jc w:val="left"/>
            </w:pPr>
            <w:r>
              <w:t xml:space="preserve">0.252</w:t>
            </w:r>
          </w:p>
        </w:tc>
        <w:tc>
          <w:p>
            <w:pPr>
              <w:pStyle w:val="Compact"/>
              <w:jc w:val="left"/>
            </w:pPr>
            <w:r>
              <w:t xml:space="preserve">0.252</w:t>
            </w:r>
          </w:p>
        </w:tc>
        <w:tc>
          <w:p>
            <w:pPr>
              <w:pStyle w:val="Compact"/>
              <w:jc w:val="left"/>
            </w:pPr>
            <w:r>
              <w:t xml:space="preserve">0.013</w:t>
            </w:r>
          </w:p>
        </w:tc>
        <w:tc>
          <w:p>
            <w:pPr>
              <w:pStyle w:val="Compact"/>
              <w:jc w:val="left"/>
            </w:pPr>
            <w:r>
              <w:t xml:space="preserve">[0.225, 0.275]</w:t>
            </w:r>
          </w:p>
        </w:tc>
      </w:tr>
      <w:tr>
        <w:tc>
          <w:p>
            <w:pPr>
              <w:pStyle w:val="Compact"/>
              <w:jc w:val="left"/>
            </w:pPr>
            <w:r>
              <w:t xml:space="preserve">swap_rate</w:t>
            </w:r>
          </w:p>
        </w:tc>
        <w:tc>
          <w:p>
            <w:pPr>
              <w:pStyle w:val="Compact"/>
              <w:jc w:val="left"/>
            </w:pPr>
            <w:r>
              <w:t xml:space="preserve">Mode 4</w:t>
            </w:r>
          </w:p>
        </w:tc>
        <w:tc>
          <w:p>
            <w:pPr>
              <w:pStyle w:val="Compact"/>
              <w:jc w:val="left"/>
            </w:pPr>
            <w:r>
              <w:t xml:space="preserve">0.270</w:t>
            </w:r>
          </w:p>
        </w:tc>
        <w:tc>
          <w:p>
            <w:pPr>
              <w:pStyle w:val="Compact"/>
              <w:jc w:val="left"/>
            </w:pPr>
            <w:r>
              <w:t xml:space="preserve">0.270</w:t>
            </w:r>
          </w:p>
        </w:tc>
        <w:tc>
          <w:p>
            <w:pPr>
              <w:pStyle w:val="Compact"/>
              <w:jc w:val="left"/>
            </w:pPr>
            <w:r>
              <w:t xml:space="preserve">0.014</w:t>
            </w:r>
          </w:p>
        </w:tc>
        <w:tc>
          <w:p>
            <w:pPr>
              <w:pStyle w:val="Compact"/>
              <w:jc w:val="left"/>
            </w:pPr>
            <w:r>
              <w:t xml:space="preserve">[0.243, 0.295]</w:t>
            </w:r>
          </w:p>
        </w:tc>
      </w:tr>
      <w:tr>
        <w:tc>
          <w:p>
            <w:pPr>
              <w:pStyle w:val="Compact"/>
              <w:jc w:val="left"/>
            </w:pPr>
            <w:r>
              <w:t xml:space="preserve">swap_rate</w:t>
            </w:r>
          </w:p>
        </w:tc>
        <w:tc>
          <w:p>
            <w:pPr>
              <w:pStyle w:val="Compact"/>
              <w:jc w:val="left"/>
            </w:pPr>
            <w:r>
              <w:t xml:space="preserve">Mode 5</w:t>
            </w:r>
          </w:p>
        </w:tc>
        <w:tc>
          <w:p>
            <w:pPr>
              <w:pStyle w:val="Compact"/>
              <w:jc w:val="left"/>
            </w:pPr>
            <w:r>
              <w:t xml:space="preserve">0.378</w:t>
            </w:r>
          </w:p>
        </w:tc>
        <w:tc>
          <w:p>
            <w:pPr>
              <w:pStyle w:val="Compact"/>
              <w:jc w:val="left"/>
            </w:pPr>
            <w:r>
              <w:t xml:space="preserve">0.379</w:t>
            </w:r>
          </w:p>
        </w:tc>
        <w:tc>
          <w:p>
            <w:pPr>
              <w:pStyle w:val="Compact"/>
              <w:jc w:val="left"/>
            </w:pPr>
            <w:r>
              <w:t xml:space="preserve">0.015</w:t>
            </w:r>
          </w:p>
        </w:tc>
        <w:tc>
          <w:p>
            <w:pPr>
              <w:pStyle w:val="Compact"/>
              <w:jc w:val="left"/>
            </w:pPr>
            <w:r>
              <w:t xml:space="preserve">[0.351, 0.405]</w:t>
            </w:r>
          </w:p>
        </w:tc>
      </w:tr>
      <w:tr>
        <w:tc>
          <w:p>
            <w:pPr>
              <w:pStyle w:val="Compact"/>
              <w:jc w:val="left"/>
            </w:pPr>
            <w:r>
              <w:t xml:space="preserve">swap_rate</w:t>
            </w:r>
          </w:p>
        </w:tc>
        <w:tc>
          <w:p>
            <w:pPr>
              <w:pStyle w:val="Compact"/>
              <w:jc w:val="left"/>
            </w:pPr>
            <w:r>
              <w:t xml:space="preserve">Mode 6</w:t>
            </w:r>
          </w:p>
        </w:tc>
        <w:tc>
          <w:p>
            <w:pPr>
              <w:pStyle w:val="Compact"/>
              <w:jc w:val="left"/>
            </w:pPr>
            <w:r>
              <w:t xml:space="preserve">0.183</w:t>
            </w:r>
          </w:p>
        </w:tc>
        <w:tc>
          <w:p>
            <w:pPr>
              <w:pStyle w:val="Compact"/>
              <w:jc w:val="left"/>
            </w:pPr>
            <w:r>
              <w:t xml:space="preserve">0.183</w:t>
            </w:r>
          </w:p>
        </w:tc>
        <w:tc>
          <w:p>
            <w:pPr>
              <w:pStyle w:val="Compact"/>
              <w:jc w:val="left"/>
            </w:pPr>
            <w:r>
              <w:t xml:space="preserve">0.012</w:t>
            </w:r>
          </w:p>
        </w:tc>
        <w:tc>
          <w:p>
            <w:pPr>
              <w:pStyle w:val="Compact"/>
              <w:jc w:val="left"/>
            </w:pPr>
            <w:r>
              <w:t xml:space="preserve">[0.158, 0.207]</w:t>
            </w:r>
          </w:p>
        </w:tc>
      </w:tr>
      <w:tr>
        <w:tc>
          <w:p>
            <w:pPr>
              <w:pStyle w:val="Compact"/>
              <w:jc w:val="left"/>
            </w:pPr>
            <w:r>
              <w:t xml:space="preserve">swap_rate</w:t>
            </w:r>
          </w:p>
        </w:tc>
        <w:tc>
          <w:p>
            <w:pPr>
              <w:pStyle w:val="Compact"/>
              <w:jc w:val="left"/>
            </w:pPr>
            <w:r>
              <w:t xml:space="preserve">Mode 7</w:t>
            </w:r>
          </w:p>
        </w:tc>
        <w:tc>
          <w:p>
            <w:pPr>
              <w:pStyle w:val="Compact"/>
              <w:jc w:val="left"/>
            </w:pPr>
            <w:r>
              <w:t xml:space="preserve">0.011</w:t>
            </w:r>
          </w:p>
        </w:tc>
        <w:tc>
          <w:p>
            <w:pPr>
              <w:pStyle w:val="Compact"/>
              <w:jc w:val="left"/>
            </w:pPr>
            <w:r>
              <w:t xml:space="preserve">0.011</w:t>
            </w:r>
          </w:p>
        </w:tc>
        <w:tc>
          <w:p>
            <w:pPr>
              <w:pStyle w:val="Compact"/>
              <w:jc w:val="left"/>
            </w:pPr>
            <w:r>
              <w:t xml:space="preserve">0.003</w:t>
            </w:r>
          </w:p>
        </w:tc>
        <w:tc>
          <w:p>
            <w:pPr>
              <w:pStyle w:val="Compact"/>
              <w:jc w:val="left"/>
            </w:pPr>
            <w:r>
              <w:t xml:space="preserve">[0.005, 0.014]</w:t>
            </w:r>
          </w:p>
        </w:tc>
      </w:tr>
      <w:tr>
        <w:tc>
          <w:p>
            <w:pPr>
              <w:pStyle w:val="Compact"/>
              <w:jc w:val="left"/>
            </w:pPr>
            <w:r>
              <w:t xml:space="preserve">swap_rate</w:t>
            </w:r>
          </w:p>
        </w:tc>
        <w:tc>
          <w:p>
            <w:pPr>
              <w:pStyle w:val="Compact"/>
              <w:jc w:val="left"/>
            </w:pPr>
            <w:r>
              <w:t xml:space="preserve">Mode 9</w:t>
            </w:r>
          </w:p>
        </w:tc>
        <w:tc>
          <w:p>
            <w:pPr>
              <w:pStyle w:val="Compact"/>
              <w:jc w:val="left"/>
            </w:pPr>
            <w:r>
              <w:t xml:space="preserve">0.270</w:t>
            </w:r>
          </w:p>
        </w:tc>
        <w:tc>
          <w:p>
            <w:pPr>
              <w:pStyle w:val="Compact"/>
              <w:jc w:val="left"/>
            </w:pPr>
            <w:r>
              <w:t xml:space="preserve">0.270</w:t>
            </w:r>
          </w:p>
        </w:tc>
        <w:tc>
          <w:p>
            <w:pPr>
              <w:pStyle w:val="Compact"/>
              <w:jc w:val="left"/>
            </w:pPr>
            <w:r>
              <w:t xml:space="preserve">0.013</w:t>
            </w:r>
          </w:p>
        </w:tc>
        <w:tc>
          <w:p>
            <w:pPr>
              <w:pStyle w:val="Compact"/>
              <w:jc w:val="left"/>
            </w:pPr>
            <w:r>
              <w:t xml:space="preserve">[0.243, 0.293]</w:t>
            </w:r>
          </w:p>
        </w:tc>
      </w:tr>
      <w:tr>
        <w:tc>
          <w:p>
            <w:pPr>
              <w:pStyle w:val="Compact"/>
              <w:jc w:val="left"/>
            </w:pPr>
            <w:r>
              <w:t xml:space="preserve">swap_rate</w:t>
            </w:r>
          </w:p>
        </w:tc>
        <w:tc>
          <w:p>
            <w:pPr>
              <w:pStyle w:val="Compact"/>
              <w:jc w:val="left"/>
            </w:pPr>
            <w:r>
              <w:t xml:space="preserve">Mode 10</w:t>
            </w:r>
          </w:p>
        </w:tc>
        <w:tc>
          <w:p>
            <w:pPr>
              <w:pStyle w:val="Compact"/>
              <w:jc w:val="left"/>
            </w:pPr>
            <w:r>
              <w:t xml:space="preserve">0.270</w:t>
            </w:r>
          </w:p>
        </w:tc>
        <w:tc>
          <w:p>
            <w:pPr>
              <w:pStyle w:val="Compact"/>
              <w:jc w:val="left"/>
            </w:pPr>
            <w:r>
              <w:t xml:space="preserve">0.270</w:t>
            </w:r>
          </w:p>
        </w:tc>
        <w:tc>
          <w:p>
            <w:pPr>
              <w:pStyle w:val="Compact"/>
              <w:jc w:val="left"/>
            </w:pPr>
            <w:r>
              <w:t xml:space="preserve">0.013</w:t>
            </w:r>
          </w:p>
        </w:tc>
        <w:tc>
          <w:p>
            <w:pPr>
              <w:pStyle w:val="Compact"/>
              <w:jc w:val="left"/>
            </w:pPr>
            <w:r>
              <w:t xml:space="preserve">[0.243, 0.293]</w:t>
            </w:r>
          </w:p>
        </w:tc>
      </w:tr>
      <w:tr>
        <w:tc>
          <w:p>
            <w:pPr>
              <w:pStyle w:val="Compact"/>
              <w:jc w:val="left"/>
            </w:pPr>
            <w:r>
              <w:t xml:space="preserve">swap_rate</w:t>
            </w:r>
          </w:p>
        </w:tc>
        <w:tc>
          <w:p>
            <w:pPr>
              <w:pStyle w:val="Compact"/>
              <w:jc w:val="left"/>
            </w:pPr>
            <w:r>
              <w:t xml:space="preserve">Mode 12</w:t>
            </w:r>
          </w:p>
        </w:tc>
        <w:tc>
          <w:p>
            <w:pPr>
              <w:pStyle w:val="Compact"/>
              <w:jc w:val="left"/>
            </w:pPr>
            <w:r>
              <w:t xml:space="preserve">0.594</w:t>
            </w:r>
          </w:p>
        </w:tc>
        <w:tc>
          <w:p>
            <w:pPr>
              <w:pStyle w:val="Compact"/>
              <w:jc w:val="left"/>
            </w:pPr>
            <w:r>
              <w:t xml:space="preserve">0.593</w:t>
            </w:r>
          </w:p>
        </w:tc>
        <w:tc>
          <w:p>
            <w:pPr>
              <w:pStyle w:val="Compact"/>
              <w:jc w:val="left"/>
            </w:pPr>
            <w:r>
              <w:t xml:space="preserve">0.014</w:t>
            </w:r>
          </w:p>
        </w:tc>
        <w:tc>
          <w:p>
            <w:pPr>
              <w:pStyle w:val="Compact"/>
              <w:jc w:val="left"/>
            </w:pPr>
            <w:r>
              <w:t xml:space="preserve">[0.565, 0.622]</w:t>
            </w:r>
          </w:p>
        </w:tc>
      </w:tr>
      <w:tr>
        <w:tc>
          <w:p>
            <w:pPr>
              <w:pStyle w:val="Compact"/>
              <w:jc w:val="left"/>
            </w:pPr>
            <w:r>
              <w:t xml:space="preserve">swap_rate</w:t>
            </w:r>
          </w:p>
        </w:tc>
        <w:tc>
          <w:p>
            <w:pPr>
              <w:pStyle w:val="Compact"/>
              <w:jc w:val="left"/>
            </w:pPr>
            <w:r>
              <w:t xml:space="preserve">Mode 13</w:t>
            </w:r>
          </w:p>
        </w:tc>
        <w:tc>
          <w:p>
            <w:pPr>
              <w:pStyle w:val="Compact"/>
              <w:jc w:val="left"/>
            </w:pPr>
            <w:r>
              <w:t xml:space="preserve">0.622</w:t>
            </w:r>
          </w:p>
        </w:tc>
        <w:tc>
          <w:p>
            <w:pPr>
              <w:pStyle w:val="Compact"/>
              <w:jc w:val="left"/>
            </w:pPr>
            <w:r>
              <w:t xml:space="preserve">0.622</w:t>
            </w:r>
          </w:p>
        </w:tc>
        <w:tc>
          <w:p>
            <w:pPr>
              <w:pStyle w:val="Compact"/>
              <w:jc w:val="left"/>
            </w:pPr>
            <w:r>
              <w:t xml:space="preserve">0.015</w:t>
            </w:r>
          </w:p>
        </w:tc>
        <w:tc>
          <w:p>
            <w:pPr>
              <w:pStyle w:val="Compact"/>
              <w:jc w:val="left"/>
            </w:pPr>
            <w:r>
              <w:t xml:space="preserve">[0.592, 0.653]</w:t>
            </w:r>
          </w:p>
        </w:tc>
      </w:tr>
      <w:tr>
        <w:tc>
          <w:p>
            <w:pPr>
              <w:pStyle w:val="Compact"/>
              <w:jc w:val="left"/>
            </w:pPr>
            <w:r>
              <w:t xml:space="preserve">swap_rate</w:t>
            </w:r>
          </w:p>
        </w:tc>
        <w:tc>
          <w:p>
            <w:pPr>
              <w:pStyle w:val="Compact"/>
              <w:jc w:val="left"/>
            </w:pPr>
            <w:r>
              <w:t xml:space="preserve">Mode 14</w:t>
            </w:r>
          </w:p>
        </w:tc>
        <w:tc>
          <w:p>
            <w:pPr>
              <w:pStyle w:val="Compact"/>
              <w:jc w:val="left"/>
            </w:pPr>
            <w:r>
              <w:t xml:space="preserve">0.468</w:t>
            </w:r>
          </w:p>
        </w:tc>
        <w:tc>
          <w:p>
            <w:pPr>
              <w:pStyle w:val="Compact"/>
              <w:jc w:val="left"/>
            </w:pPr>
            <w:r>
              <w:t xml:space="preserve">0.467</w:t>
            </w:r>
          </w:p>
        </w:tc>
        <w:tc>
          <w:p>
            <w:pPr>
              <w:pStyle w:val="Compact"/>
              <w:jc w:val="left"/>
            </w:pPr>
            <w:r>
              <w:t xml:space="preserve">0.015</w:t>
            </w:r>
          </w:p>
        </w:tc>
        <w:tc>
          <w:p>
            <w:pPr>
              <w:pStyle w:val="Compact"/>
              <w:jc w:val="left"/>
            </w:pPr>
            <w:r>
              <w:t xml:space="preserve">[0.439, 0.500]</w:t>
            </w:r>
          </w:p>
        </w:tc>
      </w:tr>
      <w:tr>
        <w:tc>
          <w:p>
            <w:pPr>
              <w:pStyle w:val="Compact"/>
              <w:jc w:val="left"/>
            </w:pPr>
            <w:r>
              <w:t xml:space="preserve">swap_rate</w:t>
            </w:r>
          </w:p>
        </w:tc>
        <w:tc>
          <w:p>
            <w:pPr>
              <w:pStyle w:val="Compact"/>
              <w:jc w:val="left"/>
            </w:pPr>
            <w:r>
              <w:t xml:space="preserve">Mode 15</w:t>
            </w:r>
          </w:p>
        </w:tc>
        <w:tc>
          <w:p>
            <w:pPr>
              <w:pStyle w:val="Compact"/>
              <w:jc w:val="left"/>
            </w:pPr>
            <w:r>
              <w:t xml:space="preserve">0.453</w:t>
            </w:r>
          </w:p>
        </w:tc>
        <w:tc>
          <w:p>
            <w:pPr>
              <w:pStyle w:val="Compact"/>
              <w:jc w:val="left"/>
            </w:pPr>
            <w:r>
              <w:t xml:space="preserve">0.453</w:t>
            </w:r>
          </w:p>
        </w:tc>
        <w:tc>
          <w:p>
            <w:pPr>
              <w:pStyle w:val="Compact"/>
              <w:jc w:val="left"/>
            </w:pPr>
            <w:r>
              <w:t xml:space="preserve">0.015</w:t>
            </w:r>
          </w:p>
        </w:tc>
        <w:tc>
          <w:p>
            <w:pPr>
              <w:pStyle w:val="Compact"/>
              <w:jc w:val="left"/>
            </w:pPr>
            <w:r>
              <w:t xml:space="preserve">[0.423, 0.484]</w:t>
            </w:r>
          </w:p>
        </w:tc>
      </w:tr>
      <w:tr>
        <w:tc>
          <w:p>
            <w:pPr>
              <w:pStyle w:val="Compact"/>
              <w:jc w:val="left"/>
            </w:pPr>
            <w:r>
              <w:t xml:space="preserve">median_gap</w:t>
            </w:r>
          </w:p>
        </w:tc>
        <w:tc>
          <w:p>
            <w:pPr>
              <w:pStyle w:val="Compact"/>
              <w:jc w:val="left"/>
            </w:pPr>
            <w:r>
              <w:t xml:space="preserve">Pair 1–2</w:t>
            </w:r>
          </w:p>
        </w:tc>
        <w:tc>
          <w:p>
            <w:pPr>
              <w:pStyle w:val="Compact"/>
              <w:jc w:val="left"/>
            </w:pPr>
            <w:r>
              <w:t xml:space="preserve">1.609</w:t>
            </w:r>
          </w:p>
        </w:tc>
        <w:tc>
          <w:p>
            <w:pPr>
              <w:pStyle w:val="Compact"/>
              <w:jc w:val="left"/>
            </w:pPr>
            <w:r>
              <w:t xml:space="preserve">1.608</w:t>
            </w:r>
          </w:p>
        </w:tc>
        <w:tc>
          <w:p>
            <w:pPr>
              <w:pStyle w:val="Compact"/>
              <w:jc w:val="left"/>
            </w:pPr>
            <w:r>
              <w:t xml:space="preserve">0.015</w:t>
            </w:r>
          </w:p>
        </w:tc>
        <w:tc>
          <w:p>
            <w:pPr>
              <w:pStyle w:val="Compact"/>
              <w:jc w:val="left"/>
            </w:pPr>
            <w:r>
              <w:t xml:space="preserve">[1.572, 1.634]</w:t>
            </w:r>
          </w:p>
        </w:tc>
      </w:tr>
      <w:tr>
        <w:tc>
          <w:p>
            <w:pPr>
              <w:pStyle w:val="Compact"/>
              <w:jc w:val="left"/>
            </w:pPr>
            <w:r>
              <w:t xml:space="preserve">median_gap</w:t>
            </w:r>
          </w:p>
        </w:tc>
        <w:tc>
          <w:p>
            <w:pPr>
              <w:pStyle w:val="Compact"/>
              <w:jc w:val="left"/>
            </w:pPr>
            <w:r>
              <w:t xml:space="preserve">Pair 2–3</w:t>
            </w:r>
          </w:p>
        </w:tc>
        <w:tc>
          <w:p>
            <w:pPr>
              <w:pStyle w:val="Compact"/>
              <w:jc w:val="left"/>
            </w:pPr>
            <w:r>
              <w:t xml:space="preserve">1.183</w:t>
            </w:r>
          </w:p>
        </w:tc>
        <w:tc>
          <w:p>
            <w:pPr>
              <w:pStyle w:val="Compact"/>
              <w:jc w:val="left"/>
            </w:pPr>
            <w:r>
              <w:t xml:space="preserve">1.186</w:t>
            </w:r>
          </w:p>
        </w:tc>
        <w:tc>
          <w:p>
            <w:pPr>
              <w:pStyle w:val="Compact"/>
              <w:jc w:val="left"/>
            </w:pPr>
            <w:r>
              <w:t xml:space="preserve">0.010</w:t>
            </w:r>
          </w:p>
        </w:tc>
        <w:tc>
          <w:p>
            <w:pPr>
              <w:pStyle w:val="Compact"/>
              <w:jc w:val="left"/>
            </w:pPr>
            <w:r>
              <w:t xml:space="preserve">[1.169, 1.206]</w:t>
            </w:r>
          </w:p>
        </w:tc>
      </w:tr>
      <w:tr>
        <w:tc>
          <w:p>
            <w:pPr>
              <w:pStyle w:val="Compact"/>
              <w:jc w:val="left"/>
            </w:pPr>
            <w:r>
              <w:t xml:space="preserve">median_gap</w:t>
            </w:r>
          </w:p>
        </w:tc>
        <w:tc>
          <w:p>
            <w:pPr>
              <w:pStyle w:val="Compact"/>
              <w:jc w:val="left"/>
            </w:pPr>
            <w:r>
              <w:t xml:space="preserve">Pair 3–4</w:t>
            </w:r>
          </w:p>
        </w:tc>
        <w:tc>
          <w:p>
            <w:pPr>
              <w:pStyle w:val="Compact"/>
              <w:jc w:val="left"/>
            </w:pPr>
            <w:r>
              <w:t xml:space="preserve">0.484</w:t>
            </w:r>
          </w:p>
        </w:tc>
        <w:tc>
          <w:p>
            <w:pPr>
              <w:pStyle w:val="Compact"/>
              <w:jc w:val="left"/>
            </w:pPr>
            <w:r>
              <w:t xml:space="preserve">0.483</w:t>
            </w:r>
          </w:p>
        </w:tc>
        <w:tc>
          <w:p>
            <w:pPr>
              <w:pStyle w:val="Compact"/>
              <w:jc w:val="left"/>
            </w:pPr>
            <w:r>
              <w:t xml:space="preserve">0.008</w:t>
            </w:r>
          </w:p>
        </w:tc>
        <w:tc>
          <w:p>
            <w:pPr>
              <w:pStyle w:val="Compact"/>
              <w:jc w:val="left"/>
            </w:pPr>
            <w:r>
              <w:t xml:space="preserve">[0.465, 0.495]</w:t>
            </w:r>
          </w:p>
        </w:tc>
      </w:tr>
      <w:tr>
        <w:tc>
          <w:p>
            <w:pPr>
              <w:pStyle w:val="Compact"/>
              <w:jc w:val="left"/>
            </w:pPr>
            <w:r>
              <w:t xml:space="preserve">median_gap</w:t>
            </w:r>
          </w:p>
        </w:tc>
        <w:tc>
          <w:p>
            <w:pPr>
              <w:pStyle w:val="Compact"/>
              <w:jc w:val="left"/>
            </w:pPr>
            <w:r>
              <w:t xml:space="preserve">Pair 4–5</w:t>
            </w:r>
          </w:p>
        </w:tc>
        <w:tc>
          <w:p>
            <w:pPr>
              <w:pStyle w:val="Compact"/>
              <w:jc w:val="left"/>
            </w:pPr>
            <w:r>
              <w:t xml:space="preserve">0.271</w:t>
            </w:r>
          </w:p>
        </w:tc>
        <w:tc>
          <w:p>
            <w:pPr>
              <w:pStyle w:val="Compact"/>
              <w:jc w:val="left"/>
            </w:pPr>
            <w:r>
              <w:t xml:space="preserve">0.271</w:t>
            </w:r>
          </w:p>
        </w:tc>
        <w:tc>
          <w:p>
            <w:pPr>
              <w:pStyle w:val="Compact"/>
              <w:jc w:val="left"/>
            </w:pPr>
            <w:r>
              <w:t xml:space="preserve">0.005</w:t>
            </w:r>
          </w:p>
        </w:tc>
        <w:tc>
          <w:p>
            <w:pPr>
              <w:pStyle w:val="Compact"/>
              <w:jc w:val="left"/>
            </w:pPr>
            <w:r>
              <w:t xml:space="preserve">[0.261, 0.281]</w:t>
            </w:r>
          </w:p>
        </w:tc>
      </w:tr>
      <w:tr>
        <w:tc>
          <w:p>
            <w:pPr>
              <w:pStyle w:val="Compact"/>
              <w:jc w:val="left"/>
            </w:pPr>
            <w:r>
              <w:t xml:space="preserve">median_gap</w:t>
            </w:r>
          </w:p>
        </w:tc>
        <w:tc>
          <w:p>
            <w:pPr>
              <w:pStyle w:val="Compact"/>
              <w:jc w:val="left"/>
            </w:pPr>
            <w:r>
              <w:t xml:space="preserve">Pair 5–6</w:t>
            </w:r>
          </w:p>
        </w:tc>
        <w:tc>
          <w:p>
            <w:pPr>
              <w:pStyle w:val="Compact"/>
              <w:jc w:val="left"/>
            </w:pPr>
            <w:r>
              <w:t xml:space="preserve">0.166</w:t>
            </w:r>
          </w:p>
        </w:tc>
        <w:tc>
          <w:p>
            <w:pPr>
              <w:pStyle w:val="Compact"/>
              <w:jc w:val="left"/>
            </w:pPr>
            <w:r>
              <w:t xml:space="preserve">0.166</w:t>
            </w:r>
          </w:p>
        </w:tc>
        <w:tc>
          <w:p>
            <w:pPr>
              <w:pStyle w:val="Compact"/>
              <w:jc w:val="left"/>
            </w:pPr>
            <w:r>
              <w:t xml:space="preserve">0.003</w:t>
            </w:r>
          </w:p>
        </w:tc>
        <w:tc>
          <w:p>
            <w:pPr>
              <w:pStyle w:val="Compact"/>
              <w:jc w:val="left"/>
            </w:pPr>
            <w:r>
              <w:t xml:space="preserve">[0.156, 0.170]</w:t>
            </w:r>
          </w:p>
        </w:tc>
      </w:tr>
      <w:tr>
        <w:tc>
          <w:p>
            <w:pPr>
              <w:pStyle w:val="Compact"/>
              <w:jc w:val="left"/>
            </w:pPr>
            <w:r>
              <w:t xml:space="preserve">median_gap</w:t>
            </w:r>
          </w:p>
        </w:tc>
        <w:tc>
          <w:p>
            <w:pPr>
              <w:pStyle w:val="Compact"/>
              <w:jc w:val="left"/>
            </w:pPr>
            <w:r>
              <w:t xml:space="preserve">Pair 6–7</w:t>
            </w:r>
          </w:p>
        </w:tc>
        <w:tc>
          <w:p>
            <w:pPr>
              <w:pStyle w:val="Compact"/>
              <w:jc w:val="left"/>
            </w:pPr>
            <w:r>
              <w:t xml:space="preserve">0.526</w:t>
            </w:r>
          </w:p>
        </w:tc>
        <w:tc>
          <w:p>
            <w:pPr>
              <w:pStyle w:val="Compact"/>
              <w:jc w:val="left"/>
            </w:pPr>
            <w:r>
              <w:t xml:space="preserve">0.527</w:t>
            </w:r>
          </w:p>
        </w:tc>
        <w:tc>
          <w:p>
            <w:pPr>
              <w:pStyle w:val="Compact"/>
              <w:jc w:val="left"/>
            </w:pPr>
            <w:r>
              <w:t xml:space="preserve">0.005</w:t>
            </w:r>
          </w:p>
        </w:tc>
        <w:tc>
          <w:p>
            <w:pPr>
              <w:pStyle w:val="Compact"/>
              <w:jc w:val="left"/>
            </w:pPr>
            <w:r>
              <w:t xml:space="preserve">[0.516, 0.539]</w:t>
            </w:r>
          </w:p>
        </w:tc>
      </w:tr>
      <w:tr>
        <w:tc>
          <w:p>
            <w:pPr>
              <w:pStyle w:val="Compact"/>
              <w:jc w:val="left"/>
            </w:pPr>
            <w:r>
              <w:t xml:space="preserve">median_gap</w:t>
            </w:r>
          </w:p>
        </w:tc>
        <w:tc>
          <w:p>
            <w:pPr>
              <w:pStyle w:val="Compact"/>
              <w:jc w:val="left"/>
            </w:pPr>
            <w:r>
              <w:t xml:space="preserve">Pair 7–8</w:t>
            </w:r>
          </w:p>
        </w:tc>
        <w:tc>
          <w:p>
            <w:pPr>
              <w:pStyle w:val="Compact"/>
              <w:jc w:val="left"/>
            </w:pPr>
            <w:r>
              <w:t xml:space="preserve">0.287</w:t>
            </w:r>
          </w:p>
        </w:tc>
        <w:tc>
          <w:p>
            <w:pPr>
              <w:pStyle w:val="Compact"/>
              <w:jc w:val="left"/>
            </w:pPr>
            <w:r>
              <w:t xml:space="preserve">0.287</w:t>
            </w:r>
          </w:p>
        </w:tc>
        <w:tc>
          <w:p>
            <w:pPr>
              <w:pStyle w:val="Compact"/>
              <w:jc w:val="left"/>
            </w:pPr>
            <w:r>
              <w:t xml:space="preserve">0.005</w:t>
            </w:r>
          </w:p>
        </w:tc>
        <w:tc>
          <w:p>
            <w:pPr>
              <w:pStyle w:val="Compact"/>
              <w:jc w:val="left"/>
            </w:pPr>
            <w:r>
              <w:t xml:space="preserve">[0.277, 0.297]</w:t>
            </w:r>
          </w:p>
        </w:tc>
      </w:tr>
      <w:tr>
        <w:tc>
          <w:p>
            <w:pPr>
              <w:pStyle w:val="Compact"/>
              <w:jc w:val="left"/>
            </w:pPr>
            <w:r>
              <w:t xml:space="preserve">median_gap</w:t>
            </w:r>
          </w:p>
        </w:tc>
        <w:tc>
          <w:p>
            <w:pPr>
              <w:pStyle w:val="Compact"/>
              <w:jc w:val="left"/>
            </w:pPr>
            <w:r>
              <w:t xml:space="preserve">Pair 8–9</w:t>
            </w:r>
          </w:p>
        </w:tc>
        <w:tc>
          <w:p>
            <w:pPr>
              <w:pStyle w:val="Compact"/>
              <w:jc w:val="left"/>
            </w:pPr>
            <w:r>
              <w:t xml:space="preserve">0.913</w:t>
            </w:r>
          </w:p>
        </w:tc>
        <w:tc>
          <w:p>
            <w:pPr>
              <w:pStyle w:val="Compact"/>
              <w:jc w:val="left"/>
            </w:pPr>
            <w:r>
              <w:t xml:space="preserve">0.912</w:t>
            </w:r>
          </w:p>
        </w:tc>
        <w:tc>
          <w:p>
            <w:pPr>
              <w:pStyle w:val="Compact"/>
              <w:jc w:val="left"/>
            </w:pPr>
            <w:r>
              <w:t xml:space="preserve">0.007</w:t>
            </w:r>
          </w:p>
        </w:tc>
        <w:tc>
          <w:p>
            <w:pPr>
              <w:pStyle w:val="Compact"/>
              <w:jc w:val="left"/>
            </w:pPr>
            <w:r>
              <w:t xml:space="preserve">[0.895, 0.922]</w:t>
            </w:r>
          </w:p>
        </w:tc>
      </w:tr>
      <w:tr>
        <w:tc>
          <w:p>
            <w:pPr>
              <w:pStyle w:val="Compact"/>
              <w:jc w:val="left"/>
            </w:pPr>
            <w:r>
              <w:t xml:space="preserve">median_gap</w:t>
            </w:r>
          </w:p>
        </w:tc>
        <w:tc>
          <w:p>
            <w:pPr>
              <w:pStyle w:val="Compact"/>
              <w:jc w:val="left"/>
            </w:pPr>
            <w:r>
              <w:t xml:space="preserve">Pair 9–10</w:t>
            </w:r>
          </w:p>
        </w:tc>
        <w:tc>
          <w:p>
            <w:pPr>
              <w:pStyle w:val="Compact"/>
              <w:jc w:val="left"/>
            </w:pPr>
            <w:r>
              <w:t xml:space="preserve">0.121</w:t>
            </w:r>
          </w:p>
        </w:tc>
        <w:tc>
          <w:p>
            <w:pPr>
              <w:pStyle w:val="Compact"/>
              <w:jc w:val="left"/>
            </w:pPr>
            <w:r>
              <w:t xml:space="preserve">0.121</w:t>
            </w:r>
          </w:p>
        </w:tc>
        <w:tc>
          <w:p>
            <w:pPr>
              <w:pStyle w:val="Compact"/>
              <w:jc w:val="left"/>
            </w:pPr>
            <w:r>
              <w:t xml:space="preserve">0.003</w:t>
            </w:r>
          </w:p>
        </w:tc>
        <w:tc>
          <w:p>
            <w:pPr>
              <w:pStyle w:val="Compact"/>
              <w:jc w:val="left"/>
            </w:pPr>
            <w:r>
              <w:t xml:space="preserve">[0.117, 0.127]</w:t>
            </w:r>
          </w:p>
        </w:tc>
      </w:tr>
      <w:tr>
        <w:tc>
          <w:p>
            <w:pPr>
              <w:pStyle w:val="Compact"/>
              <w:jc w:val="left"/>
            </w:pPr>
            <w:r>
              <w:t xml:space="preserve">median_gap</w:t>
            </w:r>
          </w:p>
        </w:tc>
        <w:tc>
          <w:p>
            <w:pPr>
              <w:pStyle w:val="Compact"/>
              <w:jc w:val="left"/>
            </w:pPr>
            <w:r>
              <w:t xml:space="preserve">Pair 10–11</w:t>
            </w:r>
          </w:p>
        </w:tc>
        <w:tc>
          <w:p>
            <w:pPr>
              <w:pStyle w:val="Compact"/>
              <w:jc w:val="left"/>
            </w:pPr>
            <w:r>
              <w:t xml:space="preserve">1.144</w:t>
            </w:r>
          </w:p>
        </w:tc>
        <w:tc>
          <w:p>
            <w:pPr>
              <w:pStyle w:val="Compact"/>
              <w:jc w:val="left"/>
            </w:pPr>
            <w:r>
              <w:t xml:space="preserve">1.146</w:t>
            </w:r>
          </w:p>
        </w:tc>
        <w:tc>
          <w:p>
            <w:pPr>
              <w:pStyle w:val="Compact"/>
              <w:jc w:val="left"/>
            </w:pPr>
            <w:r>
              <w:t xml:space="preserve">0.012</w:t>
            </w:r>
          </w:p>
        </w:tc>
        <w:tc>
          <w:p>
            <w:pPr>
              <w:pStyle w:val="Compact"/>
              <w:jc w:val="left"/>
            </w:pPr>
            <w:r>
              <w:t xml:space="preserve">[1.129, 1.165]</w:t>
            </w:r>
          </w:p>
        </w:tc>
      </w:tr>
      <w:tr>
        <w:tc>
          <w:p>
            <w:pPr>
              <w:pStyle w:val="Compact"/>
              <w:jc w:val="left"/>
            </w:pPr>
            <w:r>
              <w:t xml:space="preserve">median_gap</w:t>
            </w:r>
          </w:p>
        </w:tc>
        <w:tc>
          <w:p>
            <w:pPr>
              <w:pStyle w:val="Compact"/>
              <w:jc w:val="left"/>
            </w:pPr>
            <w:r>
              <w:t xml:space="preserve">Pair 11–12</w:t>
            </w:r>
          </w:p>
        </w:tc>
        <w:tc>
          <w:p>
            <w:pPr>
              <w:pStyle w:val="Compact"/>
              <w:jc w:val="left"/>
            </w:pPr>
            <w:r>
              <w:t xml:space="preserve">0.705</w:t>
            </w:r>
          </w:p>
        </w:tc>
        <w:tc>
          <w:p>
            <w:pPr>
              <w:pStyle w:val="Compact"/>
              <w:jc w:val="left"/>
            </w:pPr>
            <w:r>
              <w:t xml:space="preserve">0.704</w:t>
            </w:r>
          </w:p>
        </w:tc>
        <w:tc>
          <w:p>
            <w:pPr>
              <w:pStyle w:val="Compact"/>
              <w:jc w:val="left"/>
            </w:pPr>
            <w:r>
              <w:t xml:space="preserve">0.005</w:t>
            </w:r>
          </w:p>
        </w:tc>
        <w:tc>
          <w:p>
            <w:pPr>
              <w:pStyle w:val="Compact"/>
              <w:jc w:val="left"/>
            </w:pPr>
            <w:r>
              <w:t xml:space="preserve">[0.694, 0.712]</w:t>
            </w:r>
          </w:p>
        </w:tc>
      </w:tr>
      <w:tr>
        <w:tc>
          <w:p>
            <w:pPr>
              <w:pStyle w:val="Compact"/>
              <w:jc w:val="left"/>
            </w:pPr>
            <w:r>
              <w:t xml:space="preserve">median_gap</w:t>
            </w:r>
          </w:p>
        </w:tc>
        <w:tc>
          <w:p>
            <w:pPr>
              <w:pStyle w:val="Compact"/>
              <w:jc w:val="left"/>
            </w:pPr>
            <w:r>
              <w:t xml:space="preserve">Pair 12–13</w:t>
            </w:r>
          </w:p>
        </w:tc>
        <w:tc>
          <w:p>
            <w:pPr>
              <w:pStyle w:val="Compact"/>
              <w:jc w:val="left"/>
            </w:pPr>
            <w:r>
              <w:t xml:space="preserve">0.052</w:t>
            </w:r>
          </w:p>
        </w:tc>
        <w:tc>
          <w:p>
            <w:pPr>
              <w:pStyle w:val="Compact"/>
              <w:jc w:val="left"/>
            </w:pPr>
            <w:r>
              <w:t xml:space="preserve">0.052</w:t>
            </w:r>
          </w:p>
        </w:tc>
        <w:tc>
          <w:p>
            <w:pPr>
              <w:pStyle w:val="Compact"/>
              <w:jc w:val="left"/>
            </w:pPr>
            <w:r>
              <w:t xml:space="preserve">0.002</w:t>
            </w:r>
          </w:p>
        </w:tc>
        <w:tc>
          <w:p>
            <w:pPr>
              <w:pStyle w:val="Compact"/>
              <w:jc w:val="left"/>
            </w:pPr>
            <w:r>
              <w:t xml:space="preserve">[0.049, 0.056]</w:t>
            </w:r>
          </w:p>
        </w:tc>
      </w:tr>
      <w:tr>
        <w:tc>
          <w:p>
            <w:pPr>
              <w:pStyle w:val="Compact"/>
              <w:jc w:val="left"/>
            </w:pPr>
            <w:r>
              <w:t xml:space="preserve">median_gap</w:t>
            </w:r>
          </w:p>
        </w:tc>
        <w:tc>
          <w:p>
            <w:pPr>
              <w:pStyle w:val="Compact"/>
              <w:jc w:val="left"/>
            </w:pPr>
            <w:r>
              <w:t xml:space="preserve">Pair 13–14</w:t>
            </w:r>
          </w:p>
        </w:tc>
        <w:tc>
          <w:p>
            <w:pPr>
              <w:pStyle w:val="Compact"/>
              <w:jc w:val="left"/>
            </w:pPr>
            <w:r>
              <w:t xml:space="preserve">0.080</w:t>
            </w:r>
          </w:p>
        </w:tc>
        <w:tc>
          <w:p>
            <w:pPr>
              <w:pStyle w:val="Compact"/>
              <w:jc w:val="left"/>
            </w:pPr>
            <w:r>
              <w:t xml:space="preserve">0.080</w:t>
            </w:r>
          </w:p>
        </w:tc>
        <w:tc>
          <w:p>
            <w:pPr>
              <w:pStyle w:val="Compact"/>
              <w:jc w:val="left"/>
            </w:pPr>
            <w:r>
              <w:t xml:space="preserve">0.002</w:t>
            </w:r>
          </w:p>
        </w:tc>
        <w:tc>
          <w:p>
            <w:pPr>
              <w:pStyle w:val="Compact"/>
              <w:jc w:val="left"/>
            </w:pPr>
            <w:r>
              <w:t xml:space="preserve">[0.076, 0.085]</w:t>
            </w:r>
          </w:p>
        </w:tc>
      </w:tr>
      <w:tr>
        <w:tc>
          <w:p>
            <w:pPr>
              <w:pStyle w:val="Compact"/>
              <w:jc w:val="left"/>
            </w:pPr>
            <w:r>
              <w:t xml:space="preserve">median_gap</w:t>
            </w:r>
          </w:p>
        </w:tc>
        <w:tc>
          <w:p>
            <w:pPr>
              <w:pStyle w:val="Compact"/>
              <w:jc w:val="left"/>
            </w:pPr>
            <w:r>
              <w:t xml:space="preserve">Pair 14–15</w:t>
            </w:r>
          </w:p>
        </w:tc>
        <w:tc>
          <w:p>
            <w:pPr>
              <w:pStyle w:val="Compact"/>
              <w:jc w:val="left"/>
            </w:pPr>
            <w:r>
              <w:t xml:space="preserve">0.072</w:t>
            </w:r>
          </w:p>
        </w:tc>
        <w:tc>
          <w:p>
            <w:pPr>
              <w:pStyle w:val="Compact"/>
              <w:jc w:val="left"/>
            </w:pPr>
            <w:r>
              <w:t xml:space="preserve">0.071</w:t>
            </w:r>
          </w:p>
        </w:tc>
        <w:tc>
          <w:p>
            <w:pPr>
              <w:pStyle w:val="Compact"/>
              <w:jc w:val="left"/>
            </w:pPr>
            <w:r>
              <w:t xml:space="preserve">0.003</w:t>
            </w:r>
          </w:p>
        </w:tc>
        <w:tc>
          <w:p>
            <w:pPr>
              <w:pStyle w:val="Compact"/>
              <w:jc w:val="left"/>
            </w:pPr>
            <w:r>
              <w:t xml:space="preserve">[0.065, 0.076]</w:t>
            </w:r>
          </w:p>
        </w:tc>
      </w:tr>
    </w:tbl>
    <w:bookmarkEnd w:id="68"/>
    <w:bookmarkStart w:id="70" w:name="Xbe644fc0a46cffbf1baf3daf59744a89b711793"/>
    <w:p>
      <w:pPr>
        <w:pStyle w:val="Heading2"/>
      </w:pPr>
      <w:r>
        <w:t xml:space="preserve">Figure B1. Sex-stratified spectral summary</w:t>
      </w:r>
    </w:p>
    <w:p>
      <w:pPr>
        <w:pStyle w:val="FirstParagraph"/>
      </w:pPr>
      <w:r>
        <w:drawing>
          <wp:inline>
            <wp:extent cx="5334000" cy="5166565"/>
            <wp:effectExtent b="0" l="0" r="0" t="0"/>
            <wp:docPr descr="image" title="" id="1" name="Picture"/>
            <a:graphic>
              <a:graphicData uri="http://schemas.openxmlformats.org/drawingml/2006/picture">
                <pic:pic>
                  <pic:nvPicPr>
                    <pic:cNvPr descr="/tmp/tmp9a1knb99/media/sex_stratified_summary_b185ae7c6e4b.png" id="0" name="Picture"/>
                    <pic:cNvPicPr>
                      <a:picLocks noChangeArrowheads="1" noChangeAspect="1"/>
                    </pic:cNvPicPr>
                  </pic:nvPicPr>
                  <pic:blipFill>
                    <a:blip r:embed="rId69"/>
                    <a:stretch>
                      <a:fillRect/>
                    </a:stretch>
                  </pic:blipFill>
                  <pic:spPr bwMode="auto">
                    <a:xfrm>
                      <a:off x="0" y="0"/>
                      <a:ext cx="5334000" cy="5166565"/>
                    </a:xfrm>
                    <a:prstGeom prst="rect">
                      <a:avLst/>
                    </a:prstGeom>
                    <a:noFill/>
                    <a:ln w="9525">
                      <a:noFill/>
                      <a:headEnd/>
                      <a:tailEnd/>
                    </a:ln>
                  </pic:spPr>
                </pic:pic>
              </a:graphicData>
            </a:graphic>
          </wp:inline>
        </w:drawing>
      </w:r>
    </w:p>
    <w:bookmarkEnd w:id="70"/>
    <w:bookmarkStart w:id="71" w:name="X48ad65596a8b29aab9cf5924018092b5a59eb4d"/>
    <w:p>
      <w:pPr>
        <w:pStyle w:val="Heading2"/>
      </w:pPr>
      <w:r>
        <w:t xml:space="preserve">Table B2. Sex-stratified tests for spectral and subspace metrics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right"/>
            </w:pPr>
            <w:r>
              <w:t xml:space="preserve">Male med.</w:t>
            </w:r>
          </w:p>
        </w:tc>
        <w:tc>
          <w:p>
            <w:pPr>
              <w:pStyle w:val="Compact"/>
              <w:jc w:val="right"/>
            </w:pPr>
            <w:r>
              <w:t xml:space="preserve">Female med.</w:t>
            </w:r>
          </w:p>
        </w:tc>
        <w:tc>
          <w:p>
            <w:pPr>
              <w:pStyle w:val="Compact"/>
              <w:jc w:val="right"/>
            </w:pPr>
            <m:oMath>
              <m:r>
                <m:t>U</m:t>
              </m:r>
            </m:oMath>
          </w:p>
        </w:tc>
        <w:tc>
          <w:p>
            <w:pPr>
              <w:pStyle w:val="Compact"/>
              <w:jc w:val="right"/>
            </w:pPr>
            <m:oMath>
              <m:r>
                <m:t>p</m:t>
              </m:r>
            </m:oMath>
          </w:p>
        </w:tc>
        <w:tc>
          <w:p>
            <w:pPr>
              <w:pStyle w:val="Compact"/>
              <w:jc w:val="right"/>
            </w:pPr>
            <m:oMath>
              <m:sSub>
                <m:e>
                  <m:r>
                    <m:t>r</m:t>
                  </m:r>
                </m:e>
                <m:sub>
                  <m:r>
                    <m:rPr>
                      <m:sty m:val="p"/>
                    </m:rPr>
                    <m:t>r</m:t>
                  </m:r>
                  <m:r>
                    <m:rPr>
                      <m:sty m:val="p"/>
                    </m:rPr>
                    <m:t>b</m:t>
                  </m:r>
                </m:sub>
              </m:sSub>
            </m:oMath>
          </w:p>
        </w:tc>
      </w:tr>
      <w:tr>
        <w:tc>
          <w:p>
            <w:pPr>
              <w:pStyle w:val="Compact"/>
              <w:jc w:val="left"/>
            </w:pPr>
            <w:r>
              <w:t xml:space="preserve">gap_in (9–10)</w:t>
            </w:r>
          </w:p>
        </w:tc>
        <w:tc>
          <w:p>
            <w:pPr>
              <w:pStyle w:val="Compact"/>
              <w:jc w:val="right"/>
            </w:pPr>
            <w:r>
              <w:t xml:space="preserve">0.104</w:t>
            </w:r>
          </w:p>
        </w:tc>
        <w:tc>
          <w:p>
            <w:pPr>
              <w:pStyle w:val="Compact"/>
              <w:jc w:val="right"/>
            </w:pPr>
            <w:r>
              <w:t xml:space="preserve">0.1534</w:t>
            </w:r>
          </w:p>
        </w:tc>
        <w:tc>
          <w:p>
            <w:pPr>
              <w:pStyle w:val="Compact"/>
              <w:jc w:val="right"/>
            </w:pPr>
            <w:r>
              <w:t xml:space="preserve">6384</w:t>
            </w:r>
          </w:p>
        </w:tc>
        <w:tc>
          <w:p>
            <w:pPr>
              <w:pStyle w:val="Compact"/>
              <w:jc w:val="right"/>
            </w:pPr>
            <w:r>
              <w:t xml:space="preserve">1.489e-06</w:t>
            </w:r>
          </w:p>
        </w:tc>
        <w:tc>
          <w:p>
            <w:pPr>
              <w:pStyle w:val="Compact"/>
              <w:jc w:val="right"/>
            </w:pPr>
            <w:r>
              <w:t xml:space="preserve">0.335</w:t>
            </w:r>
          </w:p>
        </w:tc>
      </w:tr>
      <w:tr>
        <w:tc>
          <w:p>
            <w:pPr>
              <w:pStyle w:val="Compact"/>
              <w:jc w:val="left"/>
            </w:pPr>
            <w:r>
              <w:t xml:space="preserve">gap_in (12–13)</w:t>
            </w:r>
          </w:p>
        </w:tc>
        <w:tc>
          <w:p>
            <w:pPr>
              <w:pStyle w:val="Compact"/>
              <w:jc w:val="right"/>
            </w:pPr>
            <w:r>
              <w:t xml:space="preserve">0.04925</w:t>
            </w:r>
          </w:p>
        </w:tc>
        <w:tc>
          <w:p>
            <w:pPr>
              <w:pStyle w:val="Compact"/>
              <w:jc w:val="right"/>
            </w:pPr>
            <w:r>
              <w:t xml:space="preserve">0.0552</w:t>
            </w:r>
          </w:p>
        </w:tc>
        <w:tc>
          <w:p>
            <w:pPr>
              <w:pStyle w:val="Compact"/>
              <w:jc w:val="right"/>
            </w:pPr>
            <w:r>
              <w:t xml:space="preserve">9182</w:t>
            </w:r>
          </w:p>
        </w:tc>
        <w:tc>
          <w:p>
            <w:pPr>
              <w:pStyle w:val="Compact"/>
              <w:jc w:val="right"/>
            </w:pPr>
            <w:r>
              <w:t xml:space="preserve">0.5321</w:t>
            </w:r>
          </w:p>
        </w:tc>
        <w:tc>
          <w:p>
            <w:pPr>
              <w:pStyle w:val="Compact"/>
              <w:jc w:val="right"/>
            </w:pPr>
            <w:r>
              <w:t xml:space="preserve">0.04354</w:t>
            </w:r>
          </w:p>
        </w:tc>
      </w:tr>
      <w:tr>
        <w:tc>
          <w:p>
            <w:pPr>
              <w:pStyle w:val="Compact"/>
              <w:jc w:val="left"/>
            </w:pPr>
            <w:r>
              <w:t xml:space="preserve">gap_in (13–14)</w:t>
            </w:r>
          </w:p>
        </w:tc>
        <w:tc>
          <w:p>
            <w:pPr>
              <w:pStyle w:val="Compact"/>
              <w:jc w:val="right"/>
            </w:pPr>
            <w:r>
              <w:t xml:space="preserve">0.09191</w:t>
            </w:r>
          </w:p>
        </w:tc>
        <w:tc>
          <w:p>
            <w:pPr>
              <w:pStyle w:val="Compact"/>
              <w:jc w:val="right"/>
            </w:pPr>
            <w:r>
              <w:t xml:space="preserve">0.07643</w:t>
            </w:r>
          </w:p>
        </w:tc>
        <w:tc>
          <w:p>
            <w:pPr>
              <w:pStyle w:val="Compact"/>
              <w:jc w:val="right"/>
            </w:pPr>
            <w:r>
              <w:t xml:space="preserve">1.063e+04</w:t>
            </w:r>
          </w:p>
        </w:tc>
        <w:tc>
          <w:p>
            <w:pPr>
              <w:pStyle w:val="Compact"/>
              <w:jc w:val="right"/>
            </w:pPr>
            <w:r>
              <w:t xml:space="preserve">0.1233</w:t>
            </w:r>
          </w:p>
        </w:tc>
        <w:tc>
          <w:p>
            <w:pPr>
              <w:pStyle w:val="Compact"/>
              <w:jc w:val="right"/>
            </w:pPr>
            <w:r>
              <w:t xml:space="preserve">-0.1073</w:t>
            </w:r>
          </w:p>
        </w:tc>
      </w:tr>
      <w:tr>
        <w:tc>
          <w:p>
            <w:pPr>
              <w:pStyle w:val="Compact"/>
              <w:jc w:val="left"/>
            </w:pPr>
            <w:r>
              <w:t xml:space="preserve">gap_in (14–15)</w:t>
            </w:r>
          </w:p>
        </w:tc>
        <w:tc>
          <w:p>
            <w:pPr>
              <w:pStyle w:val="Compact"/>
              <w:jc w:val="right"/>
            </w:pPr>
            <w:r>
              <w:t xml:space="preserve">0.06002</w:t>
            </w:r>
          </w:p>
        </w:tc>
        <w:tc>
          <w:p>
            <w:pPr>
              <w:pStyle w:val="Compact"/>
              <w:jc w:val="right"/>
            </w:pPr>
            <w:r>
              <w:t xml:space="preserve">0.08448</w:t>
            </w:r>
          </w:p>
        </w:tc>
        <w:tc>
          <w:p>
            <w:pPr>
              <w:pStyle w:val="Compact"/>
              <w:jc w:val="right"/>
            </w:pPr>
            <w:r>
              <w:t xml:space="preserve">7631</w:t>
            </w:r>
          </w:p>
        </w:tc>
        <w:tc>
          <w:p>
            <w:pPr>
              <w:pStyle w:val="Compact"/>
              <w:jc w:val="right"/>
            </w:pPr>
            <w:r>
              <w:t xml:space="preserve">0.003216</w:t>
            </w:r>
          </w:p>
        </w:tc>
        <w:tc>
          <w:p>
            <w:pPr>
              <w:pStyle w:val="Compact"/>
              <w:jc w:val="right"/>
            </w:pPr>
            <w:r>
              <w:t xml:space="preserve">0.2051</w:t>
            </w:r>
          </w:p>
        </w:tc>
      </w:tr>
      <w:tr>
        <w:tc>
          <w:p>
            <w:pPr>
              <w:pStyle w:val="Compact"/>
              <w:jc w:val="left"/>
            </w:pPr>
            <w:r>
              <w:t xml:space="preserve">gap_in (5–6)</w:t>
            </w:r>
          </w:p>
        </w:tc>
        <w:tc>
          <w:p>
            <w:pPr>
              <w:pStyle w:val="Compact"/>
              <w:jc w:val="right"/>
            </w:pPr>
            <w:r>
              <w:t xml:space="preserve">0.1669</w:t>
            </w:r>
          </w:p>
        </w:tc>
        <w:tc>
          <w:p>
            <w:pPr>
              <w:pStyle w:val="Compact"/>
              <w:jc w:val="right"/>
            </w:pPr>
            <w:r>
              <w:t xml:space="preserve">0.166</w:t>
            </w:r>
          </w:p>
        </w:tc>
        <w:tc>
          <w:p>
            <w:pPr>
              <w:pStyle w:val="Compact"/>
              <w:jc w:val="right"/>
            </w:pPr>
            <w:r>
              <w:t xml:space="preserve">9677</w:t>
            </w:r>
          </w:p>
        </w:tc>
        <w:tc>
          <w:p>
            <w:pPr>
              <w:pStyle w:val="Compact"/>
              <w:jc w:val="right"/>
            </w:pPr>
            <w:r>
              <w:t xml:space="preserve">0.9088</w:t>
            </w:r>
          </w:p>
        </w:tc>
        <w:tc>
          <w:p>
            <w:pPr>
              <w:pStyle w:val="Compact"/>
              <w:jc w:val="right"/>
            </w:pPr>
            <w:r>
              <w:t xml:space="preserve">-0.008021</w:t>
            </w:r>
          </w:p>
        </w:tc>
      </w:tr>
      <w:tr>
        <w:tc>
          <w:p>
            <w:pPr>
              <w:pStyle w:val="Compact"/>
              <w:jc w:val="left"/>
            </w:pPr>
            <w:r>
              <w:t xml:space="preserve">gap_in (4–5)</w:t>
            </w:r>
          </w:p>
        </w:tc>
        <w:tc>
          <w:p>
            <w:pPr>
              <w:pStyle w:val="Compact"/>
              <w:jc w:val="right"/>
            </w:pPr>
            <w:r>
              <w:t xml:space="preserve">0.2627</w:t>
            </w:r>
          </w:p>
        </w:tc>
        <w:tc>
          <w:p>
            <w:pPr>
              <w:pStyle w:val="Compact"/>
              <w:jc w:val="right"/>
            </w:pPr>
            <w:r>
              <w:t xml:space="preserve">0.2768</w:t>
            </w:r>
          </w:p>
        </w:tc>
        <w:tc>
          <w:p>
            <w:pPr>
              <w:pStyle w:val="Compact"/>
              <w:jc w:val="right"/>
            </w:pPr>
            <w:r>
              <w:t xml:space="preserve">9299</w:t>
            </w:r>
          </w:p>
        </w:tc>
        <w:tc>
          <w:p>
            <w:pPr>
              <w:pStyle w:val="Compact"/>
              <w:jc w:val="right"/>
            </w:pPr>
            <w:r>
              <w:t xml:space="preserve">0.6529</w:t>
            </w:r>
          </w:p>
        </w:tc>
        <w:tc>
          <w:p>
            <w:pPr>
              <w:pStyle w:val="Compact"/>
              <w:jc w:val="right"/>
            </w:pPr>
            <w:r>
              <w:t xml:space="preserve">0.03135</w:t>
            </w:r>
          </w:p>
        </w:tc>
      </w:tr>
      <w:tr>
        <w:tc>
          <w:p>
            <w:pPr>
              <w:pStyle w:val="Compact"/>
              <w:jc w:val="left"/>
            </w:pPr>
            <w:r>
              <w:t xml:space="preserve">gap_in (7–8)</w:t>
            </w:r>
          </w:p>
        </w:tc>
        <w:tc>
          <w:p>
            <w:pPr>
              <w:pStyle w:val="Compact"/>
              <w:jc w:val="right"/>
            </w:pPr>
            <w:r>
              <w:t xml:space="preserve">0.3604</w:t>
            </w:r>
          </w:p>
        </w:tc>
        <w:tc>
          <w:p>
            <w:pPr>
              <w:pStyle w:val="Compact"/>
              <w:jc w:val="right"/>
            </w:pPr>
            <w:r>
              <w:t xml:space="preserve">0.245</w:t>
            </w:r>
          </w:p>
        </w:tc>
        <w:tc>
          <w:p>
            <w:pPr>
              <w:pStyle w:val="Compact"/>
              <w:jc w:val="right"/>
            </w:pPr>
            <w:r>
              <w:t xml:space="preserve">1.412e+04</w:t>
            </w:r>
          </w:p>
        </w:tc>
        <w:tc>
          <w:p>
            <w:pPr>
              <w:pStyle w:val="Compact"/>
              <w:jc w:val="right"/>
            </w:pPr>
            <w:r>
              <w:t xml:space="preserve">1.311e-11</w:t>
            </w:r>
          </w:p>
        </w:tc>
        <w:tc>
          <w:p>
            <w:pPr>
              <w:pStyle w:val="Compact"/>
              <w:jc w:val="right"/>
            </w:pPr>
            <w:r>
              <w:t xml:space="preserve">-0.471</w:t>
            </w:r>
          </w:p>
        </w:tc>
      </w:tr>
      <w:tr>
        <w:tc>
          <w:p>
            <w:pPr>
              <w:pStyle w:val="Compact"/>
              <w:jc w:val="left"/>
            </w:pPr>
            <w:r>
              <w:t xml:space="preserve">swap_count_per_subject</w:t>
            </w:r>
          </w:p>
        </w:tc>
        <w:tc>
          <w:p>
            <w:pPr>
              <w:pStyle w:val="Compact"/>
              <w:jc w:val="right"/>
            </w:pPr>
            <w:r>
              <w:t xml:space="preserve">4</w:t>
            </w:r>
          </w:p>
        </w:tc>
        <w:tc>
          <w:p>
            <w:pPr>
              <w:pStyle w:val="Compact"/>
              <w:jc w:val="right"/>
            </w:pPr>
            <w:r>
              <w:t xml:space="preserve">3</w:t>
            </w:r>
          </w:p>
        </w:tc>
        <w:tc>
          <w:p>
            <w:pPr>
              <w:pStyle w:val="Compact"/>
              <w:jc w:val="right"/>
            </w:pPr>
            <w:r>
              <w:t xml:space="preserve">1.352e+04</w:t>
            </w:r>
          </w:p>
        </w:tc>
        <w:tc>
          <w:p>
            <w:pPr>
              <w:pStyle w:val="Compact"/>
              <w:jc w:val="right"/>
            </w:pPr>
            <w:r>
              <w:t xml:space="preserve">2.824e-09</w:t>
            </w:r>
          </w:p>
        </w:tc>
        <w:tc>
          <w:p>
            <w:pPr>
              <w:pStyle w:val="Compact"/>
              <w:jc w:val="right"/>
            </w:pPr>
            <w:r>
              <w:t xml:space="preserve">-0.4079</w:t>
            </w:r>
          </w:p>
        </w:tc>
      </w:tr>
      <w:tr>
        <w:tc>
          <w:p>
            <w:pPr>
              <w:pStyle w:val="Compact"/>
              <w:jc w:val="left"/>
            </w:pPr>
            <w:r>
              <w:t xml:space="preserve">permutation_rate</w:t>
            </w:r>
          </w:p>
        </w:tc>
        <w:tc>
          <w:p>
            <w:pPr>
              <w:pStyle w:val="Compact"/>
              <w:jc w:val="right"/>
            </w:pPr>
            <w:r>
              <w:t xml:space="preserve">0.8984</w:t>
            </w:r>
          </w:p>
        </w:tc>
        <w:tc>
          <w:p>
            <w:pPr>
              <w:pStyle w:val="Compact"/>
              <w:jc w:val="right"/>
            </w:pPr>
            <w:r>
              <w:t xml:space="preserve">0.9</w:t>
            </w:r>
          </w:p>
        </w:tc>
        <w:tc>
          <w:p>
            <w:pPr>
              <w:pStyle w:val="Compact"/>
              <w:jc w:val="right"/>
            </w:pPr>
            <w:r>
              <w:t xml:space="preserve">0.9829</w:t>
            </w:r>
          </w:p>
        </w:tc>
        <w:tc>
          <w:p>
            <w:pPr>
              <w:pStyle w:val="Compact"/>
              <w:jc w:val="right"/>
            </w:pPr>
            <w:r>
              <w:t xml:space="preserve">1</w:t>
            </w:r>
          </w:p>
        </w:tc>
        <w:tc>
          <w:p>
            <w:pPr>
              <w:pStyle w:val="Compact"/>
              <w:jc w:val="right"/>
            </w:pPr>
            <w:r>
              <w:t xml:space="preserve">-0.01724</w:t>
            </w:r>
          </w:p>
        </w:tc>
      </w:tr>
      <w:tr>
        <w:tc>
          <w:p>
            <w:pPr>
              <w:pStyle w:val="Compact"/>
              <w:jc w:val="left"/>
            </w:pPr>
            <w:r>
              <w:t xml:space="preserve">d_G (modes_9_10)</w:t>
            </w:r>
          </w:p>
        </w:tc>
        <w:tc>
          <w:p>
            <w:pPr>
              <w:pStyle w:val="Compact"/>
              <w:jc w:val="right"/>
            </w:pPr>
            <w:r>
              <w:t xml:space="preserve">0.2605</w:t>
            </w:r>
          </w:p>
        </w:tc>
        <w:tc>
          <w:p>
            <w:pPr>
              <w:pStyle w:val="Compact"/>
              <w:jc w:val="right"/>
            </w:pPr>
            <w:r>
              <w:t xml:space="preserve">0.3996</w:t>
            </w:r>
          </w:p>
        </w:tc>
        <w:tc>
          <w:p>
            <w:pPr>
              <w:pStyle w:val="Compact"/>
              <w:jc w:val="right"/>
            </w:pPr>
            <w:r>
              <w:t xml:space="preserve">377</w:t>
            </w:r>
          </w:p>
        </w:tc>
        <w:tc>
          <w:p>
            <w:pPr>
              <w:pStyle w:val="Compact"/>
              <w:jc w:val="right"/>
            </w:pPr>
            <w:r>
              <w:t xml:space="preserve">1.5e-19</w:t>
            </w:r>
          </w:p>
        </w:tc>
        <w:tc>
          <w:p>
            <w:pPr>
              <w:pStyle w:val="Compact"/>
              <w:jc w:val="right"/>
            </w:pPr>
            <w:r>
              <w:t xml:space="preserve">0.8649</w:t>
            </w:r>
          </w:p>
        </w:tc>
      </w:tr>
      <w:tr>
        <w:tc>
          <w:p>
            <w:pPr>
              <w:pStyle w:val="Compact"/>
              <w:jc w:val="left"/>
            </w:pPr>
            <w:r>
              <w:t xml:space="preserve">d_G (modes_12_15)</w:t>
            </w:r>
          </w:p>
        </w:tc>
        <w:tc>
          <w:p>
            <w:pPr>
              <w:pStyle w:val="Compact"/>
              <w:jc w:val="right"/>
            </w:pPr>
            <w:r>
              <w:t xml:space="preserve">1.455</w:t>
            </w:r>
          </w:p>
        </w:tc>
        <w:tc>
          <w:p>
            <w:pPr>
              <w:pStyle w:val="Compact"/>
              <w:jc w:val="right"/>
            </w:pPr>
            <w:r>
              <w:t xml:space="preserve">0.7866</w:t>
            </w:r>
          </w:p>
        </w:tc>
        <w:tc>
          <w:p>
            <w:pPr>
              <w:pStyle w:val="Compact"/>
              <w:jc w:val="right"/>
            </w:pPr>
            <w:r>
              <w:t xml:space="preserve">2848</w:t>
            </w:r>
          </w:p>
        </w:tc>
        <w:tc>
          <w:p>
            <w:pPr>
              <w:pStyle w:val="Compact"/>
              <w:jc w:val="right"/>
            </w:pPr>
            <w:r>
              <w:t xml:space="preserve">6.629e-11</w:t>
            </w:r>
          </w:p>
        </w:tc>
        <w:tc>
          <w:p>
            <w:pPr>
              <w:pStyle w:val="Compact"/>
              <w:jc w:val="right"/>
            </w:pPr>
            <w:r>
              <w:t xml:space="preserve">-0.7059</w:t>
            </w:r>
          </w:p>
        </w:tc>
      </w:tr>
      <w:tr>
        <w:tc>
          <w:p>
            <w:pPr>
              <w:pStyle w:val="Compact"/>
              <w:jc w:val="left"/>
            </w:pPr>
            <w:r>
              <w:t xml:space="preserve">d_G (modes_5_6)</w:t>
            </w:r>
          </w:p>
        </w:tc>
        <w:tc>
          <w:p>
            <w:pPr>
              <w:pStyle w:val="Compact"/>
              <w:jc w:val="right"/>
            </w:pPr>
            <w:r>
              <w:t xml:space="preserve">0.8472</w:t>
            </w:r>
          </w:p>
        </w:tc>
        <w:tc>
          <w:p>
            <w:pPr>
              <w:pStyle w:val="Compact"/>
              <w:jc w:val="right"/>
            </w:pPr>
            <w:r>
              <w:t xml:space="preserve">0.572</w:t>
            </w:r>
          </w:p>
        </w:tc>
        <w:tc>
          <w:p>
            <w:pPr>
              <w:pStyle w:val="Compact"/>
              <w:jc w:val="right"/>
            </w:pPr>
            <w:r>
              <w:t xml:space="preserve">1793</w:t>
            </w:r>
          </w:p>
        </w:tc>
        <w:tc>
          <w:p>
            <w:pPr>
              <w:pStyle w:val="Compact"/>
              <w:jc w:val="right"/>
            </w:pPr>
            <w:r>
              <w:t xml:space="preserve">1.766e-07</w:t>
            </w:r>
          </w:p>
        </w:tc>
        <w:tc>
          <w:p>
            <w:pPr>
              <w:pStyle w:val="Compact"/>
              <w:jc w:val="right"/>
            </w:pPr>
            <w:r>
              <w:t xml:space="preserve">-0.6263</w:t>
            </w:r>
          </w:p>
        </w:tc>
      </w:tr>
      <w:tr>
        <w:tc>
          <w:p>
            <w:pPr>
              <w:pStyle w:val="Compact"/>
              <w:jc w:val="left"/>
            </w:pPr>
            <w:r>
              <w:t xml:space="preserve">d_G (modes_12_13)</w:t>
            </w:r>
          </w:p>
        </w:tc>
        <w:tc>
          <w:p>
            <w:pPr>
              <w:pStyle w:val="Compact"/>
              <w:jc w:val="right"/>
            </w:pPr>
            <w:r>
              <w:t xml:space="preserve">0.5299</w:t>
            </w:r>
          </w:p>
        </w:tc>
        <w:tc>
          <w:p>
            <w:pPr>
              <w:pStyle w:val="Compact"/>
              <w:jc w:val="right"/>
            </w:pPr>
            <w:r>
              <w:t xml:space="preserve">0.3729</w:t>
            </w:r>
          </w:p>
        </w:tc>
        <w:tc>
          <w:p>
            <w:pPr>
              <w:pStyle w:val="Compact"/>
              <w:jc w:val="right"/>
            </w:pPr>
            <w:r>
              <w:t xml:space="preserve">1120</w:t>
            </w:r>
          </w:p>
        </w:tc>
        <w:tc>
          <w:p>
            <w:pPr>
              <w:pStyle w:val="Compact"/>
              <w:jc w:val="right"/>
            </w:pPr>
            <w:r>
              <w:t xml:space="preserve">0.0001815</w:t>
            </w:r>
          </w:p>
        </w:tc>
        <w:tc>
          <w:p>
            <w:pPr>
              <w:pStyle w:val="Compact"/>
              <w:jc w:val="right"/>
            </w:pPr>
            <w:r>
              <w:t xml:space="preserve">-0.4973</w:t>
            </w:r>
          </w:p>
        </w:tc>
      </w:tr>
      <w:tr>
        <w:tc>
          <w:p>
            <w:pPr>
              <w:pStyle w:val="Compact"/>
              <w:jc w:val="left"/>
            </w:pPr>
            <w:r>
              <w:t xml:space="preserve">d_G (modes_14_15)</w:t>
            </w:r>
          </w:p>
        </w:tc>
        <w:tc>
          <w:p>
            <w:pPr>
              <w:pStyle w:val="Compact"/>
              <w:jc w:val="right"/>
            </w:pPr>
            <w:r>
              <w:t xml:space="preserve">0.5736</w:t>
            </w:r>
          </w:p>
        </w:tc>
        <w:tc>
          <w:p>
            <w:pPr>
              <w:pStyle w:val="Compact"/>
              <w:jc w:val="right"/>
            </w:pPr>
            <w:r>
              <w:t xml:space="preserve">0.9485</w:t>
            </w:r>
          </w:p>
        </w:tc>
        <w:tc>
          <w:p>
            <w:pPr>
              <w:pStyle w:val="Compact"/>
              <w:jc w:val="right"/>
            </w:pPr>
            <w:r>
              <w:t xml:space="preserve">270</w:t>
            </w:r>
          </w:p>
        </w:tc>
        <w:tc>
          <w:p>
            <w:pPr>
              <w:pStyle w:val="Compact"/>
              <w:jc w:val="right"/>
            </w:pPr>
            <w:r>
              <w:t xml:space="preserve">6.922e-05</w:t>
            </w:r>
          </w:p>
        </w:tc>
        <w:tc>
          <w:p>
            <w:pPr>
              <w:pStyle w:val="Compact"/>
              <w:jc w:val="right"/>
            </w:pPr>
            <w:r>
              <w:t xml:space="preserve">0.5559</w:t>
            </w:r>
          </w:p>
        </w:tc>
      </w:tr>
    </w:tbl>
    <w:bookmarkEnd w:id="71"/>
    <w:bookmarkEnd w:id="72"/>
    <w:bookmarkStart w:id="78" w:name="load-routing-specificity"/>
    <w:p>
      <w:pPr>
        <w:pStyle w:val="Heading1"/>
      </w:pPr>
      <w:r>
        <w:t xml:space="preserve">Load-routing specificity</w:t>
      </w:r>
    </w:p>
    <w:p>
      <w:pPr>
        <w:pStyle w:val="FirstParagraph"/>
      </w:pPr>
      <w:r>
        <w:t xml:space="preserve">The main manuscript uses standing and proxy childbirth loads to show the contrast between a robust low-rank backbone and selectively recruited higher-rank subspaces.</w:t>
      </w:r>
      <w:r>
        <w:t xml:space="preserve"> </w:t>
      </w:r>
      <w:r>
        <w:t xml:space="preserve">This appendix provides the fuller load-specificity diagnostics used during editorial triage, including cluster-level function-locking, dominant-mode sets, and pairwise overlap of full routing profiles.</w:t>
      </w:r>
      <w:r>
        <w:t xml:space="preserve"> </w:t>
      </w:r>
      <w:r>
        <w:t xml:space="preserve">Figure C1 visualises the load–function locking map across the prevalent clusters.</w:t>
      </w:r>
      <w:r>
        <w:t xml:space="preserve"> </w:t>
      </w:r>
      <w:r>
        <w:t xml:space="preserve">Table C1 summarises the phase-specific coupling synthesis, Table C2 reproduces the dominant mode-set summary used in the main text for appendix-level completeness, and Table C3 reports the pairwise overlap metrics for the full load-routing profiles.</w:t>
      </w:r>
    </w:p>
    <w:bookmarkStart w:id="74" w:name="X0548a928c9d9434f01b4714dbecdc88e279aeeb"/>
    <w:p>
      <w:pPr>
        <w:pStyle w:val="Heading2"/>
      </w:pPr>
      <w:r>
        <w:t xml:space="preserve">Figure C1. Load-function coupling heatmap across prevalent clusters</w:t>
      </w:r>
    </w:p>
    <w:p>
      <w:pPr>
        <w:pStyle w:val="FirstParagraph"/>
      </w:pPr>
      <w:r>
        <w:drawing>
          <wp:inline>
            <wp:extent cx="5334000" cy="1887993"/>
            <wp:effectExtent b="0" l="0" r="0" t="0"/>
            <wp:docPr descr="image" title="" id="1" name="Picture"/>
            <a:graphic>
              <a:graphicData uri="http://schemas.openxmlformats.org/drawingml/2006/picture">
                <pic:pic>
                  <pic:nvPicPr>
                    <pic:cNvPr descr="/tmp/tmp9a1knb99/media/function_locking_heatmap_b0e4192f9211.png" id="0" name="Picture"/>
                    <pic:cNvPicPr>
                      <a:picLocks noChangeArrowheads="1" noChangeAspect="1"/>
                    </pic:cNvPicPr>
                  </pic:nvPicPr>
                  <pic:blipFill>
                    <a:blip r:embed="rId73"/>
                    <a:stretch>
                      <a:fillRect/>
                    </a:stretch>
                  </pic:blipFill>
                  <pic:spPr bwMode="auto">
                    <a:xfrm>
                      <a:off x="0" y="0"/>
                      <a:ext cx="5334000" cy="1887993"/>
                    </a:xfrm>
                    <a:prstGeom prst="rect">
                      <a:avLst/>
                    </a:prstGeom>
                    <a:noFill/>
                    <a:ln w="9525">
                      <a:noFill/>
                      <a:headEnd/>
                      <a:tailEnd/>
                    </a:ln>
                  </pic:spPr>
                </pic:pic>
              </a:graphicData>
            </a:graphic>
          </wp:inline>
        </w:drawing>
      </w:r>
    </w:p>
    <w:bookmarkEnd w:id="74"/>
    <w:bookmarkStart w:id="75" w:name="X2cf6dcac694b6cf6f8dccd23f81fb50415300ff"/>
    <w:p>
      <w:pPr>
        <w:pStyle w:val="Heading2"/>
      </w:pPr>
      <w:r>
        <w:t xml:space="preserve">Table C1. Load-function coupling synthesis</w:t>
      </w:r>
    </w:p>
    <w:tbl>
      <w:tblPr>
        <w:tblStyle w:val="Table"/>
        <w:tblW w:type="pct" w:w="0.0"/>
        <w:tblLook w:firstRow="1" w:lastRow="0" w:firstColumn="0" w:lastColumn="0" w:noHBand="0" w:noVBand="0" w:val="0020"/>
      </w:tblPr>
      <w:tblGrid/>
      <w:tr>
        <w:tc>
          <w:p>
            <w:pPr>
              <w:pStyle w:val="Compact"/>
              <w:jc w:val="left"/>
            </w:pPr>
            <w:r>
              <w:t xml:space="preserve">Cluster</w:t>
            </w:r>
          </w:p>
        </w:tc>
        <w:tc>
          <w:p>
            <w:pPr>
              <w:pStyle w:val="Compact"/>
              <w:jc w:val="left"/>
            </w:pPr>
            <w:r>
              <w:t xml:space="preserve">Regime</w:t>
            </w:r>
          </w:p>
        </w:tc>
        <w:tc>
          <w:p>
            <w:pPr>
              <w:pStyle w:val="Compact"/>
              <w:jc w:val="left"/>
            </w:pPr>
            <w:r>
              <w:t xml:space="preserve">Best-predictor coupling axis for FLI (AP/ML inlet, BIS/BIT outlet, or Outlet AP scalar)</w:t>
            </w:r>
          </w:p>
        </w:tc>
        <w:tc>
          <w:p>
            <w:pPr>
              <w:pStyle w:val="Compact"/>
              <w:jc w:val="right"/>
            </w:pPr>
            <w:r>
              <w:t xml:space="preserve">FLI</w:t>
            </w:r>
            <w:r>
              <w:t xml:space="preserve"> </w:t>
            </w:r>
            <m:oMath>
              <m:r>
                <m:t>ρ</m:t>
              </m:r>
            </m:oMath>
          </w:p>
        </w:tc>
        <w:tc>
          <w:p>
            <w:pPr>
              <w:pStyle w:val="Compact"/>
              <w:jc w:val="left"/>
            </w:pPr>
            <w:r>
              <w:t xml:space="preserve">Load case</w:t>
            </w:r>
          </w:p>
        </w:tc>
        <w:tc>
          <w:p>
            <w:pPr>
              <w:pStyle w:val="Compact"/>
              <w:jc w:val="right"/>
            </w:pPr>
            <m:oMath>
              <m:sSub>
                <m:e>
                  <m:acc>
                    <m:accPr>
                      <m:chr m:val="‾"/>
                    </m:accPr>
                    <m:e>
                      <m:r>
                        <m:t>f</m:t>
                      </m:r>
                    </m:e>
                  </m:acc>
                </m:e>
                <m:sub>
                  <m:r>
                    <m:t>C</m:t>
                  </m:r>
                </m:sub>
              </m:sSub>
            </m:oMath>
          </w:p>
        </w:tc>
        <w:tc>
          <w:p>
            <w:pPr>
              <w:pStyle w:val="Compact"/>
              <w:jc w:val="right"/>
            </w:pPr>
            <m:oMath>
              <m:sSub>
                <m:e>
                  <m:r>
                    <m:t>r</m:t>
                  </m:r>
                </m:e>
                <m:sub>
                  <m:r>
                    <m:t>r</m:t>
                  </m:r>
                  <m:r>
                    <m:t>b</m:t>
                  </m:r>
                </m:sub>
              </m:sSub>
              <m:r>
                <m:rPr>
                  <m:sty m:val="p"/>
                </m:rPr>
                <m:t>(</m:t>
              </m:r>
              <m:sSub>
                <m:e>
                  <m:r>
                    <m:t>d</m:t>
                  </m:r>
                </m:e>
                <m:sub>
                  <m:r>
                    <m:t>G</m:t>
                  </m:r>
                </m:sub>
              </m:sSub>
              <m:r>
                <m:rPr>
                  <m:sty m:val="p"/>
                </m:rPr>
                <m:t>)</m:t>
              </m:r>
            </m:oMath>
          </w:p>
        </w:tc>
      </w:tr>
      <w:tr>
        <w:tc>
          <w:p>
            <w:pPr>
              <w:pStyle w:val="Compact"/>
              <w:jc w:val="left"/>
            </w:pPr>
            <w:r>
              <w:t xml:space="preserve">Rank modes 9–10</w:t>
            </w:r>
          </w:p>
        </w:tc>
        <w:tc>
          <w:p>
            <w:pPr>
              <w:pStyle w:val="Compact"/>
              <w:jc w:val="left"/>
            </w:pPr>
            <w:r>
              <w:t xml:space="preserve">Veering</w:t>
            </w:r>
          </w:p>
        </w:tc>
        <w:tc>
          <w:p>
            <w:pPr>
              <w:pStyle w:val="Compact"/>
              <w:jc w:val="left"/>
            </w:pPr>
            <w:r>
              <w:t xml:space="preserve">BIS outlet</w:t>
            </w:r>
          </w:p>
        </w:tc>
        <w:tc>
          <w:p>
            <w:pPr>
              <w:pStyle w:val="Compact"/>
              <w:jc w:val="right"/>
            </w:pPr>
            <w:r>
              <w:t xml:space="preserve">0.5144</w:t>
            </w:r>
          </w:p>
        </w:tc>
        <w:tc>
          <w:p>
            <w:pPr>
              <w:pStyle w:val="Compact"/>
              <w:jc w:val="left"/>
            </w:pPr>
            <w:r>
              <w:t xml:space="preserve">LAB</w:t>
            </w:r>
            <m:oMath>
              <m:sSub>
                <m:e>
                  <m:r>
                    <m:t>​</m:t>
                  </m:r>
                </m:e>
                <m:sub>
                  <m:r>
                    <m:t>1</m:t>
                  </m:r>
                </m:sub>
              </m:sSub>
            </m:oMath>
          </w:p>
        </w:tc>
        <w:tc>
          <w:p>
            <w:pPr>
              <w:pStyle w:val="Compact"/>
              <w:jc w:val="right"/>
            </w:pPr>
            <w:r>
              <w:t xml:space="preserve">0.5291</w:t>
            </w:r>
          </w:p>
        </w:tc>
        <w:tc>
          <w:p>
            <w:pPr>
              <w:pStyle w:val="Compact"/>
              <w:jc w:val="right"/>
            </w:pPr>
            <w:r>
              <w:t xml:space="preserve">0.8649</w:t>
            </w:r>
          </w:p>
        </w:tc>
      </w:tr>
      <w:tr>
        <w:tc>
          <w:p>
            <w:pPr>
              <w:pStyle w:val="Compact"/>
              <w:jc w:val="left"/>
            </w:pPr>
            <w:r>
              <w:t xml:space="preserve">Rank modes 9–10</w:t>
            </w:r>
          </w:p>
        </w:tc>
        <w:tc>
          <w:p>
            <w:pPr>
              <w:pStyle w:val="Compact"/>
              <w:jc w:val="left"/>
            </w:pPr>
            <w:r>
              <w:t xml:space="preserve">Veering</w:t>
            </w:r>
          </w:p>
        </w:tc>
        <w:tc>
          <w:p>
            <w:pPr>
              <w:pStyle w:val="Compact"/>
              <w:jc w:val="left"/>
            </w:pPr>
            <w:r>
              <w:t xml:space="preserve">Outlet AP scalar</w:t>
            </w:r>
          </w:p>
        </w:tc>
        <w:tc>
          <w:p>
            <w:pPr>
              <w:pStyle w:val="Compact"/>
              <w:jc w:val="right"/>
            </w:pPr>
            <w:r>
              <w:t xml:space="preserve">0.3508</w:t>
            </w:r>
          </w:p>
        </w:tc>
        <w:tc>
          <w:p>
            <w:pPr>
              <w:pStyle w:val="Compact"/>
              <w:jc w:val="left"/>
            </w:pPr>
            <w:r>
              <w:t xml:space="preserve">LAB</w:t>
            </w:r>
            <m:oMath>
              <m:sSub>
                <m:e>
                  <m:r>
                    <m:t>​</m:t>
                  </m:r>
                </m:e>
                <m:sub>
                  <m:r>
                    <m:t>2</m:t>
                  </m:r>
                </m:sub>
              </m:sSub>
            </m:oMath>
          </w:p>
        </w:tc>
        <w:tc>
          <w:p>
            <w:pPr>
              <w:pStyle w:val="Compact"/>
              <w:jc w:val="right"/>
            </w:pPr>
            <w:r>
              <w:t xml:space="preserve">0.1578</w:t>
            </w:r>
          </w:p>
        </w:tc>
        <w:tc>
          <w:p>
            <w:pPr>
              <w:pStyle w:val="Compact"/>
              <w:jc w:val="right"/>
            </w:pPr>
            <w:r>
              <w:t xml:space="preserve">0.8649</w:t>
            </w:r>
          </w:p>
        </w:tc>
      </w:tr>
      <w:tr>
        <w:tc>
          <w:p>
            <w:pPr>
              <w:pStyle w:val="Compact"/>
              <w:jc w:val="left"/>
            </w:pPr>
            <w:r>
              <w:t xml:space="preserve">Rank modes 9–10</w:t>
            </w:r>
          </w:p>
        </w:tc>
        <w:tc>
          <w:p>
            <w:pPr>
              <w:pStyle w:val="Compact"/>
              <w:jc w:val="left"/>
            </w:pPr>
            <w:r>
              <w:t xml:space="preserve">Veering</w:t>
            </w:r>
          </w:p>
        </w:tc>
        <w:tc>
          <w:p>
            <w:pPr>
              <w:pStyle w:val="Compact"/>
              <w:jc w:val="left"/>
            </w:pPr>
            <w:r>
              <w:t xml:space="preserve">Outlet AP scalar</w:t>
            </w:r>
          </w:p>
        </w:tc>
        <w:tc>
          <w:p>
            <w:pPr>
              <w:pStyle w:val="Compact"/>
              <w:jc w:val="right"/>
            </w:pPr>
            <w:r>
              <w:t xml:space="preserve">0.4828</w:t>
            </w:r>
          </w:p>
        </w:tc>
        <w:tc>
          <w:p>
            <w:pPr>
              <w:pStyle w:val="Compact"/>
              <w:jc w:val="left"/>
            </w:pPr>
            <w:r>
              <w:t xml:space="preserve">LAB</w:t>
            </w:r>
            <m:oMath>
              <m:sSub>
                <m:e>
                  <m:r>
                    <m:t>​</m:t>
                  </m:r>
                </m:e>
                <m:sub>
                  <m:r>
                    <m:t>3</m:t>
                  </m:r>
                </m:sub>
              </m:sSub>
            </m:oMath>
          </w:p>
        </w:tc>
        <w:tc>
          <w:p>
            <w:pPr>
              <w:pStyle w:val="Compact"/>
              <w:jc w:val="right"/>
            </w:pPr>
            <w:r>
              <w:t xml:space="preserve">0.1407</w:t>
            </w:r>
          </w:p>
        </w:tc>
        <w:tc>
          <w:p>
            <w:pPr>
              <w:pStyle w:val="Compact"/>
              <w:jc w:val="right"/>
            </w:pPr>
            <w:r>
              <w:t xml:space="preserve">0.8649</w:t>
            </w:r>
          </w:p>
        </w:tc>
      </w:tr>
      <w:tr>
        <w:tc>
          <w:p>
            <w:pPr>
              <w:pStyle w:val="Compact"/>
              <w:jc w:val="left"/>
            </w:pPr>
            <w:r>
              <w:t xml:space="preserve">Rank modes 12–15</w:t>
            </w:r>
          </w:p>
        </w:tc>
        <w:tc>
          <w:p>
            <w:pPr>
              <w:pStyle w:val="Compact"/>
              <w:jc w:val="left"/>
            </w:pPr>
            <w:r>
              <w:t xml:space="preserve">Mixing (4D)</w:t>
            </w:r>
          </w:p>
        </w:tc>
        <w:tc>
          <w:p>
            <w:pPr>
              <w:pStyle w:val="Compact"/>
              <w:jc w:val="left"/>
            </w:pPr>
            <w:r>
              <w:t xml:space="preserve">AP inlet</w:t>
            </w:r>
          </w:p>
        </w:tc>
        <w:tc>
          <w:p>
            <w:pPr>
              <w:pStyle w:val="Compact"/>
              <w:jc w:val="right"/>
            </w:pPr>
            <w:r>
              <w:t xml:space="preserve">0.4858</w:t>
            </w:r>
          </w:p>
        </w:tc>
        <w:tc>
          <w:p>
            <w:pPr>
              <w:pStyle w:val="Compact"/>
              <w:jc w:val="left"/>
            </w:pPr>
            <w:r>
              <w:t xml:space="preserve">LAB</w:t>
            </w:r>
            <m:oMath>
              <m:sSub>
                <m:e>
                  <m:r>
                    <m:t>​</m:t>
                  </m:r>
                </m:e>
                <m:sub>
                  <m:r>
                    <m:t>1</m:t>
                  </m:r>
                </m:sub>
              </m:sSub>
            </m:oMath>
          </w:p>
        </w:tc>
        <w:tc>
          <w:p>
            <w:pPr>
              <w:pStyle w:val="Compact"/>
              <w:jc w:val="right"/>
            </w:pPr>
            <w:r>
              <w:t xml:space="preserve">0.07568</w:t>
            </w:r>
          </w:p>
        </w:tc>
        <w:tc>
          <w:p>
            <w:pPr>
              <w:pStyle w:val="Compact"/>
              <w:jc w:val="right"/>
            </w:pPr>
            <w:r>
              <w:t xml:space="preserve">-0.7059</w:t>
            </w:r>
          </w:p>
        </w:tc>
      </w:tr>
      <w:tr>
        <w:tc>
          <w:p>
            <w:pPr>
              <w:pStyle w:val="Compact"/>
              <w:jc w:val="left"/>
            </w:pPr>
            <w:r>
              <w:t xml:space="preserve">Rank modes 12–15</w:t>
            </w:r>
          </w:p>
        </w:tc>
        <w:tc>
          <w:p>
            <w:pPr>
              <w:pStyle w:val="Compact"/>
              <w:jc w:val="left"/>
            </w:pPr>
            <w:r>
              <w:t xml:space="preserve">Mixing (4D)</w:t>
            </w:r>
          </w:p>
        </w:tc>
        <w:tc>
          <w:p>
            <w:pPr>
              <w:pStyle w:val="Compact"/>
              <w:jc w:val="left"/>
            </w:pPr>
            <w:r>
              <w:t xml:space="preserve">ML inlet</w:t>
            </w:r>
          </w:p>
        </w:tc>
        <w:tc>
          <w:p>
            <w:pPr>
              <w:pStyle w:val="Compact"/>
              <w:jc w:val="right"/>
            </w:pPr>
            <w:r>
              <w:t xml:space="preserve">0.7</w:t>
            </w:r>
          </w:p>
        </w:tc>
        <w:tc>
          <w:p>
            <w:pPr>
              <w:pStyle w:val="Compact"/>
              <w:jc w:val="left"/>
            </w:pPr>
            <w:r>
              <w:t xml:space="preserve">LAB</w:t>
            </w:r>
            <m:oMath>
              <m:sSub>
                <m:e>
                  <m:r>
                    <m:t>​</m:t>
                  </m:r>
                </m:e>
                <m:sub>
                  <m:r>
                    <m:t>2</m:t>
                  </m:r>
                </m:sub>
              </m:sSub>
            </m:oMath>
          </w:p>
        </w:tc>
        <w:tc>
          <w:p>
            <w:pPr>
              <w:pStyle w:val="Compact"/>
              <w:jc w:val="right"/>
            </w:pPr>
            <w:r>
              <w:t xml:space="preserve">0.01016</w:t>
            </w:r>
          </w:p>
        </w:tc>
        <w:tc>
          <w:p>
            <w:pPr>
              <w:pStyle w:val="Compact"/>
              <w:jc w:val="right"/>
            </w:pPr>
            <w:r>
              <w:t xml:space="preserve">-0.7059</w:t>
            </w:r>
          </w:p>
        </w:tc>
      </w:tr>
      <w:tr>
        <w:tc>
          <w:p>
            <w:pPr>
              <w:pStyle w:val="Compact"/>
              <w:jc w:val="left"/>
            </w:pPr>
            <w:r>
              <w:t xml:space="preserve">Rank modes 12–15</w:t>
            </w:r>
          </w:p>
        </w:tc>
        <w:tc>
          <w:p>
            <w:pPr>
              <w:pStyle w:val="Compact"/>
              <w:jc w:val="left"/>
            </w:pPr>
            <w:r>
              <w:t xml:space="preserve">Mixing (4D)</w:t>
            </w:r>
          </w:p>
        </w:tc>
        <w:tc>
          <w:p>
            <w:pPr>
              <w:pStyle w:val="Compact"/>
              <w:jc w:val="left"/>
            </w:pPr>
            <w:r>
              <w:t xml:space="preserve">ML inlet</w:t>
            </w:r>
          </w:p>
        </w:tc>
        <w:tc>
          <w:p>
            <w:pPr>
              <w:pStyle w:val="Compact"/>
              <w:jc w:val="right"/>
            </w:pPr>
            <w:r>
              <w:t xml:space="preserve">-0.5942</w:t>
            </w:r>
          </w:p>
        </w:tc>
        <w:tc>
          <w:p>
            <w:pPr>
              <w:pStyle w:val="Compact"/>
              <w:jc w:val="left"/>
            </w:pPr>
            <w:r>
              <w:t xml:space="preserve">LAB</w:t>
            </w:r>
            <m:oMath>
              <m:sSub>
                <m:e>
                  <m:r>
                    <m:t>​</m:t>
                  </m:r>
                </m:e>
                <m:sub>
                  <m:r>
                    <m:t>3</m:t>
                  </m:r>
                </m:sub>
              </m:sSub>
            </m:oMath>
          </w:p>
        </w:tc>
        <w:tc>
          <w:p>
            <w:pPr>
              <w:pStyle w:val="Compact"/>
              <w:jc w:val="right"/>
            </w:pPr>
            <w:r>
              <w:t xml:space="preserve">0.06857</w:t>
            </w:r>
          </w:p>
        </w:tc>
        <w:tc>
          <w:p>
            <w:pPr>
              <w:pStyle w:val="Compact"/>
              <w:jc w:val="right"/>
            </w:pPr>
            <w:r>
              <w:t xml:space="preserve">-0.7059</w:t>
            </w:r>
          </w:p>
        </w:tc>
      </w:tr>
      <w:tr>
        <w:tc>
          <w:p>
            <w:pPr>
              <w:pStyle w:val="Compact"/>
              <w:jc w:val="left"/>
            </w:pPr>
            <w:r>
              <w:t xml:space="preserve">Rank modes 5–6</w:t>
            </w:r>
          </w:p>
        </w:tc>
        <w:tc>
          <w:p>
            <w:pPr>
              <w:pStyle w:val="Compact"/>
              <w:jc w:val="left"/>
            </w:pPr>
            <w:r>
              <w:t xml:space="preserve">Weak exchange</w:t>
            </w:r>
          </w:p>
        </w:tc>
        <w:tc>
          <w:p>
            <w:pPr>
              <w:pStyle w:val="Compact"/>
              <w:jc w:val="left"/>
            </w:pPr>
            <w:r>
              <w:t xml:space="preserve">BIS outlet</w:t>
            </w:r>
          </w:p>
        </w:tc>
        <w:tc>
          <w:p>
            <w:pPr>
              <w:pStyle w:val="Compact"/>
              <w:jc w:val="right"/>
            </w:pPr>
            <w:r>
              <w:t xml:space="preserve">-0.2788</w:t>
            </w:r>
          </w:p>
        </w:tc>
        <w:tc>
          <w:p>
            <w:pPr>
              <w:pStyle w:val="Compact"/>
              <w:jc w:val="left"/>
            </w:pPr>
            <w:r>
              <w:t xml:space="preserve">LAB</w:t>
            </w:r>
            <m:oMath>
              <m:sSub>
                <m:e>
                  <m:r>
                    <m:t>​</m:t>
                  </m:r>
                </m:e>
                <m:sub>
                  <m:r>
                    <m:t>1</m:t>
                  </m:r>
                </m:sub>
              </m:sSub>
            </m:oMath>
          </w:p>
        </w:tc>
        <w:tc>
          <w:p>
            <w:pPr>
              <w:pStyle w:val="Compact"/>
              <w:jc w:val="right"/>
            </w:pPr>
            <w:r>
              <w:t xml:space="preserve">0.02502</w:t>
            </w:r>
          </w:p>
        </w:tc>
        <w:tc>
          <w:p>
            <w:pPr>
              <w:pStyle w:val="Compact"/>
              <w:jc w:val="right"/>
            </w:pPr>
            <w:r>
              <w:t xml:space="preserve">-0.6263</w:t>
            </w:r>
          </w:p>
        </w:tc>
      </w:tr>
      <w:tr>
        <w:tc>
          <w:p>
            <w:pPr>
              <w:pStyle w:val="Compact"/>
              <w:jc w:val="left"/>
            </w:pPr>
            <w:r>
              <w:t xml:space="preserve">Rank modes 5–6</w:t>
            </w:r>
          </w:p>
        </w:tc>
        <w:tc>
          <w:p>
            <w:pPr>
              <w:pStyle w:val="Compact"/>
              <w:jc w:val="left"/>
            </w:pPr>
            <w:r>
              <w:t xml:space="preserve">Weak exchange</w:t>
            </w:r>
          </w:p>
        </w:tc>
        <w:tc>
          <w:p>
            <w:pPr>
              <w:pStyle w:val="Compact"/>
              <w:jc w:val="left"/>
            </w:pPr>
            <w:r>
              <w:t xml:space="preserve">BIS outlet</w:t>
            </w:r>
          </w:p>
        </w:tc>
        <w:tc>
          <w:p>
            <w:pPr>
              <w:pStyle w:val="Compact"/>
              <w:jc w:val="right"/>
            </w:pPr>
            <w:r>
              <w:t xml:space="preserve">0.6786</w:t>
            </w:r>
          </w:p>
        </w:tc>
        <w:tc>
          <w:p>
            <w:pPr>
              <w:pStyle w:val="Compact"/>
              <w:jc w:val="left"/>
            </w:pPr>
            <w:r>
              <w:t xml:space="preserve">LAB</w:t>
            </w:r>
            <m:oMath>
              <m:sSub>
                <m:e>
                  <m:r>
                    <m:t>​</m:t>
                  </m:r>
                </m:e>
                <m:sub>
                  <m:r>
                    <m:t>2</m:t>
                  </m:r>
                </m:sub>
              </m:sSub>
            </m:oMath>
          </w:p>
        </w:tc>
        <w:tc>
          <w:p>
            <w:pPr>
              <w:pStyle w:val="Compact"/>
              <w:jc w:val="right"/>
            </w:pPr>
            <w:r>
              <w:t xml:space="preserve">0.5917</w:t>
            </w:r>
          </w:p>
        </w:tc>
        <w:tc>
          <w:p>
            <w:pPr>
              <w:pStyle w:val="Compact"/>
              <w:jc w:val="right"/>
            </w:pPr>
            <w:r>
              <w:t xml:space="preserve">-0.6263</w:t>
            </w:r>
          </w:p>
        </w:tc>
      </w:tr>
      <w:tr>
        <w:tc>
          <w:p>
            <w:pPr>
              <w:pStyle w:val="Compact"/>
              <w:jc w:val="left"/>
            </w:pPr>
            <w:r>
              <w:t xml:space="preserve">Rank modes 5–6</w:t>
            </w:r>
          </w:p>
        </w:tc>
        <w:tc>
          <w:p>
            <w:pPr>
              <w:pStyle w:val="Compact"/>
              <w:jc w:val="left"/>
            </w:pPr>
            <w:r>
              <w:t xml:space="preserve">Weak exchange</w:t>
            </w:r>
          </w:p>
        </w:tc>
        <w:tc>
          <w:p>
            <w:pPr>
              <w:pStyle w:val="Compact"/>
              <w:jc w:val="left"/>
            </w:pPr>
            <w:r>
              <w:t xml:space="preserve">BIS outlet</w:t>
            </w:r>
          </w:p>
        </w:tc>
        <w:tc>
          <w:p>
            <w:pPr>
              <w:pStyle w:val="Compact"/>
              <w:jc w:val="right"/>
            </w:pPr>
            <w:r>
              <w:t xml:space="preserve">0.6589</w:t>
            </w:r>
          </w:p>
        </w:tc>
        <w:tc>
          <w:p>
            <w:pPr>
              <w:pStyle w:val="Compact"/>
              <w:jc w:val="left"/>
            </w:pPr>
            <w:r>
              <w:t xml:space="preserve">LAB</w:t>
            </w:r>
            <m:oMath>
              <m:sSub>
                <m:e>
                  <m:r>
                    <m:t>​</m:t>
                  </m:r>
                </m:e>
                <m:sub>
                  <m:r>
                    <m:t>3</m:t>
                  </m:r>
                </m:sub>
              </m:sSub>
            </m:oMath>
          </w:p>
        </w:tc>
        <w:tc>
          <w:p>
            <w:pPr>
              <w:pStyle w:val="Compact"/>
              <w:jc w:val="right"/>
            </w:pPr>
            <w:r>
              <w:t xml:space="preserve">0.217</w:t>
            </w:r>
          </w:p>
        </w:tc>
        <w:tc>
          <w:p>
            <w:pPr>
              <w:pStyle w:val="Compact"/>
              <w:jc w:val="right"/>
            </w:pPr>
            <w:r>
              <w:t xml:space="preserve">-0.6263</w:t>
            </w:r>
          </w:p>
        </w:tc>
      </w:tr>
      <w:tr>
        <w:tc>
          <w:p>
            <w:pPr>
              <w:pStyle w:val="Compact"/>
              <w:jc w:val="left"/>
            </w:pPr>
            <w:r>
              <w:t xml:space="preserve">Rank modes 12–13</w:t>
            </w:r>
          </w:p>
        </w:tc>
        <w:tc>
          <w:p>
            <w:pPr>
              <w:pStyle w:val="Compact"/>
              <w:jc w:val="left"/>
            </w:pPr>
            <w:r>
              <w:t xml:space="preserve">Weak exchange</w:t>
            </w:r>
          </w:p>
        </w:tc>
        <w:tc>
          <w:p>
            <w:pPr>
              <w:pStyle w:val="Compact"/>
              <w:jc w:val="left"/>
            </w:pPr>
            <w:r>
              <w:t xml:space="preserve">BIT outlet</w:t>
            </w:r>
          </w:p>
        </w:tc>
        <w:tc>
          <w:p>
            <w:pPr>
              <w:pStyle w:val="Compact"/>
              <w:jc w:val="right"/>
            </w:pPr>
            <w:r>
              <w:t xml:space="preserve">0.6247</w:t>
            </w:r>
          </w:p>
        </w:tc>
        <w:tc>
          <w:p>
            <w:pPr>
              <w:pStyle w:val="Compact"/>
              <w:jc w:val="left"/>
            </w:pPr>
            <w:r>
              <w:t xml:space="preserve">LAB</w:t>
            </w:r>
            <m:oMath>
              <m:sSub>
                <m:e>
                  <m:r>
                    <m:t>​</m:t>
                  </m:r>
                </m:e>
                <m:sub>
                  <m:r>
                    <m:t>1</m:t>
                  </m:r>
                </m:sub>
              </m:sSub>
            </m:oMath>
          </w:p>
        </w:tc>
        <w:tc>
          <w:p>
            <w:pPr>
              <w:pStyle w:val="Compact"/>
              <w:jc w:val="right"/>
            </w:pPr>
            <w:r>
              <w:t xml:space="preserve">0.06863</w:t>
            </w:r>
          </w:p>
        </w:tc>
        <w:tc>
          <w:p>
            <w:pPr>
              <w:pStyle w:val="Compact"/>
              <w:jc w:val="right"/>
            </w:pPr>
            <w:r>
              <w:t xml:space="preserve">-0.4973</w:t>
            </w:r>
          </w:p>
        </w:tc>
      </w:tr>
      <w:tr>
        <w:tc>
          <w:p>
            <w:pPr>
              <w:pStyle w:val="Compact"/>
              <w:jc w:val="left"/>
            </w:pPr>
            <w:r>
              <w:t xml:space="preserve">Rank modes 12–13</w:t>
            </w:r>
          </w:p>
        </w:tc>
        <w:tc>
          <w:p>
            <w:pPr>
              <w:pStyle w:val="Compact"/>
              <w:jc w:val="left"/>
            </w:pPr>
            <w:r>
              <w:t xml:space="preserve">Weak exchange</w:t>
            </w:r>
          </w:p>
        </w:tc>
        <w:tc>
          <w:p>
            <w:pPr>
              <w:pStyle w:val="Compact"/>
              <w:jc w:val="left"/>
            </w:pPr>
            <w:r>
              <w:t xml:space="preserve">BIT outlet</w:t>
            </w:r>
          </w:p>
        </w:tc>
        <w:tc>
          <w:p>
            <w:pPr>
              <w:pStyle w:val="Compact"/>
              <w:jc w:val="right"/>
            </w:pPr>
            <w:r>
              <w:t xml:space="preserve">-0.5387</w:t>
            </w:r>
          </w:p>
        </w:tc>
        <w:tc>
          <w:p>
            <w:pPr>
              <w:pStyle w:val="Compact"/>
              <w:jc w:val="left"/>
            </w:pPr>
            <w:r>
              <w:t xml:space="preserve">LAB</w:t>
            </w:r>
            <m:oMath>
              <m:sSub>
                <m:e>
                  <m:r>
                    <m:t>​</m:t>
                  </m:r>
                </m:e>
                <m:sub>
                  <m:r>
                    <m:t>2</m:t>
                  </m:r>
                </m:sub>
              </m:sSub>
            </m:oMath>
          </w:p>
        </w:tc>
        <w:tc>
          <w:p>
            <w:pPr>
              <w:pStyle w:val="Compact"/>
              <w:jc w:val="right"/>
            </w:pPr>
            <w:r>
              <w:t xml:space="preserve">0.0009939</w:t>
            </w:r>
          </w:p>
        </w:tc>
        <w:tc>
          <w:p>
            <w:pPr>
              <w:pStyle w:val="Compact"/>
              <w:jc w:val="right"/>
            </w:pPr>
            <w:r>
              <w:t xml:space="preserve">-0.4973</w:t>
            </w:r>
          </w:p>
        </w:tc>
      </w:tr>
      <w:tr>
        <w:tc>
          <w:p>
            <w:pPr>
              <w:pStyle w:val="Compact"/>
              <w:jc w:val="left"/>
            </w:pPr>
            <w:r>
              <w:t xml:space="preserve">Rank modes 12–13</w:t>
            </w:r>
          </w:p>
        </w:tc>
        <w:tc>
          <w:p>
            <w:pPr>
              <w:pStyle w:val="Compact"/>
              <w:jc w:val="left"/>
            </w:pPr>
            <w:r>
              <w:t xml:space="preserve">Weak exchange</w:t>
            </w:r>
          </w:p>
        </w:tc>
        <w:tc>
          <w:p>
            <w:pPr>
              <w:pStyle w:val="Compact"/>
              <w:jc w:val="left"/>
            </w:pPr>
            <w:r>
              <w:t xml:space="preserve">Outlet AP scalar</w:t>
            </w:r>
          </w:p>
        </w:tc>
        <w:tc>
          <w:p>
            <w:pPr>
              <w:pStyle w:val="Compact"/>
              <w:jc w:val="right"/>
            </w:pPr>
            <w:r>
              <w:t xml:space="preserve">0.7433</w:t>
            </w:r>
          </w:p>
        </w:tc>
        <w:tc>
          <w:p>
            <w:pPr>
              <w:pStyle w:val="Compact"/>
              <w:jc w:val="left"/>
            </w:pPr>
            <w:r>
              <w:t xml:space="preserve">LAB</w:t>
            </w:r>
            <m:oMath>
              <m:sSub>
                <m:e>
                  <m:r>
                    <m:t>​</m:t>
                  </m:r>
                </m:e>
                <m:sub>
                  <m:r>
                    <m:t>3</m:t>
                  </m:r>
                </m:sub>
              </m:sSub>
            </m:oMath>
          </w:p>
        </w:tc>
        <w:tc>
          <w:p>
            <w:pPr>
              <w:pStyle w:val="Compact"/>
              <w:jc w:val="right"/>
            </w:pPr>
            <w:r>
              <w:t xml:space="preserve">0.01162</w:t>
            </w:r>
          </w:p>
        </w:tc>
        <w:tc>
          <w:p>
            <w:pPr>
              <w:pStyle w:val="Compact"/>
              <w:jc w:val="right"/>
            </w:pPr>
            <w:r>
              <w:t xml:space="preserve">-0.4973</w:t>
            </w:r>
          </w:p>
        </w:tc>
      </w:tr>
      <w:tr>
        <w:tc>
          <w:p>
            <w:pPr>
              <w:pStyle w:val="Compact"/>
              <w:jc w:val="left"/>
            </w:pPr>
            <w:r>
              <w:t xml:space="preserve">Rank modes 14–15</w:t>
            </w:r>
          </w:p>
        </w:tc>
        <w:tc>
          <w:p>
            <w:pPr>
              <w:pStyle w:val="Compact"/>
              <w:jc w:val="left"/>
            </w:pPr>
            <w:r>
              <w:t xml:space="preserve">Mixing</w:t>
            </w:r>
          </w:p>
        </w:tc>
        <w:tc>
          <w:p>
            <w:pPr>
              <w:pStyle w:val="Compact"/>
              <w:jc w:val="left"/>
            </w:pPr>
            <w:r>
              <w:t xml:space="preserve">AP inlet</w:t>
            </w:r>
          </w:p>
        </w:tc>
        <w:tc>
          <w:p>
            <w:pPr>
              <w:pStyle w:val="Compact"/>
              <w:jc w:val="right"/>
            </w:pPr>
            <w:r>
              <w:t xml:space="preserve">0.3085</w:t>
            </w:r>
          </w:p>
        </w:tc>
        <w:tc>
          <w:p>
            <w:pPr>
              <w:pStyle w:val="Compact"/>
              <w:jc w:val="left"/>
            </w:pPr>
            <w:r>
              <w:t xml:space="preserve">LAB</w:t>
            </w:r>
            <m:oMath>
              <m:sSub>
                <m:e>
                  <m:r>
                    <m:t>​</m:t>
                  </m:r>
                </m:e>
                <m:sub>
                  <m:r>
                    <m:t>1</m:t>
                  </m:r>
                </m:sub>
              </m:sSub>
            </m:oMath>
          </w:p>
        </w:tc>
        <w:tc>
          <w:p>
            <w:pPr>
              <w:pStyle w:val="Compact"/>
              <w:jc w:val="right"/>
            </w:pPr>
            <w:r>
              <w:t xml:space="preserve">0.02817</w:t>
            </w:r>
          </w:p>
        </w:tc>
        <w:tc>
          <w:p>
            <w:pPr>
              <w:pStyle w:val="Compact"/>
              <w:jc w:val="right"/>
            </w:pPr>
            <w:r>
              <w:t xml:space="preserve">0.5559</w:t>
            </w:r>
          </w:p>
        </w:tc>
      </w:tr>
      <w:tr>
        <w:tc>
          <w:p>
            <w:pPr>
              <w:pStyle w:val="Compact"/>
              <w:jc w:val="left"/>
            </w:pPr>
            <w:r>
              <w:t xml:space="preserve">Rank modes 14–15</w:t>
            </w:r>
          </w:p>
        </w:tc>
        <w:tc>
          <w:p>
            <w:pPr>
              <w:pStyle w:val="Compact"/>
              <w:jc w:val="left"/>
            </w:pPr>
            <w:r>
              <w:t xml:space="preserve">Mixing</w:t>
            </w:r>
          </w:p>
        </w:tc>
        <w:tc>
          <w:p>
            <w:pPr>
              <w:pStyle w:val="Compact"/>
              <w:jc w:val="left"/>
            </w:pPr>
            <w:r>
              <w:t xml:space="preserve">AP inlet</w:t>
            </w:r>
          </w:p>
        </w:tc>
        <w:tc>
          <w:p>
            <w:pPr>
              <w:pStyle w:val="Compact"/>
              <w:jc w:val="right"/>
            </w:pPr>
            <w:r>
              <w:t xml:space="preserve">0.6098</w:t>
            </w:r>
          </w:p>
        </w:tc>
        <w:tc>
          <w:p>
            <w:pPr>
              <w:pStyle w:val="Compact"/>
              <w:jc w:val="left"/>
            </w:pPr>
            <w:r>
              <w:t xml:space="preserve">LAB</w:t>
            </w:r>
            <m:oMath>
              <m:sSub>
                <m:e>
                  <m:r>
                    <m:t>​</m:t>
                  </m:r>
                </m:e>
                <m:sub>
                  <m:r>
                    <m:t>2</m:t>
                  </m:r>
                </m:sub>
              </m:sSub>
            </m:oMath>
          </w:p>
        </w:tc>
        <w:tc>
          <w:p>
            <w:pPr>
              <w:pStyle w:val="Compact"/>
              <w:jc w:val="right"/>
            </w:pPr>
            <w:r>
              <w:t xml:space="preserve">0.01237</w:t>
            </w:r>
          </w:p>
        </w:tc>
        <w:tc>
          <w:p>
            <w:pPr>
              <w:pStyle w:val="Compact"/>
              <w:jc w:val="right"/>
            </w:pPr>
            <w:r>
              <w:t xml:space="preserve">0.5559</w:t>
            </w:r>
          </w:p>
        </w:tc>
      </w:tr>
      <w:tr>
        <w:tc>
          <w:p>
            <w:pPr>
              <w:pStyle w:val="Compact"/>
              <w:jc w:val="left"/>
            </w:pPr>
            <w:r>
              <w:t xml:space="preserve">Rank modes 14–15</w:t>
            </w:r>
          </w:p>
        </w:tc>
        <w:tc>
          <w:p>
            <w:pPr>
              <w:pStyle w:val="Compact"/>
              <w:jc w:val="left"/>
            </w:pPr>
            <w:r>
              <w:t xml:space="preserve">Mixing</w:t>
            </w:r>
          </w:p>
        </w:tc>
        <w:tc>
          <w:p>
            <w:pPr>
              <w:pStyle w:val="Compact"/>
              <w:jc w:val="left"/>
            </w:pPr>
            <w:r>
              <w:t xml:space="preserve">BIT outlet</w:t>
            </w:r>
          </w:p>
        </w:tc>
        <w:tc>
          <w:p>
            <w:pPr>
              <w:pStyle w:val="Compact"/>
              <w:jc w:val="right"/>
            </w:pPr>
            <w:r>
              <w:t xml:space="preserve">-0.54</w:t>
            </w:r>
          </w:p>
        </w:tc>
        <w:tc>
          <w:p>
            <w:pPr>
              <w:pStyle w:val="Compact"/>
              <w:jc w:val="left"/>
            </w:pPr>
            <w:r>
              <w:t xml:space="preserve">LAB</w:t>
            </w:r>
            <m:oMath>
              <m:sSub>
                <m:e>
                  <m:r>
                    <m:t>​</m:t>
                  </m:r>
                </m:e>
                <m:sub>
                  <m:r>
                    <m:t>3</m:t>
                  </m:r>
                </m:sub>
              </m:sSub>
            </m:oMath>
          </w:p>
        </w:tc>
        <w:tc>
          <w:p>
            <w:pPr>
              <w:pStyle w:val="Compact"/>
              <w:jc w:val="right"/>
            </w:pPr>
            <w:r>
              <w:t xml:space="preserve">0.008386</w:t>
            </w:r>
          </w:p>
        </w:tc>
        <w:tc>
          <w:p>
            <w:pPr>
              <w:pStyle w:val="Compact"/>
              <w:jc w:val="right"/>
            </w:pPr>
            <w:r>
              <w:t xml:space="preserve">0.5559</w:t>
            </w:r>
          </w:p>
        </w:tc>
      </w:tr>
    </w:tbl>
    <w:bookmarkEnd w:id="75"/>
    <w:bookmarkStart w:id="76" w:name="X993a9bbe4fb697763bf21f21c80fd908d9486ba"/>
    <w:p>
      <w:pPr>
        <w:pStyle w:val="Heading2"/>
      </w:pPr>
      <w:r>
        <w:t xml:space="preserve">Table C2. Dominant mode sets for standing and proxy loading</w:t>
      </w:r>
    </w:p>
    <w:tbl>
      <w:tblPr>
        <w:tblStyle w:val="Table"/>
        <w:tblW w:type="pct" w:w="0.0"/>
        <w:tblLook w:firstRow="1" w:lastRow="0" w:firstColumn="0" w:lastColumn="0" w:noHBand="0" w:noVBand="0" w:val="0020"/>
      </w:tblPr>
      <w:tblGrid/>
      <w:tr>
        <w:tc>
          <w:p>
            <w:pPr>
              <w:pStyle w:val="Compact"/>
              <w:jc w:val="left"/>
            </w:pPr>
            <w:r>
              <w:t xml:space="preserve">Load</w:t>
            </w:r>
          </w:p>
        </w:tc>
        <w:tc>
          <w:p>
            <w:pPr>
              <w:pStyle w:val="Compact"/>
              <w:jc w:val="left"/>
            </w:pPr>
            <w:r>
              <w:t xml:space="preserve">Top mode</w:t>
            </w:r>
          </w:p>
        </w:tc>
        <w:tc>
          <w:p>
            <w:pPr>
              <w:pStyle w:val="Compact"/>
              <w:jc w:val="right"/>
            </w:pPr>
            <w:r>
              <w:t xml:space="preserve">Top mode share (</w:t>
            </w:r>
          </w:p>
        </w:tc>
        <w:tc>
          <w:p/>
        </w:tc>
        <w:tc>
          <w:p/>
        </w:tc>
        <w:tc>
          <w:p/>
        </w:tc>
        <w:tc>
          <w:p/>
        </w:tc>
        <w:tc>
          <w:p/>
        </w:tc>
      </w:tr>
      <w:tr>
        <w:tc>
          <w:p>
            <w:pPr>
              <w:pStyle w:val="Compact"/>
              <w:jc w:val="left"/>
            </w:pPr>
            <w:r>
              <w:t xml:space="preserve">SP2leg</w:t>
            </w:r>
          </w:p>
        </w:tc>
        <w:tc>
          <w:p>
            <w:pPr>
              <w:pStyle w:val="Compact"/>
              <w:jc w:val="left"/>
            </w:pPr>
            <w:r>
              <w:t xml:space="preserve">2 (ML rotation)</w:t>
            </w:r>
          </w:p>
        </w:tc>
        <w:tc>
          <w:p>
            <w:pPr>
              <w:pStyle w:val="Compact"/>
              <w:jc w:val="right"/>
            </w:pPr>
            <w:r>
              <w:t xml:space="preserve">84.49</w:t>
            </w:r>
          </w:p>
        </w:tc>
        <w:tc>
          <w:p>
            <w:pPr>
              <w:pStyle w:val="Compact"/>
              <w:jc w:val="left"/>
            </w:pPr>
            <w:r>
              <w:t xml:space="preserve">2,4,5</w:t>
            </w:r>
          </w:p>
        </w:tc>
        <w:tc>
          <w:p>
            <w:pPr>
              <w:pStyle w:val="Compact"/>
              <w:jc w:val="right"/>
            </w:pPr>
            <w:r>
              <w:t xml:space="preserve">93.79</w:t>
            </w:r>
          </w:p>
        </w:tc>
        <w:tc>
          <w:p>
            <w:pPr>
              <w:pStyle w:val="Compact"/>
              <w:jc w:val="right"/>
            </w:pPr>
            <w:r>
              <w:t xml:space="preserve">1</w:t>
            </w:r>
          </w:p>
        </w:tc>
        <w:tc>
          <w:p>
            <w:pPr>
              <w:pStyle w:val="Compact"/>
              <w:jc w:val="left"/>
            </w:pPr>
            <w:r>
              <w:t xml:space="preserve">2</w:t>
            </w:r>
          </w:p>
        </w:tc>
        <w:tc>
          <w:p>
            <w:pPr>
              <w:pStyle w:val="Compact"/>
              <w:jc w:val="right"/>
            </w:pPr>
            <w:r>
              <w:t xml:space="preserve">84.49</w:t>
            </w:r>
          </w:p>
        </w:tc>
      </w:tr>
      <w:tr>
        <w:tc>
          <w:p>
            <w:pPr>
              <w:pStyle w:val="Compact"/>
              <w:jc w:val="left"/>
            </w:pPr>
            <w:r>
              <w:t xml:space="preserve">SP1leg</w:t>
            </w:r>
          </w:p>
        </w:tc>
        <w:tc>
          <w:p>
            <w:pPr>
              <w:pStyle w:val="Compact"/>
              <w:jc w:val="left"/>
            </w:pPr>
            <w:r>
              <w:t xml:space="preserve">1 (CC rotation)</w:t>
            </w:r>
          </w:p>
        </w:tc>
        <w:tc>
          <w:p>
            <w:pPr>
              <w:pStyle w:val="Compact"/>
              <w:jc w:val="right"/>
            </w:pPr>
            <w:r>
              <w:t xml:space="preserve">39.89</w:t>
            </w:r>
          </w:p>
        </w:tc>
        <w:tc>
          <w:p>
            <w:pPr>
              <w:pStyle w:val="Compact"/>
              <w:jc w:val="left"/>
            </w:pPr>
            <w:r>
              <w:t xml:space="preserve">1,2,3</w:t>
            </w:r>
          </w:p>
        </w:tc>
        <w:tc>
          <w:p>
            <w:pPr>
              <w:pStyle w:val="Compact"/>
              <w:jc w:val="right"/>
            </w:pPr>
            <w:r>
              <w:t xml:space="preserve">92.04</w:t>
            </w:r>
          </w:p>
        </w:tc>
        <w:tc>
          <w:p>
            <w:pPr>
              <w:pStyle w:val="Compact"/>
              <w:jc w:val="right"/>
            </w:pPr>
            <w:r>
              <w:t xml:space="preserve">3</w:t>
            </w:r>
          </w:p>
        </w:tc>
        <w:tc>
          <w:p>
            <w:pPr>
              <w:pStyle w:val="Compact"/>
              <w:jc w:val="left"/>
            </w:pPr>
            <w:r>
              <w:t xml:space="preserve">1,2,3</w:t>
            </w:r>
          </w:p>
        </w:tc>
        <w:tc>
          <w:p>
            <w:pPr>
              <w:pStyle w:val="Compact"/>
              <w:jc w:val="right"/>
            </w:pPr>
            <w:r>
              <w:t xml:space="preserve">92.04</w:t>
            </w:r>
          </w:p>
        </w:tc>
      </w:tr>
      <w:tr>
        <w:tc>
          <w:p>
            <w:pPr>
              <w:pStyle w:val="Compact"/>
              <w:jc w:val="left"/>
            </w:pPr>
            <w:r>
              <w:t xml:space="preserve">LAB</w:t>
            </w:r>
            <m:oMath>
              <m:sSub>
                <m:e>
                  <m:r>
                    <m:t>​</m:t>
                  </m:r>
                </m:e>
                <m:sub>
                  <m:r>
                    <m:t>1</m:t>
                  </m:r>
                </m:sub>
              </m:sSub>
            </m:oMath>
          </w:p>
        </w:tc>
        <w:tc>
          <w:p>
            <w:pPr>
              <w:pStyle w:val="Compact"/>
              <w:jc w:val="left"/>
            </w:pPr>
            <w:r>
              <w:t xml:space="preserve">9 (inlet opening)</w:t>
            </w:r>
          </w:p>
        </w:tc>
        <w:tc>
          <w:p>
            <w:pPr>
              <w:pStyle w:val="Compact"/>
              <w:jc w:val="right"/>
            </w:pPr>
            <w:r>
              <w:t xml:space="preserve">33.49</w:t>
            </w:r>
          </w:p>
        </w:tc>
        <w:tc>
          <w:p>
            <w:pPr>
              <w:pStyle w:val="Compact"/>
              <w:jc w:val="left"/>
            </w:pPr>
            <w:r>
              <w:t xml:space="preserve">9,10,8</w:t>
            </w:r>
          </w:p>
        </w:tc>
        <w:tc>
          <w:p>
            <w:pPr>
              <w:pStyle w:val="Compact"/>
              <w:jc w:val="right"/>
            </w:pPr>
            <w:r>
              <w:t xml:space="preserve">66.12</w:t>
            </w:r>
          </w:p>
        </w:tc>
        <w:tc>
          <w:p>
            <w:pPr>
              <w:pStyle w:val="Compact"/>
              <w:jc w:val="right"/>
            </w:pPr>
            <w:r>
              <w:t xml:space="preserve">5</w:t>
            </w:r>
          </w:p>
        </w:tc>
        <w:tc>
          <w:p>
            <w:pPr>
              <w:pStyle w:val="Compact"/>
              <w:jc w:val="left"/>
            </w:pPr>
            <w:r>
              <w:t xml:space="preserve">9,10,8,4,3</w:t>
            </w:r>
          </w:p>
        </w:tc>
        <w:tc>
          <w:p>
            <w:pPr>
              <w:pStyle w:val="Compact"/>
              <w:jc w:val="right"/>
            </w:pPr>
            <w:r>
              <w:t xml:space="preserve">81.48</w:t>
            </w:r>
          </w:p>
        </w:tc>
      </w:tr>
      <w:tr>
        <w:tc>
          <w:p>
            <w:pPr>
              <w:pStyle w:val="Compact"/>
              <w:jc w:val="left"/>
            </w:pPr>
            <w:r>
              <w:t xml:space="preserve">LAB</w:t>
            </w:r>
            <m:oMath>
              <m:sSub>
                <m:e>
                  <m:r>
                    <m:t>​</m:t>
                  </m:r>
                </m:e>
                <m:sub>
                  <m:r>
                    <m:t>2</m:t>
                  </m:r>
                </m:sub>
              </m:sSub>
            </m:oMath>
          </w:p>
        </w:tc>
        <w:tc>
          <w:p>
            <w:pPr>
              <w:pStyle w:val="Compact"/>
              <w:jc w:val="left"/>
            </w:pPr>
            <w:r>
              <w:t xml:space="preserve">5</w:t>
            </w:r>
          </w:p>
        </w:tc>
        <w:tc>
          <w:p>
            <w:pPr>
              <w:pStyle w:val="Compact"/>
              <w:jc w:val="right"/>
            </w:pPr>
            <w:r>
              <w:t xml:space="preserve">25.15</w:t>
            </w:r>
          </w:p>
        </w:tc>
        <w:tc>
          <w:p>
            <w:pPr>
              <w:pStyle w:val="Compact"/>
              <w:jc w:val="left"/>
            </w:pPr>
            <w:r>
              <w:t xml:space="preserve">5,6,4</w:t>
            </w:r>
          </w:p>
        </w:tc>
        <w:tc>
          <w:p>
            <w:pPr>
              <w:pStyle w:val="Compact"/>
              <w:jc w:val="right"/>
            </w:pPr>
            <w:r>
              <w:t xml:space="preserve">74.77</w:t>
            </w:r>
          </w:p>
        </w:tc>
        <w:tc>
          <w:p>
            <w:pPr>
              <w:pStyle w:val="Compact"/>
              <w:jc w:val="right"/>
            </w:pPr>
            <w:r>
              <w:t xml:space="preserve">4</w:t>
            </w:r>
          </w:p>
        </w:tc>
        <w:tc>
          <w:p>
            <w:pPr>
              <w:pStyle w:val="Compact"/>
              <w:jc w:val="left"/>
            </w:pPr>
            <w:r>
              <w:t xml:space="preserve">5,6,4,9</w:t>
            </w:r>
          </w:p>
        </w:tc>
        <w:tc>
          <w:p>
            <w:pPr>
              <w:pStyle w:val="Compact"/>
              <w:jc w:val="right"/>
            </w:pPr>
            <w:r>
              <w:t xml:space="preserve">85.8</w:t>
            </w:r>
          </w:p>
        </w:tc>
      </w:tr>
      <w:tr>
        <w:tc>
          <w:p>
            <w:pPr>
              <w:pStyle w:val="Compact"/>
              <w:jc w:val="left"/>
            </w:pPr>
            <w:r>
              <w:t xml:space="preserve">LAB</w:t>
            </w:r>
            <m:oMath>
              <m:sSub>
                <m:e>
                  <m:r>
                    <m:t>​</m:t>
                  </m:r>
                </m:e>
                <m:sub>
                  <m:r>
                    <m:t>3</m:t>
                  </m:r>
                </m:sub>
              </m:sSub>
            </m:oMath>
          </w:p>
        </w:tc>
        <w:tc>
          <w:p>
            <w:pPr>
              <w:pStyle w:val="Compact"/>
              <w:jc w:val="left"/>
            </w:pPr>
            <w:r>
              <w:t xml:space="preserve">2 (ML rotation)</w:t>
            </w:r>
          </w:p>
        </w:tc>
        <w:tc>
          <w:p>
            <w:pPr>
              <w:pStyle w:val="Compact"/>
              <w:jc w:val="right"/>
            </w:pPr>
            <w:r>
              <w:t xml:space="preserve">45.81</w:t>
            </w:r>
          </w:p>
        </w:tc>
        <w:tc>
          <w:p>
            <w:pPr>
              <w:pStyle w:val="Compact"/>
              <w:jc w:val="left"/>
            </w:pPr>
            <w:r>
              <w:t xml:space="preserve">2,5,4</w:t>
            </w:r>
          </w:p>
        </w:tc>
        <w:tc>
          <w:p>
            <w:pPr>
              <w:pStyle w:val="Compact"/>
              <w:jc w:val="right"/>
            </w:pPr>
            <w:r>
              <w:t xml:space="preserve">68.09</w:t>
            </w:r>
          </w:p>
        </w:tc>
        <w:tc>
          <w:p>
            <w:pPr>
              <w:pStyle w:val="Compact"/>
              <w:jc w:val="right"/>
            </w:pPr>
            <w:r>
              <w:t xml:space="preserve">5</w:t>
            </w:r>
          </w:p>
        </w:tc>
        <w:tc>
          <w:p>
            <w:pPr>
              <w:pStyle w:val="Compact"/>
              <w:jc w:val="left"/>
            </w:pPr>
            <w:r>
              <w:t xml:space="preserve">2,5,4,9,6</w:t>
            </w:r>
          </w:p>
        </w:tc>
        <w:tc>
          <w:p>
            <w:pPr>
              <w:pStyle w:val="Compact"/>
              <w:jc w:val="right"/>
            </w:pPr>
            <w:r>
              <w:t xml:space="preserve">85.8</w:t>
            </w:r>
          </w:p>
        </w:tc>
      </w:tr>
    </w:tbl>
    <w:bookmarkEnd w:id="76"/>
    <w:bookmarkStart w:id="77" w:name="X1ce9e4b4078dde69452b7e17fdd4a860933138a"/>
    <w:p>
      <w:pPr>
        <w:pStyle w:val="Heading2"/>
      </w:pPr>
      <w:r>
        <w:t xml:space="preserve">Table C3. Pairwise overlap of load-routing profiles</w:t>
      </w:r>
    </w:p>
    <w:tbl>
      <w:tblPr>
        <w:tblStyle w:val="Table"/>
        <w:tblW w:type="pct" w:w="0.0"/>
        <w:tblLook w:firstRow="1" w:lastRow="0" w:firstColumn="0" w:lastColumn="0" w:noHBand="0" w:noVBand="0" w:val="0020"/>
      </w:tblPr>
      <w:tblGrid/>
      <w:tr>
        <w:tc>
          <w:p>
            <w:pPr>
              <w:pStyle w:val="Compact"/>
              <w:jc w:val="left"/>
            </w:pPr>
            <w:r>
              <w:t xml:space="preserve">Load A</w:t>
            </w:r>
          </w:p>
        </w:tc>
        <w:tc>
          <w:p>
            <w:pPr>
              <w:pStyle w:val="Compact"/>
              <w:jc w:val="left"/>
            </w:pPr>
            <w:r>
              <w:t xml:space="preserve">Load B</w:t>
            </w:r>
          </w:p>
        </w:tc>
        <w:tc>
          <w:p>
            <w:pPr>
              <w:pStyle w:val="Compact"/>
              <w:jc w:val="right"/>
            </w:pPr>
            <w:r>
              <w:t xml:space="preserve">Jaccard overlap (80</w:t>
            </w:r>
          </w:p>
        </w:tc>
        <w:tc>
          <w:p/>
        </w:tc>
        <w:tc>
          <w:p/>
        </w:tc>
      </w:tr>
      <w:tr>
        <w:tc>
          <w:p>
            <w:pPr>
              <w:pStyle w:val="Compact"/>
              <w:jc w:val="left"/>
            </w:pPr>
            <w:r>
              <w:t xml:space="preserve">SP2leg</w:t>
            </w:r>
          </w:p>
        </w:tc>
        <w:tc>
          <w:p>
            <w:pPr>
              <w:pStyle w:val="Compact"/>
              <w:jc w:val="left"/>
            </w:pPr>
            <w:r>
              <w:t xml:space="preserve">SP1leg</w:t>
            </w:r>
          </w:p>
        </w:tc>
        <w:tc>
          <w:p>
            <w:pPr>
              <w:pStyle w:val="Compact"/>
              <w:jc w:val="right"/>
            </w:pPr>
            <w:r>
              <w:t xml:space="preserve">0.3333</w:t>
            </w:r>
          </w:p>
        </w:tc>
        <w:tc>
          <w:p>
            <w:pPr>
              <w:pStyle w:val="Compact"/>
              <w:jc w:val="right"/>
            </w:pPr>
            <w:r>
              <w:t xml:space="preserve">0.6668</w:t>
            </w:r>
          </w:p>
        </w:tc>
        <w:tc>
          <w:p>
            <w:pPr>
              <w:pStyle w:val="Compact"/>
              <w:jc w:val="left"/>
            </w:pPr>
            <w:r>
              <w:t xml:space="preserve">2</w:t>
            </w:r>
          </w:p>
        </w:tc>
      </w:tr>
      <w:tr>
        <w:tc>
          <w:p>
            <w:pPr>
              <w:pStyle w:val="Compact"/>
              <w:jc w:val="left"/>
            </w:pPr>
            <w:r>
              <w:t xml:space="preserve">SP2leg</w:t>
            </w:r>
          </w:p>
        </w:tc>
        <w:tc>
          <w:p>
            <w:pPr>
              <w:pStyle w:val="Compact"/>
              <w:jc w:val="left"/>
            </w:pPr>
            <w:r>
              <w:t xml:space="preserve">LAB</w:t>
            </w:r>
            <m:oMath>
              <m:sSub>
                <m:e>
                  <m:r>
                    <m:t>​</m:t>
                  </m:r>
                </m:e>
                <m:sub>
                  <m:r>
                    <m:t>1</m:t>
                  </m:r>
                </m:sub>
              </m:sSub>
            </m:oMath>
          </w:p>
        </w:tc>
        <w:tc>
          <w:p>
            <w:pPr>
              <w:pStyle w:val="Compact"/>
              <w:jc w:val="right"/>
            </w:pPr>
            <w:r>
              <w:t xml:space="preserve">0</w:t>
            </w:r>
          </w:p>
        </w:tc>
        <w:tc>
          <w:p>
            <w:pPr>
              <w:pStyle w:val="Compact"/>
              <w:jc w:val="right"/>
            </w:pPr>
            <w:r>
              <w:t xml:space="preserve">0.1202</w:t>
            </w:r>
          </w:p>
        </w:tc>
        <w:tc>
          <w:p/>
        </w:tc>
      </w:tr>
      <w:tr>
        <w:tc>
          <w:p>
            <w:pPr>
              <w:pStyle w:val="Compact"/>
              <w:jc w:val="left"/>
            </w:pPr>
            <w:r>
              <w:t xml:space="preserve">SP2leg</w:t>
            </w:r>
          </w:p>
        </w:tc>
        <w:tc>
          <w:p>
            <w:pPr>
              <w:pStyle w:val="Compact"/>
              <w:jc w:val="left"/>
            </w:pPr>
            <w:r>
              <w:t xml:space="preserve">LAB</w:t>
            </w:r>
            <m:oMath>
              <m:sSub>
                <m:e>
                  <m:r>
                    <m:t>​</m:t>
                  </m:r>
                </m:e>
                <m:sub>
                  <m:r>
                    <m:t>2</m:t>
                  </m:r>
                </m:sub>
              </m:sSub>
            </m:oMath>
          </w:p>
        </w:tc>
        <w:tc>
          <w:p>
            <w:pPr>
              <w:pStyle w:val="Compact"/>
              <w:jc w:val="right"/>
            </w:pPr>
            <w:r>
              <w:t xml:space="preserve">0</w:t>
            </w:r>
          </w:p>
        </w:tc>
        <w:tc>
          <w:p>
            <w:pPr>
              <w:pStyle w:val="Compact"/>
              <w:jc w:val="right"/>
            </w:pPr>
            <w:r>
              <w:t xml:space="preserve">0.1343</w:t>
            </w:r>
          </w:p>
        </w:tc>
        <w:tc>
          <w:p/>
        </w:tc>
      </w:tr>
      <w:tr>
        <w:tc>
          <w:p>
            <w:pPr>
              <w:pStyle w:val="Compact"/>
              <w:jc w:val="left"/>
            </w:pPr>
            <w:r>
              <w:t xml:space="preserve">SP2leg</w:t>
            </w:r>
          </w:p>
        </w:tc>
        <w:tc>
          <w:p>
            <w:pPr>
              <w:pStyle w:val="Compact"/>
              <w:jc w:val="left"/>
            </w:pPr>
            <w:r>
              <w:t xml:space="preserve">LAB</w:t>
            </w:r>
            <m:oMath>
              <m:sSub>
                <m:e>
                  <m:r>
                    <m:t>​</m:t>
                  </m:r>
                </m:e>
                <m:sub>
                  <m:r>
                    <m:t>3</m:t>
                  </m:r>
                </m:sub>
              </m:sSub>
            </m:oMath>
          </w:p>
        </w:tc>
        <w:tc>
          <w:p>
            <w:pPr>
              <w:pStyle w:val="Compact"/>
              <w:jc w:val="right"/>
            </w:pPr>
            <w:r>
              <w:t xml:space="preserve">0.2</w:t>
            </w:r>
          </w:p>
        </w:tc>
        <w:tc>
          <w:p>
            <w:pPr>
              <w:pStyle w:val="Compact"/>
              <w:jc w:val="right"/>
            </w:pPr>
            <w:r>
              <w:t xml:space="preserve">0.9367</w:t>
            </w:r>
          </w:p>
        </w:tc>
        <w:tc>
          <w:p>
            <w:pPr>
              <w:pStyle w:val="Compact"/>
              <w:jc w:val="left"/>
            </w:pPr>
            <w:r>
              <w:t xml:space="preserve">2</w:t>
            </w:r>
          </w:p>
        </w:tc>
      </w:tr>
      <w:tr>
        <w:tc>
          <w:p>
            <w:pPr>
              <w:pStyle w:val="Compact"/>
              <w:jc w:val="left"/>
            </w:pPr>
            <w:r>
              <w:t xml:space="preserve">SP1leg</w:t>
            </w:r>
          </w:p>
        </w:tc>
        <w:tc>
          <w:p>
            <w:pPr>
              <w:pStyle w:val="Compact"/>
              <w:jc w:val="left"/>
            </w:pPr>
            <w:r>
              <w:t xml:space="preserve">LAB</w:t>
            </w:r>
            <m:oMath>
              <m:sSub>
                <m:e>
                  <m:r>
                    <m:t>​</m:t>
                  </m:r>
                </m:e>
                <m:sub>
                  <m:r>
                    <m:t>1</m:t>
                  </m:r>
                </m:sub>
              </m:sSub>
            </m:oMath>
          </w:p>
        </w:tc>
        <w:tc>
          <w:p>
            <w:pPr>
              <w:pStyle w:val="Compact"/>
              <w:jc w:val="right"/>
            </w:pPr>
            <w:r>
              <w:t xml:space="preserve">0.1429</w:t>
            </w:r>
          </w:p>
        </w:tc>
        <w:tc>
          <w:p>
            <w:pPr>
              <w:pStyle w:val="Compact"/>
              <w:jc w:val="right"/>
            </w:pPr>
            <w:r>
              <w:t xml:space="preserve">0.1233</w:t>
            </w:r>
          </w:p>
        </w:tc>
        <w:tc>
          <w:p>
            <w:pPr>
              <w:pStyle w:val="Compact"/>
              <w:jc w:val="left"/>
            </w:pPr>
            <w:r>
              <w:t xml:space="preserve">3</w:t>
            </w:r>
          </w:p>
        </w:tc>
      </w:tr>
      <w:tr>
        <w:tc>
          <w:p>
            <w:pPr>
              <w:pStyle w:val="Compact"/>
              <w:jc w:val="left"/>
            </w:pPr>
            <w:r>
              <w:t xml:space="preserve">SP1leg</w:t>
            </w:r>
          </w:p>
        </w:tc>
        <w:tc>
          <w:p>
            <w:pPr>
              <w:pStyle w:val="Compact"/>
              <w:jc w:val="left"/>
            </w:pPr>
            <w:r>
              <w:t xml:space="preserve">LAB</w:t>
            </w:r>
            <m:oMath>
              <m:sSub>
                <m:e>
                  <m:r>
                    <m:t>​</m:t>
                  </m:r>
                </m:e>
                <m:sub>
                  <m:r>
                    <m:t>2</m:t>
                  </m:r>
                </m:sub>
              </m:sSub>
            </m:oMath>
          </w:p>
        </w:tc>
        <w:tc>
          <w:p>
            <w:pPr>
              <w:pStyle w:val="Compact"/>
              <w:jc w:val="right"/>
            </w:pPr>
            <w:r>
              <w:t xml:space="preserve">0</w:t>
            </w:r>
          </w:p>
        </w:tc>
        <w:tc>
          <w:p>
            <w:pPr>
              <w:pStyle w:val="Compact"/>
              <w:jc w:val="right"/>
            </w:pPr>
            <w:r>
              <w:t xml:space="preserve">0.1051</w:t>
            </w:r>
          </w:p>
        </w:tc>
        <w:tc>
          <w:p/>
        </w:tc>
      </w:tr>
      <w:tr>
        <w:tc>
          <w:p>
            <w:pPr>
              <w:pStyle w:val="Compact"/>
              <w:jc w:val="left"/>
            </w:pPr>
            <w:r>
              <w:t xml:space="preserve">SP1leg</w:t>
            </w:r>
          </w:p>
        </w:tc>
        <w:tc>
          <w:p>
            <w:pPr>
              <w:pStyle w:val="Compact"/>
              <w:jc w:val="left"/>
            </w:pPr>
            <w:r>
              <w:t xml:space="preserve">LAB</w:t>
            </w:r>
            <m:oMath>
              <m:sSub>
                <m:e>
                  <m:r>
                    <m:t>​</m:t>
                  </m:r>
                </m:e>
                <m:sub>
                  <m:r>
                    <m:t>3</m:t>
                  </m:r>
                </m:sub>
              </m:sSub>
            </m:oMath>
          </w:p>
        </w:tc>
        <w:tc>
          <w:p>
            <w:pPr>
              <w:pStyle w:val="Compact"/>
              <w:jc w:val="right"/>
            </w:pPr>
            <w:r>
              <w:t xml:space="preserve">0.1429</w:t>
            </w:r>
          </w:p>
        </w:tc>
        <w:tc>
          <w:p>
            <w:pPr>
              <w:pStyle w:val="Compact"/>
              <w:jc w:val="right"/>
            </w:pPr>
            <w:r>
              <w:t xml:space="preserve">0.6326</w:t>
            </w:r>
          </w:p>
        </w:tc>
        <w:tc>
          <w:p>
            <w:pPr>
              <w:pStyle w:val="Compact"/>
              <w:jc w:val="left"/>
            </w:pPr>
            <w:r>
              <w:t xml:space="preserve">2</w:t>
            </w:r>
          </w:p>
        </w:tc>
      </w:tr>
      <w:tr>
        <w:tc>
          <w:p>
            <w:pPr>
              <w:pStyle w:val="Compact"/>
              <w:jc w:val="left"/>
            </w:pPr>
            <w:r>
              <w:t xml:space="preserve">LAB</w:t>
            </w:r>
            <m:oMath>
              <m:sSub>
                <m:e>
                  <m:r>
                    <m:t>​</m:t>
                  </m:r>
                </m:e>
                <m:sub>
                  <m:r>
                    <m:t>1</m:t>
                  </m:r>
                </m:sub>
              </m:sSub>
            </m:oMath>
          </w:p>
        </w:tc>
        <w:tc>
          <w:p>
            <w:pPr>
              <w:pStyle w:val="Compact"/>
              <w:jc w:val="left"/>
            </w:pPr>
            <w:r>
              <w:t xml:space="preserve">LAB</w:t>
            </w:r>
            <m:oMath>
              <m:sSub>
                <m:e>
                  <m:r>
                    <m:t>​</m:t>
                  </m:r>
                </m:e>
                <m:sub>
                  <m:r>
                    <m:t>2</m:t>
                  </m:r>
                </m:sub>
              </m:sSub>
            </m:oMath>
          </w:p>
        </w:tc>
        <w:tc>
          <w:p>
            <w:pPr>
              <w:pStyle w:val="Compact"/>
              <w:jc w:val="right"/>
            </w:pPr>
            <w:r>
              <w:t xml:space="preserve">0.2857</w:t>
            </w:r>
          </w:p>
        </w:tc>
        <w:tc>
          <w:p>
            <w:pPr>
              <w:pStyle w:val="Compact"/>
              <w:jc w:val="right"/>
            </w:pPr>
            <w:r>
              <w:t xml:space="preserve">0.48</w:t>
            </w:r>
          </w:p>
        </w:tc>
        <w:tc>
          <w:p>
            <w:pPr>
              <w:pStyle w:val="Compact"/>
              <w:jc w:val="left"/>
            </w:pPr>
            <w:r>
              <w:t xml:space="preserve">4,9</w:t>
            </w:r>
          </w:p>
        </w:tc>
      </w:tr>
      <w:tr>
        <w:tc>
          <w:p>
            <w:pPr>
              <w:pStyle w:val="Compact"/>
              <w:jc w:val="left"/>
            </w:pPr>
            <w:r>
              <w:t xml:space="preserve">LAB</w:t>
            </w:r>
            <m:oMath>
              <m:sSub>
                <m:e>
                  <m:r>
                    <m:t>​</m:t>
                  </m:r>
                </m:e>
                <m:sub>
                  <m:r>
                    <m:t>1</m:t>
                  </m:r>
                </m:sub>
              </m:sSub>
            </m:oMath>
          </w:p>
        </w:tc>
        <w:tc>
          <w:p>
            <w:pPr>
              <w:pStyle w:val="Compact"/>
              <w:jc w:val="left"/>
            </w:pPr>
            <w:r>
              <w:t xml:space="preserve">LAB</w:t>
            </w:r>
            <m:oMath>
              <m:sSub>
                <m:e>
                  <m:r>
                    <m:t>​</m:t>
                  </m:r>
                </m:e>
                <m:sub>
                  <m:r>
                    <m:t>3</m:t>
                  </m:r>
                </m:sub>
              </m:sSub>
            </m:oMath>
          </w:p>
        </w:tc>
        <w:tc>
          <w:p>
            <w:pPr>
              <w:pStyle w:val="Compact"/>
              <w:jc w:val="right"/>
            </w:pPr>
            <w:r>
              <w:t xml:space="preserve">0.25</w:t>
            </w:r>
          </w:p>
        </w:tc>
        <w:tc>
          <w:p>
            <w:pPr>
              <w:pStyle w:val="Compact"/>
              <w:jc w:val="right"/>
            </w:pPr>
            <w:r>
              <w:t xml:space="preserve">0.3613</w:t>
            </w:r>
          </w:p>
        </w:tc>
        <w:tc>
          <w:p>
            <w:pPr>
              <w:pStyle w:val="Compact"/>
              <w:jc w:val="left"/>
            </w:pPr>
            <w:r>
              <w:t xml:space="preserve">4,9</w:t>
            </w:r>
          </w:p>
        </w:tc>
      </w:tr>
      <w:tr>
        <w:tc>
          <w:p>
            <w:pPr>
              <w:pStyle w:val="Compact"/>
              <w:jc w:val="left"/>
            </w:pPr>
            <w:r>
              <w:t xml:space="preserve">LAB</w:t>
            </w:r>
            <m:oMath>
              <m:sSub>
                <m:e>
                  <m:r>
                    <m:t>​</m:t>
                  </m:r>
                </m:e>
                <m:sub>
                  <m:r>
                    <m:t>2</m:t>
                  </m:r>
                </m:sub>
              </m:sSub>
            </m:oMath>
          </w:p>
        </w:tc>
        <w:tc>
          <w:p>
            <w:pPr>
              <w:pStyle w:val="Compact"/>
              <w:jc w:val="left"/>
            </w:pPr>
            <w:r>
              <w:t xml:space="preserve">LAB</w:t>
            </w:r>
            <m:oMath>
              <m:sSub>
                <m:e>
                  <m:r>
                    <m:t>​</m:t>
                  </m:r>
                </m:e>
                <m:sub>
                  <m:r>
                    <m:t>3</m:t>
                  </m:r>
                </m:sub>
              </m:sSub>
            </m:oMath>
          </w:p>
        </w:tc>
        <w:tc>
          <w:p>
            <w:pPr>
              <w:pStyle w:val="Compact"/>
              <w:jc w:val="right"/>
            </w:pPr>
            <w:r>
              <w:t xml:space="preserve">0.8</w:t>
            </w:r>
          </w:p>
        </w:tc>
        <w:tc>
          <w:p>
            <w:pPr>
              <w:pStyle w:val="Compact"/>
              <w:jc w:val="right"/>
            </w:pPr>
            <w:r>
              <w:t xml:space="preserve">0.4456</w:t>
            </w:r>
          </w:p>
        </w:tc>
        <w:tc>
          <w:p>
            <w:pPr>
              <w:pStyle w:val="Compact"/>
              <w:jc w:val="left"/>
            </w:pPr>
            <w:r>
              <w:t xml:space="preserve">4,5,6,9</w:t>
            </w:r>
          </w:p>
        </w:tc>
      </w:tr>
    </w:tbl>
    <w:bookmarkEnd w:id="77"/>
    <w:bookmarkEnd w:id="78"/>
    <w:bookmarkStart w:id="84" w:name="model-boundary-and-sensitivity-analyses"/>
    <w:p>
      <w:pPr>
        <w:pStyle w:val="Heading1"/>
      </w:pPr>
      <w:r>
        <w:t xml:space="preserve">Model-boundary and sensitivity analyses</w:t>
      </w:r>
    </w:p>
    <w:p>
      <w:pPr>
        <w:pStyle w:val="FirstParagraph"/>
      </w:pPr>
      <w:r>
        <w:t xml:space="preserve">These analyses bound the main claims rather than extend them.</w:t>
      </w:r>
      <w:r>
        <w:t xml:space="preserve"> </w:t>
      </w:r>
      <w:r>
        <w:t xml:space="preserve">Allometry quantifies what is lost when the main spectral analysis is performed on size-normalised pelves.</w:t>
      </w:r>
      <w:r>
        <w:t xml:space="preserve"> </w:t>
      </w:r>
      <w:r>
        <w:t xml:space="preserve">Material uncertainty quantifies how much absolute eigenvalue identifiability would degrade under broader soft-tissue and density-law scatter while showing that the relative fragile-versus-robust gap architecture is preserved.</w:t>
      </w:r>
      <w:r>
        <w:t xml:space="preserve"> </w:t>
      </w:r>
      <w:r>
        <w:t xml:space="preserve">Figure D1 shows the post-hoc allometric recovery analysis, and Table D1 summarises the corresponding scaling exponents and variance decomposition.</w:t>
      </w:r>
      <w:r>
        <w:t xml:space="preserve"> </w:t>
      </w:r>
      <w:r>
        <w:t xml:space="preserve">Figure D2 reproduces the material-uncertainty dashboard alongside Table D2, which tabulates the combined first-order uncertainty propagation used to support the robustness discussion in the main text.</w:t>
      </w:r>
    </w:p>
    <w:bookmarkStart w:id="80" w:name="figure-d1.-allometry-dashboard"/>
    <w:p>
      <w:pPr>
        <w:pStyle w:val="Heading2"/>
      </w:pPr>
      <w:r>
        <w:t xml:space="preserve">Figure D1. Allometry dashboard</w:t>
      </w:r>
    </w:p>
    <w:p>
      <w:pPr>
        <w:pStyle w:val="FirstParagraph"/>
      </w:pPr>
      <w:r>
        <w:drawing>
          <wp:inline>
            <wp:extent cx="5334000" cy="3105684"/>
            <wp:effectExtent b="0" l="0" r="0" t="0"/>
            <wp:docPr descr="image" title="" id="1" name="Picture"/>
            <a:graphic>
              <a:graphicData uri="http://schemas.openxmlformats.org/drawingml/2006/picture">
                <pic:pic>
                  <pic:nvPicPr>
                    <pic:cNvPr descr="/tmp/tmp9a1knb99/media/allometry_dashboard_03864032fd71.png" id="0" name="Picture"/>
                    <pic:cNvPicPr>
                      <a:picLocks noChangeArrowheads="1" noChangeAspect="1"/>
                    </pic:cNvPicPr>
                  </pic:nvPicPr>
                  <pic:blipFill>
                    <a:blip r:embed="rId79"/>
                    <a:stretch>
                      <a:fillRect/>
                    </a:stretch>
                  </pic:blipFill>
                  <pic:spPr bwMode="auto">
                    <a:xfrm>
                      <a:off x="0" y="0"/>
                      <a:ext cx="5334000" cy="3105684"/>
                    </a:xfrm>
                    <a:prstGeom prst="rect">
                      <a:avLst/>
                    </a:prstGeom>
                    <a:noFill/>
                    <a:ln w="9525">
                      <a:noFill/>
                      <a:headEnd/>
                      <a:tailEnd/>
                    </a:ln>
                  </pic:spPr>
                </pic:pic>
              </a:graphicData>
            </a:graphic>
          </wp:inline>
        </w:drawing>
      </w:r>
    </w:p>
    <w:bookmarkEnd w:id="80"/>
    <w:bookmarkStart w:id="81" w:name="table-d1.-allometry-summary"/>
    <w:p>
      <w:pPr>
        <w:pStyle w:val="Heading2"/>
      </w:pPr>
      <w:r>
        <w:t xml:space="preserve">Table D1. Allometry summary</w:t>
      </w:r>
    </w:p>
    <w:bookmarkEnd w:id="81"/>
    <w:bookmarkStart w:id="82" w:name="X5e6593ee451277887d424fd6d0f290e87877385"/>
    <w:p>
      <w:pPr>
        <w:pStyle w:val="Heading2"/>
      </w:pPr>
      <w:r>
        <w:t xml:space="preserve">Figure D2. Material uncertainty dashboard</w:t>
      </w:r>
    </w:p>
    <w:p>
      <w:pPr>
        <w:pStyle w:val="FirstParagraph"/>
      </w:pPr>
      <w:r>
        <w:drawing>
          <wp:inline>
            <wp:extent cx="5334000" cy="5466993"/>
            <wp:effectExtent b="0" l="0" r="0" t="0"/>
            <wp:docPr descr="image" title="" id="1" name="Picture"/>
            <a:graphic>
              <a:graphicData uri="http://schemas.openxmlformats.org/drawingml/2006/picture">
                <pic:pic>
                  <pic:nvPicPr>
                    <pic:cNvPr descr="/tmp/tmp9a1knb99/media/material_uncertainty_dashboard_f868cedd2734.png" id="0" name="Picture"/>
                    <pic:cNvPicPr>
                      <a:picLocks noChangeArrowheads="1" noChangeAspect="1"/>
                    </pic:cNvPicPr>
                  </pic:nvPicPr>
                  <pic:blipFill>
                    <a:blip r:embed="rId50"/>
                    <a:stretch>
                      <a:fillRect/>
                    </a:stretch>
                  </pic:blipFill>
                  <pic:spPr bwMode="auto">
                    <a:xfrm>
                      <a:off x="0" y="0"/>
                      <a:ext cx="5334000" cy="5466993"/>
                    </a:xfrm>
                    <a:prstGeom prst="rect">
                      <a:avLst/>
                    </a:prstGeom>
                    <a:noFill/>
                    <a:ln w="9525">
                      <a:noFill/>
                      <a:headEnd/>
                      <a:tailEnd/>
                    </a:ln>
                  </pic:spPr>
                </pic:pic>
              </a:graphicData>
            </a:graphic>
          </wp:inline>
        </w:drawing>
      </w:r>
    </w:p>
    <w:bookmarkEnd w:id="82"/>
    <w:bookmarkStart w:id="83" w:name="Xbd809aeebf024e0f6bf486e82f20364f11c4ac6"/>
    <w:p>
      <w:pPr>
        <w:pStyle w:val="Heading2"/>
      </w:pPr>
      <w:r>
        <w:t xml:space="preserve">Table D2. Combined first-order material uncertainty summary</w:t>
      </w:r>
    </w:p>
    <w:p>
      <w:pPr>
        <w:pStyle w:val="TableCaption"/>
      </w:pPr>
      <w:r>
        <w:t xml:space="preserve">Table 4. Population-level material uncertainty propagation stratified by sex. CoV is the total coefficient of variation (ligament + cartilage + bone). Lig/Cart/Bone columns show each group’s fraction of total variance. Gap</w:t>
      </w:r>
      <w:r>
        <w:t xml:space="preserve"> </w:t>
      </w:r>
      <m:oMath>
        <m:r>
          <m:t>Z</m:t>
        </m:r>
      </m:oMath>
      <w:r>
        <w:t xml:space="preserve">-score measures robustness of each spectral gap to combined material noise (</w:t>
      </w:r>
      <m:oMath>
        <m:r>
          <m:t>Z</m:t>
        </m:r>
        <m:r>
          <m:rPr>
            <m:sty m:val="p"/>
          </m:rPr>
          <m:t>&gt;</m:t>
        </m:r>
        <m:r>
          <m:t>2</m:t>
        </m:r>
      </m:oMath>
      <w:r>
        <w:t xml:space="preserve">: 95 % confidence).</w:t>
      </w:r>
    </w:p>
    <w:tbl>
      <w:tblPr>
        <w:tblStyle w:val="Table"/>
        <w:tblW w:type="pct" w:w="0.0"/>
        <w:tblLook w:firstRow="0" w:lastRow="0" w:firstColumn="0" w:lastColumn="0" w:noHBand="0" w:noVBand="0" w:val="0000"/>
        <w:tblCaption w:val="Table 4. Population-level material uncertainty propagation stratified by sex. CoV is the total coefficient of variation (ligament + cartilage + bone). Lig/Cart/Bone columns show each group’s fraction of total variance. Gap Z-score measures robustness of each spectral gap to combined material noise (Z &gt; 2: 95 % confidence)."/>
      </w:tblPr>
      <w:tblGrid/>
      <w:tr>
        <w:tc>
          <w:p/>
        </w:tc>
        <w:tc>
          <w:p>
            <w:pPr>
              <w:pStyle w:val="Compact"/>
              <w:jc w:val="center"/>
            </w:pPr>
            <w:r>
              <w:t xml:space="preserve">Female (</w:t>
            </w:r>
            <m:oMath>
              <m:r>
                <m:t>N</m:t>
              </m:r>
              <m:r>
                <m:rPr>
                  <m:sty m:val="p"/>
                </m:rPr>
                <m:t>=</m:t>
              </m:r>
              <m:r>
                <m:t>150</m:t>
              </m:r>
            </m:oMath>
            <w:r>
              <w:t xml:space="preserve">)</w:t>
            </w:r>
          </w:p>
        </w:tc>
        <w:tc>
          <w:p/>
        </w:tc>
        <w:tc>
          <w:p/>
        </w:tc>
        <w:tc>
          <w:p/>
        </w:tc>
        <w:tc>
          <w:p>
            <w:pPr>
              <w:pStyle w:val="Compact"/>
              <w:jc w:val="center"/>
            </w:pPr>
            <w:r>
              <w:t xml:space="preserve">Male (</w:t>
            </w:r>
            <m:oMath>
              <m:r>
                <m:t>N</m:t>
              </m:r>
              <m:r>
                <m:rPr>
                  <m:sty m:val="p"/>
                </m:rPr>
                <m:t>=</m:t>
              </m:r>
              <m:r>
                <m:t>128</m:t>
              </m:r>
            </m:oMath>
            <w:r>
              <w:t xml:space="preserve">)</w:t>
            </w:r>
          </w:p>
        </w:tc>
        <w:tc>
          <w:p/>
        </w:tc>
        <w:tc>
          <w:p/>
        </w:tc>
        <w:tc>
          <w:p/>
        </w:tc>
      </w:tr>
      <w:tr>
        <w:tc>
          <w:p>
            <w:pPr>
              <w:pStyle w:val="Compact"/>
              <w:jc w:val="left"/>
            </w:pPr>
            <w:r>
              <w:t xml:space="preserve">(lr)</w:t>
            </w:r>
            <w:r>
              <w:t xml:space="preserve">2-5</w:t>
            </w:r>
            <w:r>
              <w:t xml:space="preserve"> </w:t>
            </w:r>
            <w:r>
              <w:t xml:space="preserve">(lr)</w:t>
            </w:r>
            <w:r>
              <w:t xml:space="preserve">6-9</w:t>
            </w:r>
            <w:r>
              <w:t xml:space="preserve"> </w:t>
            </w:r>
            <w:r>
              <w:t xml:space="preserve">Mode</w:t>
            </w:r>
          </w:p>
        </w:tc>
        <w:tc>
          <w:p>
            <w:pPr>
              <w:pStyle w:val="Compact"/>
              <w:jc w:val="center"/>
            </w:pPr>
            <w:r>
              <w:t xml:space="preserve">CoV</w:t>
            </w:r>
          </w:p>
        </w:tc>
        <w:tc>
          <w:p>
            <w:pPr>
              <w:pStyle w:val="Compact"/>
              <w:jc w:val="center"/>
            </w:pPr>
            <w:r>
              <w:t xml:space="preserve">Lig</w:t>
            </w:r>
          </w:p>
        </w:tc>
        <w:tc>
          <w:p>
            <w:pPr>
              <w:pStyle w:val="Compact"/>
              <w:jc w:val="center"/>
            </w:pPr>
            <w:r>
              <w:t xml:space="preserve">Cart</w:t>
            </w:r>
          </w:p>
        </w:tc>
        <w:tc>
          <w:p>
            <w:pPr>
              <w:pStyle w:val="Compact"/>
              <w:jc w:val="center"/>
            </w:pPr>
            <w:r>
              <w:t xml:space="preserve">Bone</w:t>
            </w:r>
          </w:p>
        </w:tc>
        <w:tc>
          <w:p>
            <w:pPr>
              <w:pStyle w:val="Compact"/>
              <w:jc w:val="center"/>
            </w:pPr>
            <w:r>
              <w:t xml:space="preserve">CoV</w:t>
            </w:r>
          </w:p>
        </w:tc>
        <w:tc>
          <w:p>
            <w:pPr>
              <w:pStyle w:val="Compact"/>
              <w:jc w:val="center"/>
            </w:pPr>
            <w:r>
              <w:t xml:space="preserve">Lig</w:t>
            </w:r>
          </w:p>
        </w:tc>
        <w:tc>
          <w:p>
            <w:pPr>
              <w:pStyle w:val="Compact"/>
              <w:jc w:val="center"/>
            </w:pPr>
            <w:r>
              <w:t xml:space="preserve">Cart</w:t>
            </w:r>
          </w:p>
        </w:tc>
        <w:tc>
          <w:p>
            <w:pPr>
              <w:pStyle w:val="Compact"/>
              <w:jc w:val="center"/>
            </w:pPr>
            <w:r>
              <w:t xml:space="preserve">Bone</w:t>
            </w:r>
          </w:p>
        </w:tc>
      </w:tr>
      <w:tr>
        <w:tc>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1</w:t>
            </w:r>
          </w:p>
        </w:tc>
        <w:tc>
          <w:p>
            <w:pPr>
              <w:pStyle w:val="Compact"/>
              <w:jc w:val="center"/>
            </w:pPr>
            <w:r>
              <w:t xml:space="preserve">46.0</w:t>
            </w:r>
          </w:p>
        </w:tc>
        <w:tc>
          <w:p>
            <w:pPr>
              <w:pStyle w:val="Compact"/>
              <w:jc w:val="center"/>
            </w:pPr>
            <w:r>
              <w:t xml:space="preserve">5</w:t>
            </w:r>
          </w:p>
        </w:tc>
        <w:tc>
          <w:p>
            <w:pPr>
              <w:pStyle w:val="Compact"/>
              <w:jc w:val="center"/>
            </w:pPr>
            <w:r>
              <w:t xml:space="preserve">94</w:t>
            </w:r>
          </w:p>
        </w:tc>
        <w:tc>
          <w:p>
            <w:pPr>
              <w:pStyle w:val="Compact"/>
              <w:jc w:val="center"/>
            </w:pPr>
            <w:r>
              <w:t xml:space="preserve">0</w:t>
            </w:r>
          </w:p>
        </w:tc>
        <w:tc>
          <w:p>
            <w:pPr>
              <w:pStyle w:val="Compact"/>
              <w:jc w:val="center"/>
            </w:pPr>
            <w:r>
              <w:t xml:space="preserve">46.5</w:t>
            </w:r>
          </w:p>
        </w:tc>
        <w:tc>
          <w:p>
            <w:pPr>
              <w:pStyle w:val="Compact"/>
              <w:jc w:val="center"/>
            </w:pPr>
            <w:r>
              <w:t xml:space="preserve">7</w:t>
            </w:r>
          </w:p>
        </w:tc>
        <w:tc>
          <w:p>
            <w:pPr>
              <w:pStyle w:val="Compact"/>
              <w:jc w:val="center"/>
            </w:pPr>
            <w:r>
              <w:t xml:space="preserve">93</w:t>
            </w:r>
          </w:p>
        </w:tc>
        <w:tc>
          <w:p>
            <w:pPr>
              <w:pStyle w:val="Compact"/>
              <w:jc w:val="center"/>
            </w:pPr>
            <w:r>
              <w:t xml:space="preserve">1</w:t>
            </w:r>
          </w:p>
        </w:tc>
      </w:tr>
      <w:tr>
        <w:tc>
          <w:p>
            <w:pPr>
              <w:pStyle w:val="Compact"/>
              <w:jc w:val="left"/>
            </w:pPr>
            <w:r>
              <w:t xml:space="preserve">2</w:t>
            </w:r>
          </w:p>
        </w:tc>
        <w:tc>
          <w:p>
            <w:pPr>
              <w:pStyle w:val="Compact"/>
              <w:jc w:val="center"/>
            </w:pPr>
            <w:r>
              <w:t xml:space="preserve">46.5</w:t>
            </w:r>
          </w:p>
        </w:tc>
        <w:tc>
          <w:p>
            <w:pPr>
              <w:pStyle w:val="Compact"/>
              <w:jc w:val="center"/>
            </w:pPr>
            <w:r>
              <w:t xml:space="preserve">4</w:t>
            </w:r>
          </w:p>
        </w:tc>
        <w:tc>
          <w:p>
            <w:pPr>
              <w:pStyle w:val="Compact"/>
              <w:jc w:val="center"/>
            </w:pPr>
            <w:r>
              <w:t xml:space="preserve">93</w:t>
            </w:r>
          </w:p>
        </w:tc>
        <w:tc>
          <w:p>
            <w:pPr>
              <w:pStyle w:val="Compact"/>
              <w:jc w:val="center"/>
            </w:pPr>
            <w:r>
              <w:t xml:space="preserve">2</w:t>
            </w:r>
          </w:p>
        </w:tc>
        <w:tc>
          <w:p>
            <w:pPr>
              <w:pStyle w:val="Compact"/>
              <w:jc w:val="center"/>
            </w:pPr>
            <w:r>
              <w:t xml:space="preserve">46.7</w:t>
            </w:r>
          </w:p>
        </w:tc>
        <w:tc>
          <w:p>
            <w:pPr>
              <w:pStyle w:val="Compact"/>
              <w:jc w:val="center"/>
            </w:pPr>
            <w:r>
              <w:t xml:space="preserve">5</w:t>
            </w:r>
          </w:p>
        </w:tc>
        <w:tc>
          <w:p>
            <w:pPr>
              <w:pStyle w:val="Compact"/>
              <w:jc w:val="center"/>
            </w:pPr>
            <w:r>
              <w:t xml:space="preserve">93</w:t>
            </w:r>
          </w:p>
        </w:tc>
        <w:tc>
          <w:p>
            <w:pPr>
              <w:pStyle w:val="Compact"/>
              <w:jc w:val="center"/>
            </w:pPr>
            <w:r>
              <w:t xml:space="preserve">2</w:t>
            </w:r>
          </w:p>
        </w:tc>
      </w:tr>
      <w:tr>
        <w:tc>
          <w:p>
            <w:pPr>
              <w:pStyle w:val="Compact"/>
              <w:jc w:val="left"/>
            </w:pPr>
            <w:r>
              <w:t xml:space="preserve">3</w:t>
            </w:r>
          </w:p>
        </w:tc>
        <w:tc>
          <w:p>
            <w:pPr>
              <w:pStyle w:val="Compact"/>
              <w:jc w:val="center"/>
            </w:pPr>
            <w:r>
              <w:t xml:space="preserve">42.5</w:t>
            </w:r>
          </w:p>
        </w:tc>
        <w:tc>
          <w:p>
            <w:pPr>
              <w:pStyle w:val="Compact"/>
              <w:jc w:val="center"/>
            </w:pPr>
            <w:r>
              <w:t xml:space="preserve">5</w:t>
            </w:r>
          </w:p>
        </w:tc>
        <w:tc>
          <w:p>
            <w:pPr>
              <w:pStyle w:val="Compact"/>
              <w:jc w:val="center"/>
            </w:pPr>
            <w:r>
              <w:t xml:space="preserve">94</w:t>
            </w:r>
          </w:p>
        </w:tc>
        <w:tc>
          <w:p>
            <w:pPr>
              <w:pStyle w:val="Compact"/>
              <w:jc w:val="center"/>
            </w:pPr>
            <w:r>
              <w:t xml:space="preserve">1</w:t>
            </w:r>
          </w:p>
        </w:tc>
        <w:tc>
          <w:p>
            <w:pPr>
              <w:pStyle w:val="Compact"/>
              <w:jc w:val="center"/>
            </w:pPr>
            <w:r>
              <w:t xml:space="preserve">43.3</w:t>
            </w:r>
          </w:p>
        </w:tc>
        <w:tc>
          <w:p>
            <w:pPr>
              <w:pStyle w:val="Compact"/>
              <w:jc w:val="center"/>
            </w:pPr>
            <w:r>
              <w:t xml:space="preserve">6</w:t>
            </w:r>
          </w:p>
        </w:tc>
        <w:tc>
          <w:p>
            <w:pPr>
              <w:pStyle w:val="Compact"/>
              <w:jc w:val="center"/>
            </w:pPr>
            <w:r>
              <w:t xml:space="preserve">93</w:t>
            </w:r>
          </w:p>
        </w:tc>
        <w:tc>
          <w:p>
            <w:pPr>
              <w:pStyle w:val="Compact"/>
              <w:jc w:val="center"/>
            </w:pPr>
            <w:r>
              <w:t xml:space="preserve">1</w:t>
            </w:r>
          </w:p>
        </w:tc>
      </w:tr>
      <w:tr>
        <w:tc>
          <w:p>
            <w:pPr>
              <w:pStyle w:val="Compact"/>
              <w:jc w:val="left"/>
            </w:pPr>
            <w:r>
              <w:t xml:space="preserve">4</w:t>
            </w:r>
          </w:p>
        </w:tc>
        <w:tc>
          <w:p>
            <w:pPr>
              <w:pStyle w:val="Compact"/>
              <w:jc w:val="center"/>
            </w:pPr>
            <w:r>
              <w:t xml:space="preserve">45.9</w:t>
            </w:r>
          </w:p>
        </w:tc>
        <w:tc>
          <w:p>
            <w:pPr>
              <w:pStyle w:val="Compact"/>
              <w:jc w:val="center"/>
            </w:pPr>
            <w:r>
              <w:t xml:space="preserve">5</w:t>
            </w:r>
          </w:p>
        </w:tc>
        <w:tc>
          <w:p>
            <w:pPr>
              <w:pStyle w:val="Compact"/>
              <w:jc w:val="center"/>
            </w:pPr>
            <w:r>
              <w:t xml:space="preserve">90</w:t>
            </w:r>
          </w:p>
        </w:tc>
        <w:tc>
          <w:p>
            <w:pPr>
              <w:pStyle w:val="Compact"/>
              <w:jc w:val="center"/>
            </w:pPr>
            <w:r>
              <w:t xml:space="preserve">4</w:t>
            </w:r>
          </w:p>
        </w:tc>
        <w:tc>
          <w:p>
            <w:pPr>
              <w:pStyle w:val="Compact"/>
              <w:jc w:val="center"/>
            </w:pPr>
            <w:r>
              <w:t xml:space="preserve">45.2</w:t>
            </w:r>
          </w:p>
        </w:tc>
        <w:tc>
          <w:p>
            <w:pPr>
              <w:pStyle w:val="Compact"/>
              <w:jc w:val="center"/>
            </w:pPr>
            <w:r>
              <w:t xml:space="preserve">7</w:t>
            </w:r>
          </w:p>
        </w:tc>
        <w:tc>
          <w:p>
            <w:pPr>
              <w:pStyle w:val="Compact"/>
              <w:jc w:val="center"/>
            </w:pPr>
            <w:r>
              <w:t xml:space="preserve">90</w:t>
            </w:r>
          </w:p>
        </w:tc>
        <w:tc>
          <w:p>
            <w:pPr>
              <w:pStyle w:val="Compact"/>
              <w:jc w:val="center"/>
            </w:pPr>
            <w:r>
              <w:t xml:space="preserve">2</w:t>
            </w:r>
          </w:p>
        </w:tc>
      </w:tr>
      <w:tr>
        <w:tc>
          <w:p>
            <w:pPr>
              <w:pStyle w:val="Compact"/>
              <w:jc w:val="left"/>
            </w:pPr>
            <w:r>
              <w:t xml:space="preserve">5</w:t>
            </w:r>
          </w:p>
        </w:tc>
        <w:tc>
          <w:p>
            <w:pPr>
              <w:pStyle w:val="Compact"/>
              <w:jc w:val="center"/>
            </w:pPr>
            <w:r>
              <w:t xml:space="preserve">44.7</w:t>
            </w:r>
          </w:p>
        </w:tc>
        <w:tc>
          <w:p>
            <w:pPr>
              <w:pStyle w:val="Compact"/>
              <w:jc w:val="center"/>
            </w:pPr>
            <w:r>
              <w:t xml:space="preserve">9</w:t>
            </w:r>
          </w:p>
        </w:tc>
        <w:tc>
          <w:p>
            <w:pPr>
              <w:pStyle w:val="Compact"/>
              <w:jc w:val="center"/>
            </w:pPr>
            <w:r>
              <w:t xml:space="preserve">88</w:t>
            </w:r>
          </w:p>
        </w:tc>
        <w:tc>
          <w:p>
            <w:pPr>
              <w:pStyle w:val="Compact"/>
              <w:jc w:val="center"/>
            </w:pPr>
            <w:r>
              <w:t xml:space="preserve">3</w:t>
            </w:r>
          </w:p>
        </w:tc>
        <w:tc>
          <w:p>
            <w:pPr>
              <w:pStyle w:val="Compact"/>
              <w:jc w:val="center"/>
            </w:pPr>
            <w:r>
              <w:t xml:space="preserve">44.6</w:t>
            </w:r>
          </w:p>
        </w:tc>
        <w:tc>
          <w:p>
            <w:pPr>
              <w:pStyle w:val="Compact"/>
              <w:jc w:val="center"/>
            </w:pPr>
            <w:r>
              <w:t xml:space="preserve">9</w:t>
            </w:r>
          </w:p>
        </w:tc>
        <w:tc>
          <w:p>
            <w:pPr>
              <w:pStyle w:val="Compact"/>
              <w:jc w:val="center"/>
            </w:pPr>
            <w:r>
              <w:t xml:space="preserve">89</w:t>
            </w:r>
          </w:p>
        </w:tc>
        <w:tc>
          <w:p>
            <w:pPr>
              <w:pStyle w:val="Compact"/>
              <w:jc w:val="center"/>
            </w:pPr>
            <w:r>
              <w:t xml:space="preserve">2</w:t>
            </w:r>
          </w:p>
        </w:tc>
      </w:tr>
      <w:tr>
        <w:tc>
          <w:p>
            <w:pPr>
              <w:pStyle w:val="Compact"/>
              <w:jc w:val="left"/>
            </w:pPr>
            <w:r>
              <w:t xml:space="preserve">6</w:t>
            </w:r>
          </w:p>
        </w:tc>
        <w:tc>
          <w:p>
            <w:pPr>
              <w:pStyle w:val="Compact"/>
              <w:jc w:val="center"/>
            </w:pPr>
            <w:r>
              <w:t xml:space="preserve">44.5</w:t>
            </w:r>
          </w:p>
        </w:tc>
        <w:tc>
          <w:p>
            <w:pPr>
              <w:pStyle w:val="Compact"/>
              <w:jc w:val="center"/>
            </w:pPr>
            <w:r>
              <w:t xml:space="preserve">9</w:t>
            </w:r>
          </w:p>
        </w:tc>
        <w:tc>
          <w:p>
            <w:pPr>
              <w:pStyle w:val="Compact"/>
              <w:jc w:val="center"/>
            </w:pPr>
            <w:r>
              <w:t xml:space="preserve">89</w:t>
            </w:r>
          </w:p>
        </w:tc>
        <w:tc>
          <w:p>
            <w:pPr>
              <w:pStyle w:val="Compact"/>
              <w:jc w:val="center"/>
            </w:pPr>
            <w:r>
              <w:t xml:space="preserve">2</w:t>
            </w:r>
          </w:p>
        </w:tc>
        <w:tc>
          <w:p>
            <w:pPr>
              <w:pStyle w:val="Compact"/>
              <w:jc w:val="center"/>
            </w:pPr>
            <w:r>
              <w:t xml:space="preserve">44.3</w:t>
            </w:r>
          </w:p>
        </w:tc>
        <w:tc>
          <w:p>
            <w:pPr>
              <w:pStyle w:val="Compact"/>
              <w:jc w:val="center"/>
            </w:pPr>
            <w:r>
              <w:t xml:space="preserve">10</w:t>
            </w:r>
          </w:p>
        </w:tc>
        <w:tc>
          <w:p>
            <w:pPr>
              <w:pStyle w:val="Compact"/>
              <w:jc w:val="center"/>
            </w:pPr>
            <w:r>
              <w:t xml:space="preserve">89</w:t>
            </w:r>
          </w:p>
        </w:tc>
        <w:tc>
          <w:p>
            <w:pPr>
              <w:pStyle w:val="Compact"/>
              <w:jc w:val="center"/>
            </w:pPr>
            <w:r>
              <w:t xml:space="preserve">1</w:t>
            </w:r>
          </w:p>
        </w:tc>
      </w:tr>
      <w:tr>
        <w:tc>
          <w:p>
            <w:pPr>
              <w:pStyle w:val="Compact"/>
              <w:jc w:val="left"/>
            </w:pPr>
            <w:r>
              <w:t xml:space="preserve">7</w:t>
            </w:r>
          </w:p>
        </w:tc>
        <w:tc>
          <w:p>
            <w:pPr>
              <w:pStyle w:val="Compact"/>
              <w:jc w:val="center"/>
            </w:pPr>
            <w:r>
              <w:t xml:space="preserve">45.9</w:t>
            </w:r>
          </w:p>
        </w:tc>
        <w:tc>
          <w:p>
            <w:pPr>
              <w:pStyle w:val="Compact"/>
              <w:jc w:val="center"/>
            </w:pPr>
            <w:r>
              <w:t xml:space="preserve">16</w:t>
            </w:r>
          </w:p>
        </w:tc>
        <w:tc>
          <w:p>
            <w:pPr>
              <w:pStyle w:val="Compact"/>
              <w:jc w:val="center"/>
            </w:pPr>
            <w:r>
              <w:t xml:space="preserve">83</w:t>
            </w:r>
          </w:p>
        </w:tc>
        <w:tc>
          <w:p>
            <w:pPr>
              <w:pStyle w:val="Compact"/>
              <w:jc w:val="center"/>
            </w:pPr>
            <w:r>
              <w:t xml:space="preserve">1</w:t>
            </w:r>
          </w:p>
        </w:tc>
        <w:tc>
          <w:p>
            <w:pPr>
              <w:pStyle w:val="Compact"/>
              <w:jc w:val="center"/>
            </w:pPr>
            <w:r>
              <w:t xml:space="preserve">45.5</w:t>
            </w:r>
          </w:p>
        </w:tc>
        <w:tc>
          <w:p>
            <w:pPr>
              <w:pStyle w:val="Compact"/>
              <w:jc w:val="center"/>
            </w:pPr>
            <w:r>
              <w:t xml:space="preserve">15</w:t>
            </w:r>
          </w:p>
        </w:tc>
        <w:tc>
          <w:p>
            <w:pPr>
              <w:pStyle w:val="Compact"/>
              <w:jc w:val="center"/>
            </w:pPr>
            <w:r>
              <w:t xml:space="preserve">84</w:t>
            </w:r>
          </w:p>
        </w:tc>
        <w:tc>
          <w:p>
            <w:pPr>
              <w:pStyle w:val="Compact"/>
              <w:jc w:val="center"/>
            </w:pPr>
            <w:r>
              <w:t xml:space="preserve">1</w:t>
            </w:r>
          </w:p>
        </w:tc>
      </w:tr>
      <w:tr>
        <w:tc>
          <w:p>
            <w:pPr>
              <w:pStyle w:val="Compact"/>
              <w:jc w:val="left"/>
            </w:pPr>
            <w:r>
              <w:t xml:space="preserve">8</w:t>
            </w:r>
          </w:p>
        </w:tc>
        <w:tc>
          <w:p>
            <w:pPr>
              <w:pStyle w:val="Compact"/>
              <w:jc w:val="center"/>
            </w:pPr>
            <w:r>
              <w:t xml:space="preserve">47.3</w:t>
            </w:r>
          </w:p>
        </w:tc>
        <w:tc>
          <w:p>
            <w:pPr>
              <w:pStyle w:val="Compact"/>
              <w:jc w:val="center"/>
            </w:pPr>
            <w:r>
              <w:t xml:space="preserve">7</w:t>
            </w:r>
          </w:p>
        </w:tc>
        <w:tc>
          <w:p>
            <w:pPr>
              <w:pStyle w:val="Compact"/>
              <w:jc w:val="center"/>
            </w:pPr>
            <w:r>
              <w:t xml:space="preserve">90</w:t>
            </w:r>
          </w:p>
        </w:tc>
        <w:tc>
          <w:p>
            <w:pPr>
              <w:pStyle w:val="Compact"/>
              <w:jc w:val="center"/>
            </w:pPr>
            <w:r>
              <w:t xml:space="preserve">3</w:t>
            </w:r>
          </w:p>
        </w:tc>
        <w:tc>
          <w:p>
            <w:pPr>
              <w:pStyle w:val="Compact"/>
              <w:jc w:val="center"/>
            </w:pPr>
            <w:r>
              <w:t xml:space="preserve">47.0</w:t>
            </w:r>
          </w:p>
        </w:tc>
        <w:tc>
          <w:p>
            <w:pPr>
              <w:pStyle w:val="Compact"/>
              <w:jc w:val="center"/>
            </w:pPr>
            <w:r>
              <w:t xml:space="preserve">6</w:t>
            </w:r>
          </w:p>
        </w:tc>
        <w:tc>
          <w:p>
            <w:pPr>
              <w:pStyle w:val="Compact"/>
              <w:jc w:val="center"/>
            </w:pPr>
            <w:r>
              <w:t xml:space="preserve">91</w:t>
            </w:r>
          </w:p>
        </w:tc>
        <w:tc>
          <w:p>
            <w:pPr>
              <w:pStyle w:val="Compact"/>
              <w:jc w:val="center"/>
            </w:pPr>
            <w:r>
              <w:t xml:space="preserve">3</w:t>
            </w:r>
          </w:p>
        </w:tc>
      </w:tr>
      <w:tr>
        <w:tc>
          <w:p>
            <w:pPr>
              <w:pStyle w:val="Compact"/>
              <w:jc w:val="left"/>
            </w:pPr>
            <w:r>
              <w:t xml:space="preserve">9</w:t>
            </w:r>
          </w:p>
        </w:tc>
        <w:tc>
          <w:p>
            <w:pPr>
              <w:pStyle w:val="Compact"/>
              <w:jc w:val="center"/>
            </w:pPr>
            <w:r>
              <w:t xml:space="preserve">45.5</w:t>
            </w:r>
          </w:p>
        </w:tc>
        <w:tc>
          <w:p>
            <w:pPr>
              <w:pStyle w:val="Compact"/>
              <w:jc w:val="center"/>
            </w:pPr>
            <w:r>
              <w:t xml:space="preserve">5</w:t>
            </w:r>
          </w:p>
        </w:tc>
        <w:tc>
          <w:p>
            <w:pPr>
              <w:pStyle w:val="Compact"/>
              <w:jc w:val="center"/>
            </w:pPr>
            <w:r>
              <w:t xml:space="preserve">88</w:t>
            </w:r>
          </w:p>
        </w:tc>
        <w:tc>
          <w:p>
            <w:pPr>
              <w:pStyle w:val="Compact"/>
              <w:jc w:val="center"/>
            </w:pPr>
            <w:r>
              <w:t xml:space="preserve">7</w:t>
            </w:r>
          </w:p>
        </w:tc>
        <w:tc>
          <w:p>
            <w:pPr>
              <w:pStyle w:val="Compact"/>
              <w:jc w:val="center"/>
            </w:pPr>
            <w:r>
              <w:t xml:space="preserve">44.7</w:t>
            </w:r>
          </w:p>
        </w:tc>
        <w:tc>
          <w:p>
            <w:pPr>
              <w:pStyle w:val="Compact"/>
              <w:jc w:val="center"/>
            </w:pPr>
            <w:r>
              <w:t xml:space="preserve">6</w:t>
            </w:r>
          </w:p>
        </w:tc>
        <w:tc>
          <w:p>
            <w:pPr>
              <w:pStyle w:val="Compact"/>
              <w:jc w:val="center"/>
            </w:pPr>
            <w:r>
              <w:t xml:space="preserve">89</w:t>
            </w:r>
          </w:p>
        </w:tc>
        <w:tc>
          <w:p>
            <w:pPr>
              <w:pStyle w:val="Compact"/>
              <w:jc w:val="center"/>
            </w:pPr>
            <w:r>
              <w:t xml:space="preserve">6</w:t>
            </w:r>
          </w:p>
        </w:tc>
      </w:tr>
      <w:tr>
        <w:tc>
          <w:p>
            <w:pPr>
              <w:pStyle w:val="Compact"/>
              <w:jc w:val="left"/>
            </w:pPr>
            <w:r>
              <w:t xml:space="preserve">10</w:t>
            </w:r>
          </w:p>
        </w:tc>
        <w:tc>
          <w:p>
            <w:pPr>
              <w:pStyle w:val="Compact"/>
              <w:jc w:val="center"/>
            </w:pPr>
            <w:r>
              <w:t xml:space="preserve">43.6</w:t>
            </w:r>
          </w:p>
        </w:tc>
        <w:tc>
          <w:p>
            <w:pPr>
              <w:pStyle w:val="Compact"/>
              <w:jc w:val="center"/>
            </w:pPr>
            <w:r>
              <w:t xml:space="preserve">2</w:t>
            </w:r>
          </w:p>
        </w:tc>
        <w:tc>
          <w:p>
            <w:pPr>
              <w:pStyle w:val="Compact"/>
              <w:jc w:val="center"/>
            </w:pPr>
            <w:r>
              <w:t xml:space="preserve">90</w:t>
            </w:r>
          </w:p>
        </w:tc>
        <w:tc>
          <w:p>
            <w:pPr>
              <w:pStyle w:val="Compact"/>
              <w:jc w:val="center"/>
            </w:pPr>
            <w:r>
              <w:t xml:space="preserve">8</w:t>
            </w:r>
          </w:p>
        </w:tc>
        <w:tc>
          <w:p>
            <w:pPr>
              <w:pStyle w:val="Compact"/>
              <w:jc w:val="center"/>
            </w:pPr>
            <w:r>
              <w:t xml:space="preserve">43.4</w:t>
            </w:r>
          </w:p>
        </w:tc>
        <w:tc>
          <w:p>
            <w:pPr>
              <w:pStyle w:val="Compact"/>
              <w:jc w:val="center"/>
            </w:pPr>
            <w:r>
              <w:t xml:space="preserve">3</w:t>
            </w:r>
          </w:p>
        </w:tc>
        <w:tc>
          <w:p>
            <w:pPr>
              <w:pStyle w:val="Compact"/>
              <w:jc w:val="center"/>
            </w:pPr>
            <w:r>
              <w:t xml:space="preserve">92</w:t>
            </w:r>
          </w:p>
        </w:tc>
        <w:tc>
          <w:p>
            <w:pPr>
              <w:pStyle w:val="Compact"/>
              <w:jc w:val="center"/>
            </w:pPr>
            <w:r>
              <w:t xml:space="preserve">5</w:t>
            </w:r>
          </w:p>
        </w:tc>
      </w:tr>
      <w:tr>
        <w:tc>
          <w:p>
            <w:pPr>
              <w:pStyle w:val="Compact"/>
              <w:jc w:val="left"/>
            </w:pPr>
            <w:r>
              <w:t xml:space="preserve">11</w:t>
            </w:r>
          </w:p>
        </w:tc>
        <w:tc>
          <w:p>
            <w:pPr>
              <w:pStyle w:val="Compact"/>
              <w:jc w:val="center"/>
            </w:pPr>
            <w:r>
              <w:t xml:space="preserve">44.5</w:t>
            </w:r>
          </w:p>
        </w:tc>
        <w:tc>
          <w:p>
            <w:pPr>
              <w:pStyle w:val="Compact"/>
              <w:jc w:val="center"/>
            </w:pPr>
            <w:r>
              <w:t xml:space="preserve">1</w:t>
            </w:r>
          </w:p>
        </w:tc>
        <w:tc>
          <w:p>
            <w:pPr>
              <w:pStyle w:val="Compact"/>
              <w:jc w:val="center"/>
            </w:pPr>
            <w:r>
              <w:t xml:space="preserve">87</w:t>
            </w:r>
          </w:p>
        </w:tc>
        <w:tc>
          <w:p>
            <w:pPr>
              <w:pStyle w:val="Compact"/>
              <w:jc w:val="center"/>
            </w:pPr>
            <w:r>
              <w:t xml:space="preserve">12</w:t>
            </w:r>
          </w:p>
        </w:tc>
        <w:tc>
          <w:p>
            <w:pPr>
              <w:pStyle w:val="Compact"/>
              <w:jc w:val="center"/>
            </w:pPr>
            <w:r>
              <w:t xml:space="preserve">43.7</w:t>
            </w:r>
          </w:p>
        </w:tc>
        <w:tc>
          <w:p>
            <w:pPr>
              <w:pStyle w:val="Compact"/>
              <w:jc w:val="center"/>
            </w:pPr>
            <w:r>
              <w:t xml:space="preserve">3</w:t>
            </w:r>
          </w:p>
        </w:tc>
        <w:tc>
          <w:p>
            <w:pPr>
              <w:pStyle w:val="Compact"/>
              <w:jc w:val="center"/>
            </w:pPr>
            <w:r>
              <w:t xml:space="preserve">89</w:t>
            </w:r>
          </w:p>
        </w:tc>
        <w:tc>
          <w:p>
            <w:pPr>
              <w:pStyle w:val="Compact"/>
              <w:jc w:val="center"/>
            </w:pPr>
            <w:r>
              <w:t xml:space="preserve">9</w:t>
            </w:r>
          </w:p>
        </w:tc>
      </w:tr>
      <w:tr>
        <w:tc>
          <w:p>
            <w:pPr>
              <w:pStyle w:val="Compact"/>
              <w:jc w:val="left"/>
            </w:pPr>
            <w:r>
              <w:t xml:space="preserve">12</w:t>
            </w:r>
          </w:p>
        </w:tc>
        <w:tc>
          <w:p>
            <w:pPr>
              <w:pStyle w:val="Compact"/>
              <w:jc w:val="center"/>
            </w:pPr>
            <w:r>
              <w:t xml:space="preserve">44.9</w:t>
            </w:r>
          </w:p>
        </w:tc>
        <w:tc>
          <w:p>
            <w:pPr>
              <w:pStyle w:val="Compact"/>
              <w:jc w:val="center"/>
            </w:pPr>
            <w:r>
              <w:t xml:space="preserve">1</w:t>
            </w:r>
          </w:p>
        </w:tc>
        <w:tc>
          <w:p>
            <w:pPr>
              <w:pStyle w:val="Compact"/>
              <w:jc w:val="center"/>
            </w:pPr>
            <w:r>
              <w:t xml:space="preserve">87</w:t>
            </w:r>
          </w:p>
        </w:tc>
        <w:tc>
          <w:p>
            <w:pPr>
              <w:pStyle w:val="Compact"/>
              <w:jc w:val="center"/>
            </w:pPr>
            <w:r>
              <w:t xml:space="preserve">12</w:t>
            </w:r>
          </w:p>
        </w:tc>
        <w:tc>
          <w:p>
            <w:pPr>
              <w:pStyle w:val="Compact"/>
              <w:jc w:val="center"/>
            </w:pPr>
            <w:r>
              <w:t xml:space="preserve">44.9</w:t>
            </w:r>
          </w:p>
        </w:tc>
        <w:tc>
          <w:p>
            <w:pPr>
              <w:pStyle w:val="Compact"/>
              <w:jc w:val="center"/>
            </w:pPr>
            <w:r>
              <w:t xml:space="preserve">1</w:t>
            </w:r>
          </w:p>
        </w:tc>
        <w:tc>
          <w:p>
            <w:pPr>
              <w:pStyle w:val="Compact"/>
              <w:jc w:val="center"/>
            </w:pPr>
            <w:r>
              <w:t xml:space="preserve">86</w:t>
            </w:r>
          </w:p>
        </w:tc>
        <w:tc>
          <w:p>
            <w:pPr>
              <w:pStyle w:val="Compact"/>
              <w:jc w:val="center"/>
            </w:pPr>
            <w:r>
              <w:t xml:space="preserve">13</w:t>
            </w:r>
          </w:p>
        </w:tc>
      </w:tr>
      <w:tr>
        <w:tc>
          <w:p>
            <w:pPr>
              <w:pStyle w:val="Compact"/>
              <w:jc w:val="left"/>
            </w:pPr>
            <w:r>
              <w:t xml:space="preserve">13</w:t>
            </w:r>
          </w:p>
        </w:tc>
        <w:tc>
          <w:p>
            <w:pPr>
              <w:pStyle w:val="Compact"/>
              <w:jc w:val="center"/>
            </w:pPr>
            <w:r>
              <w:t xml:space="preserve">47.2</w:t>
            </w:r>
          </w:p>
        </w:tc>
        <w:tc>
          <w:p>
            <w:pPr>
              <w:pStyle w:val="Compact"/>
              <w:jc w:val="center"/>
            </w:pPr>
            <w:r>
              <w:t xml:space="preserve">1</w:t>
            </w:r>
          </w:p>
        </w:tc>
        <w:tc>
          <w:p>
            <w:pPr>
              <w:pStyle w:val="Compact"/>
              <w:jc w:val="center"/>
            </w:pPr>
            <w:r>
              <w:t xml:space="preserve">81</w:t>
            </w:r>
          </w:p>
        </w:tc>
        <w:tc>
          <w:p>
            <w:pPr>
              <w:pStyle w:val="Compact"/>
              <w:jc w:val="center"/>
            </w:pPr>
            <w:r>
              <w:t xml:space="preserve">18</w:t>
            </w:r>
          </w:p>
        </w:tc>
        <w:tc>
          <w:p>
            <w:pPr>
              <w:pStyle w:val="Compact"/>
              <w:jc w:val="center"/>
            </w:pPr>
            <w:r>
              <w:t xml:space="preserve">46.1</w:t>
            </w:r>
          </w:p>
        </w:tc>
        <w:tc>
          <w:p>
            <w:pPr>
              <w:pStyle w:val="Compact"/>
              <w:jc w:val="center"/>
            </w:pPr>
            <w:r>
              <w:t xml:space="preserve">2</w:t>
            </w:r>
          </w:p>
        </w:tc>
        <w:tc>
          <w:p>
            <w:pPr>
              <w:pStyle w:val="Compact"/>
              <w:jc w:val="center"/>
            </w:pPr>
            <w:r>
              <w:t xml:space="preserve">83</w:t>
            </w:r>
          </w:p>
        </w:tc>
        <w:tc>
          <w:p>
            <w:pPr>
              <w:pStyle w:val="Compact"/>
              <w:jc w:val="center"/>
            </w:pPr>
            <w:r>
              <w:t xml:space="preserve">15</w:t>
            </w:r>
          </w:p>
        </w:tc>
      </w:tr>
      <w:tr>
        <w:tc>
          <w:p>
            <w:pPr>
              <w:pStyle w:val="Compact"/>
              <w:jc w:val="left"/>
            </w:pPr>
            <w:r>
              <w:t xml:space="preserve">14</w:t>
            </w:r>
          </w:p>
        </w:tc>
        <w:tc>
          <w:p>
            <w:pPr>
              <w:pStyle w:val="Compact"/>
              <w:jc w:val="center"/>
            </w:pPr>
            <w:r>
              <w:t xml:space="preserve">45.6</w:t>
            </w:r>
          </w:p>
        </w:tc>
        <w:tc>
          <w:p>
            <w:pPr>
              <w:pStyle w:val="Compact"/>
              <w:jc w:val="center"/>
            </w:pPr>
            <w:r>
              <w:t xml:space="preserve">1</w:t>
            </w:r>
          </w:p>
        </w:tc>
        <w:tc>
          <w:p>
            <w:pPr>
              <w:pStyle w:val="Compact"/>
              <w:jc w:val="center"/>
            </w:pPr>
            <w:r>
              <w:t xml:space="preserve">84</w:t>
            </w:r>
          </w:p>
        </w:tc>
        <w:tc>
          <w:p>
            <w:pPr>
              <w:pStyle w:val="Compact"/>
              <w:jc w:val="center"/>
            </w:pPr>
            <w:r>
              <w:t xml:space="preserve">15</w:t>
            </w:r>
          </w:p>
        </w:tc>
        <w:tc>
          <w:p>
            <w:pPr>
              <w:pStyle w:val="Compact"/>
              <w:jc w:val="center"/>
            </w:pPr>
            <w:r>
              <w:t xml:space="preserve">45.0</w:t>
            </w:r>
          </w:p>
        </w:tc>
        <w:tc>
          <w:p>
            <w:pPr>
              <w:pStyle w:val="Compact"/>
              <w:jc w:val="center"/>
            </w:pPr>
            <w:r>
              <w:t xml:space="preserve">1</w:t>
            </w:r>
          </w:p>
        </w:tc>
        <w:tc>
          <w:p>
            <w:pPr>
              <w:pStyle w:val="Compact"/>
              <w:jc w:val="center"/>
            </w:pPr>
            <w:r>
              <w:t xml:space="preserve">85</w:t>
            </w:r>
          </w:p>
        </w:tc>
        <w:tc>
          <w:p>
            <w:pPr>
              <w:pStyle w:val="Compact"/>
              <w:jc w:val="center"/>
            </w:pPr>
            <w:r>
              <w:t xml:space="preserve">13</w:t>
            </w:r>
          </w:p>
        </w:tc>
      </w:tr>
      <w:tr>
        <w:tc>
          <w:p>
            <w:pPr>
              <w:pStyle w:val="Compact"/>
              <w:jc w:val="left"/>
            </w:pPr>
            <w:r>
              <w:t xml:space="preserve">15</w:t>
            </w:r>
          </w:p>
        </w:tc>
        <w:tc>
          <w:p>
            <w:pPr>
              <w:pStyle w:val="Compact"/>
              <w:jc w:val="center"/>
            </w:pPr>
            <w:r>
              <w:t xml:space="preserve">45.7</w:t>
            </w:r>
          </w:p>
        </w:tc>
        <w:tc>
          <w:p>
            <w:pPr>
              <w:pStyle w:val="Compact"/>
              <w:jc w:val="center"/>
            </w:pPr>
            <w:r>
              <w:t xml:space="preserve">3</w:t>
            </w:r>
          </w:p>
        </w:tc>
        <w:tc>
          <w:p>
            <w:pPr>
              <w:pStyle w:val="Compact"/>
              <w:jc w:val="center"/>
            </w:pPr>
            <w:r>
              <w:t xml:space="preserve">90</w:t>
            </w:r>
          </w:p>
        </w:tc>
        <w:tc>
          <w:p>
            <w:pPr>
              <w:pStyle w:val="Compact"/>
              <w:jc w:val="center"/>
            </w:pPr>
            <w:r>
              <w:t xml:space="preserve">7</w:t>
            </w:r>
          </w:p>
        </w:tc>
        <w:tc>
          <w:p>
            <w:pPr>
              <w:pStyle w:val="Compact"/>
              <w:jc w:val="center"/>
            </w:pPr>
            <w:r>
              <w:t xml:space="preserve">45.8</w:t>
            </w:r>
          </w:p>
        </w:tc>
        <w:tc>
          <w:p>
            <w:pPr>
              <w:pStyle w:val="Compact"/>
              <w:jc w:val="center"/>
            </w:pPr>
            <w:r>
              <w:t xml:space="preserve">5</w:t>
            </w:r>
          </w:p>
        </w:tc>
        <w:tc>
          <w:p>
            <w:pPr>
              <w:pStyle w:val="Compact"/>
              <w:jc w:val="center"/>
            </w:pPr>
            <w:r>
              <w:t xml:space="preserve">89</w:t>
            </w:r>
          </w:p>
        </w:tc>
        <w:tc>
          <w:p>
            <w:pPr>
              <w:pStyle w:val="Compact"/>
              <w:jc w:val="center"/>
            </w:pPr>
            <w:r>
              <w:t xml:space="preserve">6</w:t>
            </w:r>
          </w:p>
        </w:tc>
      </w:tr>
    </w:tbl>
    <w:bookmarkEnd w:id="83"/>
    <w:bookmarkEnd w:id="84"/>
    <w:bookmarkStart w:id="85" w:name="references"/>
    <w:p>
      <w:pPr>
        <w:pStyle w:val="Heading1"/>
      </w:pPr>
      <w:r>
        <w:t xml:space="preserve">References</w:t>
      </w:r>
    </w:p>
    <w:p>
      <w:pPr>
        <w:pStyle w:val="FirstParagraph"/>
      </w:pPr>
      <w:r>
        <w:t xml:space="preserve">42</w:t>
      </w:r>
      <w:r>
        <w:t xml:space="preserve"> </w:t>
      </w:r>
      <w:r>
        <w:t xml:space="preserve">urlstyle</w:t>
      </w:r>
    </w:p>
    <w:p>
      <w:pPr>
        <w:pStyle w:val="BodyText"/>
      </w:pPr>
      <w:r>
        <w:t xml:space="preserve">Sherwood L. Washburn.</w:t>
      </w:r>
      <w:r>
        <w:t xml:space="preserve"> </w:t>
      </w:r>
      <w:r>
        <w:t xml:space="preserve">Tools and human evolution.</w:t>
      </w:r>
      <w:r>
        <w:t xml:space="preserve"> </w:t>
      </w:r>
      <w:r>
        <w:rPr>
          <w:iCs/>
          <w:i/>
        </w:rPr>
        <w:t xml:space="preserve">Scientific American</w:t>
      </w:r>
      <w:r>
        <w:t xml:space="preserve">, 203 (3): 62–75, 1960.</w:t>
      </w:r>
      <w:r>
        <w:t xml:space="preserve"> </w:t>
      </w:r>
      <w:r>
        <w:t xml:space="preserve">doi: 10.1038/scientificamerican0960-62.</w:t>
      </w:r>
    </w:p>
    <w:p>
      <w:pPr>
        <w:pStyle w:val="BodyText"/>
      </w:pPr>
      <w:r>
        <w:t xml:space="preserve">L. T. Gruss and D. Schmitt.</w:t>
      </w:r>
      <w:r>
        <w:t xml:space="preserve"> </w:t>
      </w:r>
      <w:r>
        <w:t xml:space="preserve">The evolution of the human pelvis: changing adaptations to</w:t>
      </w:r>
      <w:r>
        <w:t xml:space="preserve"> </w:t>
      </w:r>
      <w:r>
        <w:t xml:space="preserve">bipedalism, obstetrics and thermoregulation.</w:t>
      </w:r>
      <w:r>
        <w:t xml:space="preserve"> </w:t>
      </w:r>
      <w:r>
        <w:rPr>
          <w:iCs/>
          <w:i/>
        </w:rPr>
        <w:t xml:space="preserve">Philosophical Transactions of the Royal Society B: Biological</w:t>
      </w:r>
      <w:r>
        <w:rPr>
          <w:iCs/>
          <w:i/>
        </w:rPr>
        <w:t xml:space="preserve"> </w:t>
      </w:r>
      <w:r>
        <w:rPr>
          <w:iCs/>
          <w:i/>
        </w:rPr>
        <w:t xml:space="preserve">Sciences</w:t>
      </w:r>
      <w:r>
        <w:t xml:space="preserve">, 370 (1663): 20140063, 2015.</w:t>
      </w:r>
      <w:r>
        <w:t xml:space="preserve"> </w:t>
      </w:r>
      <w:r>
        <w:t xml:space="preserve">doi: 10.1098/rstb.2014.0063.</w:t>
      </w:r>
    </w:p>
    <w:p>
      <w:pPr>
        <w:pStyle w:val="BodyText"/>
      </w:pPr>
      <w:r>
        <w:t xml:space="preserve">Petr Henyš and Michal Kuchař.</w:t>
      </w:r>
      <w:r>
        <w:t xml:space="preserve"> </w:t>
      </w:r>
      <w:r>
        <w:t xml:space="preserve">Bonedat, a database of standardized bone morphology for in silico</w:t>
      </w:r>
      <w:r>
        <w:t xml:space="preserve"> </w:t>
      </w:r>
      <w:r>
        <w:t xml:space="preserve">analyses.</w:t>
      </w:r>
      <w:r>
        <w:t xml:space="preserve"> </w:t>
      </w:r>
      <w:r>
        <w:rPr>
          <w:iCs/>
          <w:i/>
        </w:rPr>
        <w:t xml:space="preserve">Scientific Data</w:t>
      </w:r>
      <w:r>
        <w:t xml:space="preserve">, 12 (1), 2025.</w:t>
      </w:r>
      <w:r>
        <w:t xml:space="preserve"> </w:t>
      </w:r>
      <w:r>
        <w:t xml:space="preserve">doi: 10.1038/s41597-025-05161-y.</w:t>
      </w:r>
    </w:p>
    <w:p>
      <w:pPr>
        <w:pStyle w:val="BodyText"/>
      </w:pPr>
      <w:r>
        <w:t xml:space="preserve">Philipp Kriechling, Laura Leoty, and Philipp F</w:t>
      </w:r>
      <w:r>
        <w:t xml:space="preserve">ü</w:t>
      </w:r>
      <w:r>
        <w:t xml:space="preserve">rnstahl.</w:t>
      </w:r>
      <w:r>
        <w:t xml:space="preserve"> </w:t>
      </w:r>
      <w:r>
        <w:t xml:space="preserve">A statistical shape model-based analysis of periacetabular</w:t>
      </w:r>
      <w:r>
        <w:t xml:space="preserve"> </w:t>
      </w:r>
      <w:r>
        <w:t xml:space="preserve">osteotomies.</w:t>
      </w:r>
      <w:r>
        <w:t xml:space="preserve"> </w:t>
      </w:r>
      <w:r>
        <w:rPr>
          <w:iCs/>
          <w:i/>
        </w:rPr>
        <w:t xml:space="preserve">The Journal of Bone and Joint Surgery</w:t>
      </w:r>
      <w:r>
        <w:t xml:space="preserve">, 104</w:t>
      </w:r>
      <w:r>
        <w:t xml:space="preserve"> </w:t>
      </w:r>
      <w:r>
        <w:t xml:space="preserve">(12): 1107–1115, 2022.</w:t>
      </w:r>
      <w:r>
        <w:t xml:space="preserve"> </w:t>
      </w:r>
      <w:r>
        <w:t xml:space="preserve">doi: 10.2106/JBJS.21.00454.</w:t>
      </w:r>
    </w:p>
    <w:p>
      <w:pPr>
        <w:pStyle w:val="BodyText"/>
      </w:pPr>
      <w:r>
        <w:t xml:space="preserve">Hiroaki Kitano.</w:t>
      </w:r>
      <w:r>
        <w:t xml:space="preserve"> </w:t>
      </w:r>
      <w:r>
        <w:t xml:space="preserve">Biological robustness.</w:t>
      </w:r>
      <w:r>
        <w:t xml:space="preserve"> </w:t>
      </w:r>
      <w:r>
        <w:rPr>
          <w:iCs/>
          <w:i/>
        </w:rPr>
        <w:t xml:space="preserve">Nature Reviews Genetics</w:t>
      </w:r>
      <w:r>
        <w:t xml:space="preserve">, 5 (11): 826–837,</w:t>
      </w:r>
      <w:r>
        <w:t xml:space="preserve"> </w:t>
      </w:r>
      <w:r>
        <w:t xml:space="preserve">2004.</w:t>
      </w:r>
      <w:r>
        <w:t xml:space="preserve"> </w:t>
      </w:r>
      <w:r>
        <w:t xml:space="preserve">doi: 10.1038/nrg1471.</w:t>
      </w:r>
    </w:p>
    <w:p>
      <w:pPr>
        <w:pStyle w:val="BodyText"/>
      </w:pPr>
      <w:r>
        <w:t xml:space="preserve">Hiroaki Kitano.</w:t>
      </w:r>
      <w:r>
        <w:t xml:space="preserve"> </w:t>
      </w:r>
      <w:r>
        <w:t xml:space="preserve">Towards a theory of biological robustness.</w:t>
      </w:r>
      <w:r>
        <w:t xml:space="preserve"> </w:t>
      </w:r>
      <w:r>
        <w:rPr>
          <w:iCs/>
          <w:i/>
        </w:rPr>
        <w:t xml:space="preserve">Molecular Systems Biology</w:t>
      </w:r>
      <w:r>
        <w:t xml:space="preserve">, 3 (1), 2007.</w:t>
      </w:r>
      <w:r>
        <w:t xml:space="preserve"> </w:t>
      </w:r>
      <w:r>
        <w:t xml:space="preserve">doi: 10.1038/msb4100179.</w:t>
      </w:r>
    </w:p>
    <w:p>
      <w:pPr>
        <w:pStyle w:val="BodyText"/>
      </w:pPr>
      <w:r>
        <w:t xml:space="preserve">Mustafa Khammash.</w:t>
      </w:r>
      <w:r>
        <w:t xml:space="preserve"> </w:t>
      </w:r>
      <w:r>
        <w:t xml:space="preserve">An engineering viewpoint on biological robustness.</w:t>
      </w:r>
      <w:r>
        <w:t xml:space="preserve"> </w:t>
      </w:r>
      <w:r>
        <w:rPr>
          <w:iCs/>
          <w:i/>
        </w:rPr>
        <w:t xml:space="preserve">BMC Biology</w:t>
      </w:r>
      <w:r>
        <w:t xml:space="preserve">, 14 (1), 2016.</w:t>
      </w:r>
      <w:r>
        <w:t xml:space="preserve"> </w:t>
      </w:r>
      <w:r>
        <w:t xml:space="preserve">doi: 10.1186/s12915-016-0241-x.</w:t>
      </w:r>
    </w:p>
    <w:p>
      <w:pPr>
        <w:pStyle w:val="BodyText"/>
      </w:pPr>
      <w:r>
        <w:t xml:space="preserve">James M. Whitacre.</w:t>
      </w:r>
      <w:r>
        <w:t xml:space="preserve"> </w:t>
      </w:r>
      <w:r>
        <w:t xml:space="preserve">Degeneracy: a link between evolvability, robustness and complexity in</w:t>
      </w:r>
      <w:r>
        <w:t xml:space="preserve"> </w:t>
      </w:r>
      <w:r>
        <w:t xml:space="preserve">biological systems.</w:t>
      </w:r>
      <w:r>
        <w:t xml:space="preserve"> </w:t>
      </w:r>
      <w:r>
        <w:rPr>
          <w:iCs/>
          <w:i/>
        </w:rPr>
        <w:t xml:space="preserve">Theoretical Biology and Medical Modelling</w:t>
      </w:r>
      <w:r>
        <w:t xml:space="preserve">, 7 (1),</w:t>
      </w:r>
      <w:r>
        <w:t xml:space="preserve"> </w:t>
      </w:r>
      <w:r>
        <w:t xml:space="preserve">2010.</w:t>
      </w:r>
      <w:r>
        <w:t xml:space="preserve"> </w:t>
      </w:r>
      <w:r>
        <w:t xml:space="preserve">doi: 10.1186/1742-4682-7-6.</w:t>
      </w:r>
    </w:p>
    <w:p>
      <w:pPr>
        <w:pStyle w:val="BodyText"/>
      </w:pPr>
      <w:r>
        <w:t xml:space="preserve">James M. Whitacre.</w:t>
      </w:r>
      <w:r>
        <w:t xml:space="preserve"> </w:t>
      </w:r>
      <w:r>
        <w:t xml:space="preserve">Biological robustness: Paradigms, mechanisms, and systems principles.</w:t>
      </w:r>
      <w:r>
        <w:t xml:space="preserve"> </w:t>
      </w:r>
      <w:r>
        <w:rPr>
          <w:iCs/>
          <w:i/>
        </w:rPr>
        <w:t xml:space="preserve">Frontiers in Genetics</w:t>
      </w:r>
      <w:r>
        <w:t xml:space="preserve">, 3, 2012.</w:t>
      </w:r>
      <w:r>
        <w:t xml:space="preserve"> </w:t>
      </w:r>
      <w:r>
        <w:t xml:space="preserve">doi: 10.3389/fgene.2012.00067.</w:t>
      </w:r>
    </w:p>
    <w:p>
      <w:pPr>
        <w:pStyle w:val="BodyText"/>
      </w:pPr>
      <w:r>
        <w:t xml:space="preserve">Lena H. Ting and Jane M. Macpherson.</w:t>
      </w:r>
      <w:r>
        <w:t xml:space="preserve"> </w:t>
      </w:r>
      <w:r>
        <w:t xml:space="preserve">A limited set of muscle synergies for force control during a postural</w:t>
      </w:r>
      <w:r>
        <w:t xml:space="preserve"> </w:t>
      </w:r>
      <w:r>
        <w:t xml:space="preserve">task.</w:t>
      </w:r>
      <w:r>
        <w:t xml:space="preserve"> </w:t>
      </w:r>
      <w:r>
        <w:rPr>
          <w:iCs/>
          <w:i/>
        </w:rPr>
        <w:t xml:space="preserve">Journal of Neurophysiology</w:t>
      </w:r>
      <w:r>
        <w:t xml:space="preserve">, 93 (1):</w:t>
      </w:r>
      <w:r>
        <w:t xml:space="preserve"> </w:t>
      </w:r>
      <w:r>
        <w:t xml:space="preserve">609–613, 2005.</w:t>
      </w:r>
      <w:r>
        <w:t xml:space="preserve"> </w:t>
      </w:r>
      <w:r>
        <w:t xml:space="preserve">doi: 10.1152/jn.00681.2004.</w:t>
      </w:r>
    </w:p>
    <w:p>
      <w:pPr>
        <w:pStyle w:val="BodyText"/>
      </w:pPr>
      <w:r>
        <w:t xml:space="preserve">Christophe Pierre.</w:t>
      </w:r>
      <w:r>
        <w:t xml:space="preserve"> </w:t>
      </w:r>
      <w:r>
        <w:t xml:space="preserve">Mode localization and eigenvalue loci veering phenomena in disordered</w:t>
      </w:r>
      <w:r>
        <w:t xml:space="preserve"> </w:t>
      </w:r>
      <w:r>
        <w:t xml:space="preserve">structures.</w:t>
      </w:r>
      <w:r>
        <w:t xml:space="preserve"> </w:t>
      </w:r>
      <w:r>
        <w:rPr>
          <w:iCs/>
          <w:i/>
        </w:rPr>
        <w:t xml:space="preserve">Journal of Sound and Vibration</w:t>
      </w:r>
      <w:r>
        <w:t xml:space="preserve">, 126 (3):</w:t>
      </w:r>
      <w:r>
        <w:t xml:space="preserve"> </w:t>
      </w:r>
      <w:r>
        <w:t xml:space="preserve">485–502, 1988.</w:t>
      </w:r>
      <w:r>
        <w:t xml:space="preserve"> </w:t>
      </w:r>
      <w:r>
        <w:t xml:space="preserve">doi: 10.1016/0022-460X(88)90226-X.</w:t>
      </w:r>
    </w:p>
    <w:p>
      <w:pPr>
        <w:pStyle w:val="BodyText"/>
      </w:pPr>
      <w:r>
        <w:t xml:space="preserve">Elisabetta Manconi and B. R. Mace.</w:t>
      </w:r>
      <w:r>
        <w:t xml:space="preserve"> </w:t>
      </w:r>
      <w:r>
        <w:t xml:space="preserve">Veering and strong coupling effects in structural dynamics.</w:t>
      </w:r>
      <w:r>
        <w:t xml:space="preserve"> </w:t>
      </w:r>
      <w:r>
        <w:rPr>
          <w:iCs/>
          <w:i/>
        </w:rPr>
        <w:t xml:space="preserve">Journal of Vibration and Acoustics</w:t>
      </w:r>
      <w:r>
        <w:t xml:space="preserve">, 139 (2), 2017.</w:t>
      </w:r>
      <w:r>
        <w:t xml:space="preserve"> </w:t>
      </w:r>
      <w:r>
        <w:t xml:space="preserve">doi: 10.1115/1.4035109.</w:t>
      </w:r>
    </w:p>
    <w:p>
      <w:pPr>
        <w:pStyle w:val="BodyText"/>
      </w:pPr>
      <w:r>
        <w:t xml:space="preserve">Debraj Ghosh and Roger Ghanem.</w:t>
      </w:r>
      <w:r>
        <w:t xml:space="preserve"> </w:t>
      </w:r>
      <w:r>
        <w:t xml:space="preserve">An invariant subspace-based approach to the random eigenvalue problem</w:t>
      </w:r>
      <w:r>
        <w:t xml:space="preserve"> </w:t>
      </w:r>
      <w:r>
        <w:t xml:space="preserve">of systems with clustered spectrum.</w:t>
      </w:r>
      <w:r>
        <w:t xml:space="preserve"> </w:t>
      </w:r>
      <w:r>
        <w:rPr>
          <w:iCs/>
          <w:i/>
        </w:rPr>
        <w:t xml:space="preserve">International Journal for Numerical Methods in Engineering</w:t>
      </w:r>
      <w:r>
        <w:t xml:space="preserve">,</w:t>
      </w:r>
      <w:r>
        <w:t xml:space="preserve"> </w:t>
      </w:r>
      <w:r>
        <w:t xml:space="preserve">91 (4): 378–396, 2012.</w:t>
      </w:r>
      <w:r>
        <w:t xml:space="preserve"> </w:t>
      </w:r>
      <w:r>
        <w:t xml:space="preserve">doi: 10.1002/nme.4276.</w:t>
      </w:r>
    </w:p>
    <w:p>
      <w:pPr>
        <w:pStyle w:val="BodyText"/>
      </w:pPr>
      <w:r>
        <w:t xml:space="preserve">Mahmoud I. Hussein, Michael J. Leamy, and Massimo Ruzzene.</w:t>
      </w:r>
      <w:r>
        <w:t xml:space="preserve"> </w:t>
      </w:r>
      <w:r>
        <w:t xml:space="preserve">Dynamics of phononic materials and structures: Historical origins,</w:t>
      </w:r>
      <w:r>
        <w:t xml:space="preserve"> </w:t>
      </w:r>
      <w:r>
        <w:t xml:space="preserve">recent progress, and future outlook.</w:t>
      </w:r>
      <w:r>
        <w:t xml:space="preserve"> </w:t>
      </w:r>
      <w:r>
        <w:rPr>
          <w:iCs/>
          <w:i/>
        </w:rPr>
        <w:t xml:space="preserve">Applied Mechanics Reviews</w:t>
      </w:r>
      <w:r>
        <w:t xml:space="preserve">, 66 (4): 040802,</w:t>
      </w:r>
      <w:r>
        <w:t xml:space="preserve"> </w:t>
      </w:r>
      <w:r>
        <w:t xml:space="preserve">2014.</w:t>
      </w:r>
      <w:r>
        <w:t xml:space="preserve"> </w:t>
      </w:r>
      <w:r>
        <w:t xml:space="preserve">doi: 10.1115/1.4026911.</w:t>
      </w:r>
    </w:p>
    <w:p>
      <w:pPr>
        <w:pStyle w:val="BodyText"/>
      </w:pPr>
      <w:r>
        <w:t xml:space="preserve">Steven A. Cummer, Johan Christensen, and Andrea Al</w:t>
      </w:r>
      <w:r>
        <w:t xml:space="preserve">ù</w:t>
      </w:r>
      <w:r>
        <w:t xml:space="preserve">.</w:t>
      </w:r>
      <w:r>
        <w:t xml:space="preserve"> </w:t>
      </w:r>
      <w:r>
        <w:t xml:space="preserve">Controlling sound with acoustic metamaterials.</w:t>
      </w:r>
      <w:r>
        <w:t xml:space="preserve"> </w:t>
      </w:r>
      <w:r>
        <w:rPr>
          <w:iCs/>
          <w:i/>
        </w:rPr>
        <w:t xml:space="preserve">Nature Reviews Materials</w:t>
      </w:r>
      <w:r>
        <w:t xml:space="preserve">, 1 (3): 16001,</w:t>
      </w:r>
      <w:r>
        <w:t xml:space="preserve"> </w:t>
      </w:r>
      <w:r>
        <w:t xml:space="preserve">2016.</w:t>
      </w:r>
      <w:r>
        <w:t xml:space="preserve"> </w:t>
      </w:r>
      <w:r>
        <w:t xml:space="preserve">doi: 10.1038/natrevmats.2016.1.</w:t>
      </w:r>
    </w:p>
    <w:p>
      <w:pPr>
        <w:pStyle w:val="BodyText"/>
      </w:pPr>
      <w:r>
        <w:t xml:space="preserve">C. J. Snijders, A. Vleeming, and R. Stoeckart.</w:t>
      </w:r>
      <w:r>
        <w:t xml:space="preserve"> </w:t>
      </w:r>
      <w:r>
        <w:t xml:space="preserve">Transfer of lumbosacral load to iliac bones and legs. part 1:</w:t>
      </w:r>
      <w:r>
        <w:t xml:space="preserve"> </w:t>
      </w:r>
      <w:r>
        <w:t xml:space="preserve">Biomechanics of self-bracing of the sacroiliac joints.</w:t>
      </w:r>
      <w:r>
        <w:t xml:space="preserve"> </w:t>
      </w:r>
      <w:r>
        <w:rPr>
          <w:iCs/>
          <w:i/>
        </w:rPr>
        <w:t xml:space="preserve">Clinical Biomechanics</w:t>
      </w:r>
      <w:r>
        <w:t xml:space="preserve">, 8 (6): 285–294,</w:t>
      </w:r>
      <w:r>
        <w:t xml:space="preserve"> </w:t>
      </w:r>
      <w:r>
        <w:t xml:space="preserve">1993.</w:t>
      </w:r>
      <w:r>
        <w:t xml:space="preserve"> </w:t>
      </w:r>
      <w:r>
        <w:t xml:space="preserve">doi: 10.1016/0268-0033(93)90002-Y.</w:t>
      </w:r>
    </w:p>
    <w:p>
      <w:pPr>
        <w:pStyle w:val="BodyText"/>
      </w:pPr>
      <w:r>
        <w:t xml:space="preserve">Andry Vleeming, Michael D. Schuenke, Anthony T. Masi, Jane E. Carreiro, Lieven</w:t>
      </w:r>
      <w:r>
        <w:t xml:space="preserve"> </w:t>
      </w:r>
      <w:r>
        <w:t xml:space="preserve">Danneels, and F. H. Willard.</w:t>
      </w:r>
      <w:r>
        <w:t xml:space="preserve"> </w:t>
      </w:r>
      <w:r>
        <w:t xml:space="preserve">The sacroiliac joint: an overview of its anatomy, function and</w:t>
      </w:r>
      <w:r>
        <w:t xml:space="preserve"> </w:t>
      </w:r>
      <w:r>
        <w:t xml:space="preserve">potential clinical implications.</w:t>
      </w:r>
      <w:r>
        <w:t xml:space="preserve"> </w:t>
      </w:r>
      <w:r>
        <w:rPr>
          <w:iCs/>
          <w:i/>
        </w:rPr>
        <w:t xml:space="preserve">Journal of Anatomy</w:t>
      </w:r>
      <w:r>
        <w:t xml:space="preserve">, 221 (6): 537–567, 2012.</w:t>
      </w:r>
      <w:r>
        <w:t xml:space="preserve"> </w:t>
      </w:r>
      <w:r>
        <w:t xml:space="preserve">doi: 10.1111/j.1469-7580.2012.01564.x.</w:t>
      </w:r>
    </w:p>
    <w:p>
      <w:pPr>
        <w:pStyle w:val="BodyText"/>
      </w:pPr>
      <w:r>
        <w:t xml:space="preserve">Adam Goode, Eric J. Hegedus, and Philip Sizer.</w:t>
      </w:r>
      <w:r>
        <w:t xml:space="preserve"> </w:t>
      </w:r>
      <w:r>
        <w:t xml:space="preserve">Three-dimensional movements of the sacroiliac joint: A systematic</w:t>
      </w:r>
      <w:r>
        <w:t xml:space="preserve"> </w:t>
      </w:r>
      <w:r>
        <w:t xml:space="preserve">review of the literature and assessment of clinical utility.</w:t>
      </w:r>
      <w:r>
        <w:t xml:space="preserve"> </w:t>
      </w:r>
      <w:r>
        <w:rPr>
          <w:iCs/>
          <w:i/>
        </w:rPr>
        <w:t xml:space="preserve">Journal of Manual &amp; Manipulative Therapy</w:t>
      </w:r>
      <w:r>
        <w:t xml:space="preserve">, 16</w:t>
      </w:r>
      <w:r>
        <w:t xml:space="preserve"> </w:t>
      </w:r>
      <w:r>
        <w:t xml:space="preserve">(1): 25–38, 2008.</w:t>
      </w:r>
      <w:r>
        <w:t xml:space="preserve"> </w:t>
      </w:r>
      <w:r>
        <w:t xml:space="preserve">doi: 10.1179/106698108790818639.</w:t>
      </w:r>
    </w:p>
    <w:p>
      <w:pPr>
        <w:pStyle w:val="BodyText"/>
      </w:pPr>
      <w:r>
        <w:t xml:space="preserve">Li-Xin Guo and Ee-Chon Teo.</w:t>
      </w:r>
      <w:r>
        <w:t xml:space="preserve"> </w:t>
      </w:r>
      <w:r>
        <w:t xml:space="preserve">Prediction of the modal characteristics of the human spine at</w:t>
      </w:r>
      <w:r>
        <w:t xml:space="preserve"> </w:t>
      </w:r>
      <w:r>
        <w:t xml:space="preserve">resonant frequency using finite element models.</w:t>
      </w:r>
      <w:r>
        <w:t xml:space="preserve"> </w:t>
      </w:r>
      <w:r>
        <w:rPr>
          <w:iCs/>
          <w:i/>
        </w:rPr>
        <w:t xml:space="preserve">Proceedings of the Institution of Mechanical Engineers, Part H:</w:t>
      </w:r>
      <w:r>
        <w:rPr>
          <w:iCs/>
          <w:i/>
        </w:rPr>
        <w:t xml:space="preserve"> </w:t>
      </w:r>
      <w:r>
        <w:rPr>
          <w:iCs/>
          <w:i/>
        </w:rPr>
        <w:t xml:space="preserve">Journal of Engineering in Medicine</w:t>
      </w:r>
      <w:r>
        <w:t xml:space="preserve">, 219 (4): 277–284,</w:t>
      </w:r>
      <w:r>
        <w:t xml:space="preserve"> </w:t>
      </w:r>
      <w:r>
        <w:t xml:space="preserve">2005.</w:t>
      </w:r>
      <w:r>
        <w:t xml:space="preserve"> </w:t>
      </w:r>
      <w:r>
        <w:t xml:space="preserve">doi: 10.1243/095441105X34275.</w:t>
      </w:r>
    </w:p>
    <w:p>
      <w:pPr>
        <w:pStyle w:val="BodyText"/>
      </w:pPr>
      <w:r>
        <w:t xml:space="preserve">Wei Fan, Dan Zhao, and Li-Xin Guo.</w:t>
      </w:r>
      <w:r>
        <w:t xml:space="preserve"> </w:t>
      </w:r>
      <w:r>
        <w:t xml:space="preserve">A finite element model of the human lower thorax to pelvis spinal</w:t>
      </w:r>
      <w:r>
        <w:t xml:space="preserve"> </w:t>
      </w:r>
      <w:r>
        <w:t xml:space="preserve">segment: Validation and modal analysis.</w:t>
      </w:r>
      <w:r>
        <w:t xml:space="preserve"> </w:t>
      </w:r>
      <w:r>
        <w:rPr>
          <w:iCs/>
          <w:i/>
        </w:rPr>
        <w:t xml:space="preserve">Bio-Medical Materials and Engineering</w:t>
      </w:r>
      <w:r>
        <w:t xml:space="preserve">, 32</w:t>
      </w:r>
      <w:r>
        <w:t xml:space="preserve"> </w:t>
      </w:r>
      <w:r>
        <w:t xml:space="preserve">(5): 267–279, 2021.</w:t>
      </w:r>
      <w:r>
        <w:t xml:space="preserve"> </w:t>
      </w:r>
      <w:r>
        <w:t xml:space="preserve">doi: 10.3233/BME-196017.</w:t>
      </w:r>
    </w:p>
    <w:p>
      <w:pPr>
        <w:pStyle w:val="BodyText"/>
      </w:pPr>
      <w:r>
        <w:t xml:space="preserve">Sheng Chen and Michele J. Grimm.</w:t>
      </w:r>
      <w:r>
        <w:t xml:space="preserve"> </w:t>
      </w:r>
      <w:r>
        <w:t xml:space="preserve">Childbirth computational models: Characteristics and applications.</w:t>
      </w:r>
      <w:r>
        <w:t xml:space="preserve"> </w:t>
      </w:r>
      <w:r>
        <w:rPr>
          <w:iCs/>
          <w:i/>
        </w:rPr>
        <w:t xml:space="preserve">Journal of Biomechanical Engineering</w:t>
      </w:r>
      <w:r>
        <w:t xml:space="preserve">, 143</w:t>
      </w:r>
      <w:r>
        <w:t xml:space="preserve"> </w:t>
      </w:r>
      <w:r>
        <w:t xml:space="preserve">(5): 050801, 2021.</w:t>
      </w:r>
      <w:r>
        <w:t xml:space="preserve"> </w:t>
      </w:r>
      <w:r>
        <w:t xml:space="preserve">doi: 10.1115/1.4049226.</w:t>
      </w:r>
    </w:p>
    <w:p>
      <w:pPr>
        <w:pStyle w:val="BodyText"/>
      </w:pPr>
      <w:r>
        <w:t xml:space="preserve">Priscila Roque de Almeida, Isabela Alves Campice de Oliveira, Joventino</w:t>
      </w:r>
      <w:r>
        <w:t xml:space="preserve"> </w:t>
      </w:r>
      <w:r>
        <w:t xml:space="preserve">de Oliveira Campos, Bernardo Martins Rocha, and Fl</w:t>
      </w:r>
      <w:r>
        <w:t xml:space="preserve">á</w:t>
      </w:r>
      <w:r>
        <w:t xml:space="preserve">via de Souza Bastos.</w:t>
      </w:r>
      <w:r>
        <w:t xml:space="preserve"> </w:t>
      </w:r>
      <w:r>
        <w:t xml:space="preserve">Modeling of the biomechanical behavior and growth of the human uterus</w:t>
      </w:r>
      <w:r>
        <w:t xml:space="preserve"> </w:t>
      </w:r>
      <w:r>
        <w:t xml:space="preserve">during pregnancy.</w:t>
      </w:r>
      <w:r>
        <w:t xml:space="preserve"> </w:t>
      </w:r>
      <w:r>
        <w:rPr>
          <w:iCs/>
          <w:i/>
        </w:rPr>
        <w:t xml:space="preserve">Journal of Biomechanics</w:t>
      </w:r>
      <w:r>
        <w:t xml:space="preserve">, 174: 112268, 2024.</w:t>
      </w:r>
      <w:r>
        <w:t xml:space="preserve"> </w:t>
      </w:r>
      <w:r>
        <w:t xml:space="preserve">doi: 10.1016/j.jbiomech.2024.112268.</w:t>
      </w:r>
    </w:p>
    <w:p>
      <w:pPr>
        <w:pStyle w:val="BodyText"/>
      </w:pPr>
      <w:r>
        <w:t xml:space="preserve">Gabrielle Clark-Patterson, Mari Domingo, and Kristin S. Miller.</w:t>
      </w:r>
      <w:r>
        <w:t xml:space="preserve"> </w:t>
      </w:r>
      <w:r>
        <w:t xml:space="preserve">Biomechanics of pregnancy and vaginal delivery.</w:t>
      </w:r>
      <w:r>
        <w:t xml:space="preserve"> </w:t>
      </w:r>
      <w:r>
        <w:rPr>
          <w:iCs/>
          <w:i/>
        </w:rPr>
        <w:t xml:space="preserve">Current Opinion in Biomedical Engineering</w:t>
      </w:r>
      <w:r>
        <w:t xml:space="preserve">, 22:</w:t>
      </w:r>
      <w:r>
        <w:t xml:space="preserve"> </w:t>
      </w:r>
      <w:r>
        <w:t xml:space="preserve">100386, 2022.</w:t>
      </w:r>
      <w:r>
        <w:t xml:space="preserve"> </w:t>
      </w:r>
      <w:r>
        <w:t xml:space="preserve">doi: 10.1016/j.cobme.2022.100386.</w:t>
      </w:r>
      <w:r>
        <w:t xml:space="preserve"> </w:t>
      </w:r>
      <w:r>
        <w:t xml:space="preserve">Review reporting vaginal wall–fetal head pressures up to</w:t>
      </w:r>
      <w:r>
        <w:t xml:space="preserve"> </w:t>
      </w:r>
      <m:oMath>
        <m:r>
          <m:rPr>
            <m:sty m:val="p"/>
          </m:rPr>
          <m:t>∼</m:t>
        </m:r>
      </m:oMath>
      <w:r>
        <w:t xml:space="preserve">32</w:t>
      </w:r>
      <w:r>
        <w:t xml:space="preserve"> </w:t>
      </w:r>
      <w:r>
        <w:t xml:space="preserve">kPa during pushing.</w:t>
      </w:r>
    </w:p>
    <w:p>
      <w:pPr>
        <w:pStyle w:val="BodyText"/>
      </w:pPr>
      <w:r>
        <w:t xml:space="preserve">Javier Bonet and Richard D. Wood.</w:t>
      </w:r>
      <w:r>
        <w:t xml:space="preserve"> </w:t>
      </w:r>
      <w:r>
        <w:rPr>
          <w:iCs/>
          <w:i/>
        </w:rPr>
        <w:t xml:space="preserve">Nonlinear Continuum Mechanics for Finite Element Analysis</w:t>
      </w:r>
      <w:r>
        <w:t xml:space="preserve">.</w:t>
      </w:r>
      <w:r>
        <w:t xml:space="preserve"> </w:t>
      </w:r>
      <w:r>
        <w:t xml:space="preserve">Cambridge University Press, 1st edition, 1997.</w:t>
      </w:r>
    </w:p>
    <w:p>
      <w:pPr>
        <w:pStyle w:val="BodyText"/>
      </w:pPr>
      <w:r>
        <w:t xml:space="preserve">Jerrold E. Marsden and Thomas J. R. Hughes.</w:t>
      </w:r>
      <w:r>
        <w:t xml:space="preserve"> </w:t>
      </w:r>
      <w:r>
        <w:rPr>
          <w:iCs/>
          <w:i/>
        </w:rPr>
        <w:t xml:space="preserve">Mathematical Foundations of Elasticity</w:t>
      </w:r>
      <w:r>
        <w:t xml:space="preserve">.</w:t>
      </w:r>
      <w:r>
        <w:t xml:space="preserve"> </w:t>
      </w:r>
      <w:r>
        <w:t xml:space="preserve">Prentice Hall, 1983.</w:t>
      </w:r>
    </w:p>
    <w:p>
      <w:pPr>
        <w:pStyle w:val="BodyText"/>
      </w:pPr>
      <w:r>
        <w:t xml:space="preserve">Thomas S. Keller.</w:t>
      </w:r>
      <w:r>
        <w:t xml:space="preserve"> </w:t>
      </w:r>
      <w:r>
        <w:t xml:space="preserve">Predicting the compressive mechanical behavior of bone.</w:t>
      </w:r>
      <w:r>
        <w:t xml:space="preserve"> </w:t>
      </w:r>
      <w:r>
        <w:rPr>
          <w:iCs/>
          <w:i/>
        </w:rPr>
        <w:t xml:space="preserve">Journal of Biomechanics</w:t>
      </w:r>
      <w:r>
        <w:t xml:space="preserve">, 27 (9): 1159–1168,</w:t>
      </w:r>
      <w:r>
        <w:t xml:space="preserve"> </w:t>
      </w:r>
      <w:r>
        <w:t xml:space="preserve">1994.</w:t>
      </w:r>
      <w:r>
        <w:t xml:space="preserve"> </w:t>
      </w:r>
      <w:r>
        <w:t xml:space="preserve">doi: 10.1016/0021-9290(94)90056-6.</w:t>
      </w:r>
    </w:p>
    <w:p>
      <w:pPr>
        <w:pStyle w:val="BodyText"/>
      </w:pPr>
      <w:r>
        <w:t xml:space="preserve">Dennis R. Carter and Wilson C. Hayes.</w:t>
      </w:r>
      <w:r>
        <w:t xml:space="preserve"> </w:t>
      </w:r>
      <w:r>
        <w:t xml:space="preserve">The compressive behavior of bone as a two-phase porous structure.</w:t>
      </w:r>
      <w:r>
        <w:t xml:space="preserve"> </w:t>
      </w:r>
      <w:r>
        <w:rPr>
          <w:iCs/>
          <w:i/>
        </w:rPr>
        <w:t xml:space="preserve">The Journal of Bone and Joint Surgery. American Volume</w:t>
      </w:r>
      <w:r>
        <w:t xml:space="preserve">,</w:t>
      </w:r>
      <w:r>
        <w:t xml:space="preserve"> </w:t>
      </w:r>
      <w:r>
        <w:t xml:space="preserve">59 (7): 954–962, 1977.</w:t>
      </w:r>
    </w:p>
    <w:p>
      <w:pPr>
        <w:pStyle w:val="BodyText"/>
      </w:pPr>
      <w:r>
        <w:t xml:space="preserve">Elise F. Morgan, Hasan H. Bayraktar, and Tony M. Keaveny.</w:t>
      </w:r>
      <w:r>
        <w:t xml:space="preserve"> </w:t>
      </w:r>
      <w:r>
        <w:t xml:space="preserve">Trabecular bone modulus-density relationships depend on anatomic</w:t>
      </w:r>
      <w:r>
        <w:t xml:space="preserve"> </w:t>
      </w:r>
      <w:r>
        <w:t xml:space="preserve">site.</w:t>
      </w:r>
      <w:r>
        <w:t xml:space="preserve"> </w:t>
      </w:r>
      <w:r>
        <w:rPr>
          <w:iCs/>
          <w:i/>
        </w:rPr>
        <w:t xml:space="preserve">Journal of Biomechanics</w:t>
      </w:r>
      <w:r>
        <w:t xml:space="preserve">, 36 (7): 897–904,</w:t>
      </w:r>
      <w:r>
        <w:t xml:space="preserve"> </w:t>
      </w:r>
      <w:r>
        <w:t xml:space="preserve">2003.</w:t>
      </w:r>
      <w:r>
        <w:t xml:space="preserve"> </w:t>
      </w:r>
      <w:r>
        <w:t xml:space="preserve">doi: 10.1016/S0021-9290(03)00071-X.</w:t>
      </w:r>
    </w:p>
    <w:p>
      <w:pPr>
        <w:pStyle w:val="BodyText"/>
      </w:pPr>
      <w:r>
        <w:t xml:space="preserve">Harold M. Frost.</w:t>
      </w:r>
      <w:r>
        <w:t xml:space="preserve"> </w:t>
      </w:r>
      <w:r>
        <w:t xml:space="preserve">Bone ’mass’ and the ’mechanostat’: A proposal.</w:t>
      </w:r>
      <w:r>
        <w:t xml:space="preserve"> </w:t>
      </w:r>
      <w:r>
        <w:rPr>
          <w:iCs/>
          <w:i/>
        </w:rPr>
        <w:t xml:space="preserve">The Anatomical Record</w:t>
      </w:r>
      <w:r>
        <w:t xml:space="preserve">, 219 (1): 1–9, 1987.</w:t>
      </w:r>
      <w:r>
        <w:t xml:space="preserve"> </w:t>
      </w:r>
      <w:r>
        <w:t xml:space="preserve">doi: 10.1002/ar.1092190104.</w:t>
      </w:r>
    </w:p>
    <w:p>
      <w:pPr>
        <w:pStyle w:val="BodyText"/>
      </w:pPr>
      <w:r>
        <w:t xml:space="preserve">R. Huiskes, H. Weinans, H. J. Grootenboer, M. Dalstra, B. Fudala, and T. J.</w:t>
      </w:r>
      <w:r>
        <w:t xml:space="preserve"> </w:t>
      </w:r>
      <w:r>
        <w:t xml:space="preserve">J. H. Slooff.</w:t>
      </w:r>
      <w:r>
        <w:t xml:space="preserve"> </w:t>
      </w:r>
      <w:r>
        <w:t xml:space="preserve">Adaptive bone-remodeling theory applied to prosthetic-design</w:t>
      </w:r>
      <w:r>
        <w:t xml:space="preserve"> </w:t>
      </w:r>
      <w:r>
        <w:t xml:space="preserve">analysis.</w:t>
      </w:r>
      <w:r>
        <w:t xml:space="preserve"> </w:t>
      </w:r>
      <w:r>
        <w:rPr>
          <w:iCs/>
          <w:i/>
        </w:rPr>
        <w:t xml:space="preserve">Journal of Biomechanics</w:t>
      </w:r>
      <w:r>
        <w:t xml:space="preserve">, 20 (11–12):</w:t>
      </w:r>
      <w:r>
        <w:t xml:space="preserve"> </w:t>
      </w:r>
      <w:r>
        <w:t xml:space="preserve">1135–1150, 1987.</w:t>
      </w:r>
      <w:r>
        <w:t xml:space="preserve"> </w:t>
      </w:r>
      <w:r>
        <w:t xml:space="preserve">doi: 10.1016/0021-9290(87)90030-3.</w:t>
      </w:r>
    </w:p>
    <w:p>
      <w:pPr>
        <w:pStyle w:val="BodyText"/>
      </w:pPr>
      <w:r>
        <w:t xml:space="preserve">Joshua N. Farr and Sundeep Khosla.</w:t>
      </w:r>
      <w:r>
        <w:t xml:space="preserve"> </w:t>
      </w:r>
      <w:r>
        <w:t xml:space="preserve">Skeletal changes through the lifespan—from growth to senescence.</w:t>
      </w:r>
      <w:r>
        <w:t xml:space="preserve"> </w:t>
      </w:r>
      <w:r>
        <w:rPr>
          <w:iCs/>
          <w:i/>
        </w:rPr>
        <w:t xml:space="preserve">Nature Reviews Endocrinology</w:t>
      </w:r>
      <w:r>
        <w:t xml:space="preserve">, 11 (9):</w:t>
      </w:r>
      <w:r>
        <w:t xml:space="preserve"> </w:t>
      </w:r>
      <w:r>
        <w:t xml:space="preserve">513–521, 2015.</w:t>
      </w:r>
      <w:r>
        <w:t xml:space="preserve"> </w:t>
      </w:r>
      <w:r>
        <w:t xml:space="preserve">doi: 10.1038/nrendo.2015.89.</w:t>
      </w:r>
    </w:p>
    <w:p>
      <w:pPr>
        <w:pStyle w:val="BodyText"/>
      </w:pPr>
      <w:r>
        <w:t xml:space="preserve">Roger MD Zebaze, Ali Ghasem-Zadeh, Ann Bohte, Sandra Iuliano-Burns, Michiko</w:t>
      </w:r>
      <w:r>
        <w:t xml:space="preserve"> </w:t>
      </w:r>
      <w:r>
        <w:t xml:space="preserve">Mirams, Roger Ian Price, Eleanor J Mackie, and Ego Seeman.</w:t>
      </w:r>
      <w:r>
        <w:t xml:space="preserve"> </w:t>
      </w:r>
      <w:r>
        <w:t xml:space="preserve">Intracortical remodelling and porosity in the distal radius and</w:t>
      </w:r>
      <w:r>
        <w:t xml:space="preserve"> </w:t>
      </w:r>
      <w:r>
        <w:t xml:space="preserve">post-mortem femurs of women: a cross-sectional study.</w:t>
      </w:r>
      <w:r>
        <w:t xml:space="preserve"> </w:t>
      </w:r>
      <w:r>
        <w:rPr>
          <w:iCs/>
          <w:i/>
        </w:rPr>
        <w:t xml:space="preserve">The Lancet</w:t>
      </w:r>
      <w:r>
        <w:t xml:space="preserve">, 375 (9727): 1729–1736, 2010.</w:t>
      </w:r>
      <w:r>
        <w:t xml:space="preserve"> </w:t>
      </w:r>
      <w:r>
        <w:t xml:space="preserve">doi: 10.1016/S0140-6736(10)60320-0.</w:t>
      </w:r>
    </w:p>
    <w:p>
      <w:pPr>
        <w:pStyle w:val="BodyText"/>
      </w:pPr>
      <w:r>
        <w:t xml:space="preserve">Paolo de Leva.</w:t>
      </w:r>
      <w:r>
        <w:t xml:space="preserve"> </w:t>
      </w:r>
      <w:r>
        <w:t xml:space="preserve">Adjustments to</w:t>
      </w:r>
      <w:r>
        <w:t xml:space="preserve"> </w:t>
      </w:r>
      <w:r>
        <w:t xml:space="preserve">Zatsiorsky–Seluyanov</w:t>
      </w:r>
      <w:r>
        <w:t xml:space="preserve">’s segment inertia parameters.</w:t>
      </w:r>
      <w:r>
        <w:t xml:space="preserve"> </w:t>
      </w:r>
      <w:r>
        <w:rPr>
          <w:iCs/>
          <w:i/>
        </w:rPr>
        <w:t xml:space="preserve">Journal of Biomechanics</w:t>
      </w:r>
      <w:r>
        <w:t xml:space="preserve">, 29 (9): 1223–1230,</w:t>
      </w:r>
      <w:r>
        <w:t xml:space="preserve"> </w:t>
      </w:r>
      <w:r>
        <w:t xml:space="preserve">1996.</w:t>
      </w:r>
      <w:r>
        <w:t xml:space="preserve"> </w:t>
      </w:r>
      <w:r>
        <w:t xml:space="preserve">doi: 10.1016/0021-9290(95)00178-6.</w:t>
      </w:r>
    </w:p>
    <w:p>
      <w:pPr>
        <w:pStyle w:val="BodyText"/>
      </w:pPr>
      <w:r>
        <w:t xml:space="preserve">Georg Bergmann, Frank Deuretzbacher, Markus Heller, Vera Graichen, Annegret</w:t>
      </w:r>
      <w:r>
        <w:t xml:space="preserve"> </w:t>
      </w:r>
      <w:r>
        <w:t xml:space="preserve">Rohlmann, J. Strauss, and Georg N. Duda.</w:t>
      </w:r>
      <w:r>
        <w:t xml:space="preserve"> </w:t>
      </w:r>
      <w:r>
        <w:t xml:space="preserve">Hip contact forces and gait patterns from routine activities.</w:t>
      </w:r>
      <w:r>
        <w:t xml:space="preserve"> </w:t>
      </w:r>
      <w:r>
        <w:rPr>
          <w:iCs/>
          <w:i/>
        </w:rPr>
        <w:t xml:space="preserve">Journal of Biomechanics</w:t>
      </w:r>
      <w:r>
        <w:t xml:space="preserve">, 34 (7): 859–871,</w:t>
      </w:r>
      <w:r>
        <w:t xml:space="preserve"> </w:t>
      </w:r>
      <w:r>
        <w:t xml:space="preserve">2001.</w:t>
      </w:r>
      <w:r>
        <w:t xml:space="preserve"> </w:t>
      </w:r>
      <w:r>
        <w:t xml:space="preserve">doi: 10.1016/S0021-9290(01)00040-9.</w:t>
      </w:r>
    </w:p>
    <w:p>
      <w:pPr>
        <w:pStyle w:val="BodyText"/>
      </w:pPr>
      <w:r>
        <w:t xml:space="preserve">I. Kutzner, A. Trepczynski, M. O. Heller, and G. Bergmann.</w:t>
      </w:r>
      <w:r>
        <w:t xml:space="preserve"> </w:t>
      </w:r>
      <w:r>
        <w:t xml:space="preserve">Standardized loads acting in hip implants.</w:t>
      </w:r>
      <w:r>
        <w:t xml:space="preserve"> </w:t>
      </w:r>
      <w:r>
        <w:rPr>
          <w:iCs/>
          <w:i/>
        </w:rPr>
        <w:t xml:space="preserve">PLOS ONE</w:t>
      </w:r>
      <w:r>
        <w:t xml:space="preserve">, 11 (5): e0155612, 2016.</w:t>
      </w:r>
      <w:r>
        <w:t xml:space="preserve"> </w:t>
      </w:r>
      <w:r>
        <w:t xml:space="preserve">doi: 10.1371/journal.pone.0155612.</w:t>
      </w:r>
    </w:p>
    <w:p>
      <w:pPr>
        <w:pStyle w:val="BodyText"/>
      </w:pPr>
      <w:r>
        <w:t xml:space="preserve">Roger C. Young, Ponnila S. Marinescu, and Neil S. Seligman.</w:t>
      </w:r>
      <w:r>
        <w:t xml:space="preserve"> </w:t>
      </w:r>
      <w:r>
        <w:t xml:space="preserve">Monitoring uterine contractions during labor: current challenges and</w:t>
      </w:r>
      <w:r>
        <w:t xml:space="preserve"> </w:t>
      </w:r>
      <w:r>
        <w:t xml:space="preserve">future directions.</w:t>
      </w:r>
      <w:r>
        <w:t xml:space="preserve"> </w:t>
      </w:r>
      <w:r>
        <w:rPr>
          <w:iCs/>
          <w:i/>
        </w:rPr>
        <w:t xml:space="preserve">American Journal of Obstetrics and Gynecology</w:t>
      </w:r>
      <w:r>
        <w:t xml:space="preserve">, 228</w:t>
      </w:r>
      <w:r>
        <w:t xml:space="preserve"> </w:t>
      </w:r>
      <w:r>
        <w:t xml:space="preserve">(5): S1192–S1208, 2023.</w:t>
      </w:r>
      <w:r>
        <w:t xml:space="preserve"> </w:t>
      </w:r>
      <w:r>
        <w:t xml:space="preserve">doi: 10.1016/j.ajog.2022.10.039.</w:t>
      </w:r>
    </w:p>
    <w:p>
      <w:pPr>
        <w:pStyle w:val="BodyText"/>
      </w:pPr>
      <w:r>
        <w:t xml:space="preserve">Lisa A. Miller, David A. Miller, and Susan Martin Tucker.</w:t>
      </w:r>
      <w:r>
        <w:t xml:space="preserve"> </w:t>
      </w:r>
      <w:r>
        <w:rPr>
          <w:iCs/>
          <w:i/>
        </w:rPr>
        <w:t xml:space="preserve">Mosby’s Pocket Guide to Fetal Monitoring</w:t>
      </w:r>
      <w:r>
        <w:t xml:space="preserve">.</w:t>
      </w:r>
      <w:r>
        <w:t xml:space="preserve"> </w:t>
      </w:r>
      <w:r>
        <w:t xml:space="preserve">Elsevier, St. Louis, MO, 7 edition, 2012.</w:t>
      </w:r>
    </w:p>
    <w:p>
      <w:pPr>
        <w:pStyle w:val="BodyText"/>
      </w:pPr>
      <w:r>
        <w:t xml:space="preserve">Franck Fuchs, M. Bruy</w:t>
      </w:r>
      <w:r>
        <w:t xml:space="preserve">è</w:t>
      </w:r>
      <w:r>
        <w:t xml:space="preserve">re, M.-V. Senat, E. Purenne, D. Benhamou, and</w:t>
      </w:r>
      <w:r>
        <w:t xml:space="preserve"> </w:t>
      </w:r>
      <w:r>
        <w:t xml:space="preserve">H. Fernandez.</w:t>
      </w:r>
      <w:r>
        <w:t xml:space="preserve"> </w:t>
      </w:r>
      <w:r>
        <w:t xml:space="preserve">Are standard intra-abdominal pressure values different during</w:t>
      </w:r>
      <w:r>
        <w:t xml:space="preserve"> </w:t>
      </w:r>
      <w:r>
        <w:t xml:space="preserve">pregnancy?</w:t>
      </w:r>
      <w:r>
        <w:t xml:space="preserve"> </w:t>
      </w:r>
      <w:r>
        <w:rPr>
          <w:iCs/>
          <w:i/>
        </w:rPr>
        <w:t xml:space="preserve">PLOS ONE</w:t>
      </w:r>
      <w:r>
        <w:t xml:space="preserve">, 8 (10): e77324, 2013.</w:t>
      </w:r>
      <w:r>
        <w:t xml:space="preserve"> </w:t>
      </w:r>
      <w:r>
        <w:t xml:space="preserve">doi: 10.1371/journal.pone.0077324.</w:t>
      </w:r>
    </w:p>
    <w:p>
      <w:pPr>
        <w:pStyle w:val="BodyText"/>
      </w:pPr>
      <w:r>
        <w:t xml:space="preserve">Rosaleen Chun and Andrew W. Kirkpatrick.</w:t>
      </w:r>
      <w:r>
        <w:t xml:space="preserve"> </w:t>
      </w:r>
      <w:r>
        <w:t xml:space="preserve">Intra-abdominal pressure, intra-abdominal hypertension, and</w:t>
      </w:r>
      <w:r>
        <w:t xml:space="preserve"> </w:t>
      </w:r>
      <w:r>
        <w:t xml:space="preserve">pregnancy: a review.</w:t>
      </w:r>
      <w:r>
        <w:t xml:space="preserve"> </w:t>
      </w:r>
      <w:r>
        <w:rPr>
          <w:iCs/>
          <w:i/>
        </w:rPr>
        <w:t xml:space="preserve">Annals of Intensive Care</w:t>
      </w:r>
      <w:r>
        <w:t xml:space="preserve">, 2 (S1): S5, 2012.</w:t>
      </w:r>
      <w:r>
        <w:t xml:space="preserve"> </w:t>
      </w:r>
      <w:r>
        <w:t xml:space="preserve">doi: 10.1186/2110-5820-2-S1-S5.</w:t>
      </w:r>
    </w:p>
    <w:p>
      <w:pPr>
        <w:pStyle w:val="BodyText"/>
      </w:pPr>
      <w:r>
        <w:t xml:space="preserve">Harold W. Kuhn.</w:t>
      </w:r>
      <w:r>
        <w:t xml:space="preserve"> </w:t>
      </w:r>
      <w:r>
        <w:t xml:space="preserve">The hungarian method for the assignment problem.</w:t>
      </w:r>
      <w:r>
        <w:t xml:space="preserve"> </w:t>
      </w:r>
      <w:r>
        <w:rPr>
          <w:iCs/>
          <w:i/>
        </w:rPr>
        <w:t xml:space="preserve">Naval Research Logistics Quarterly</w:t>
      </w:r>
      <w:r>
        <w:t xml:space="preserve">, 2</w:t>
      </w:r>
      <w:r>
        <w:t xml:space="preserve"> </w:t>
      </w:r>
      <w:r>
        <w:t xml:space="preserve">(1–2): 83–97, 1955.</w:t>
      </w:r>
      <w:r>
        <w:t xml:space="preserve"> </w:t>
      </w:r>
      <w:r>
        <w:t xml:space="preserve">doi: 10.1002/nav.3800020109.</w:t>
      </w:r>
    </w:p>
    <w:p>
      <w:pPr>
        <w:pStyle w:val="BodyText"/>
      </w:pPr>
      <w:r>
        <w:t xml:space="preserve">Å</w:t>
      </w:r>
      <w:r>
        <w:t xml:space="preserve">ke Bj</w:t>
      </w:r>
      <w:r>
        <w:t xml:space="preserve">ö</w:t>
      </w:r>
      <w:r>
        <w:t xml:space="preserve">rck and Gene H. Golub.</w:t>
      </w:r>
      <w:r>
        <w:t xml:space="preserve"> </w:t>
      </w:r>
      <w:r>
        <w:t xml:space="preserve">Numerical methods for computing angles between linear subspaces.</w:t>
      </w:r>
      <w:r>
        <w:t xml:space="preserve"> </w:t>
      </w:r>
      <w:r>
        <w:rPr>
          <w:iCs/>
          <w:i/>
        </w:rPr>
        <w:t xml:space="preserve">Mathematics of Computation</w:t>
      </w:r>
      <w:r>
        <w:t xml:space="preserve">, 27 (123):</w:t>
      </w:r>
      <w:r>
        <w:t xml:space="preserve"> </w:t>
      </w:r>
      <w:r>
        <w:t xml:space="preserve">579–594, 1973.</w:t>
      </w:r>
      <w:r>
        <w:t xml:space="preserve"> </w:t>
      </w:r>
      <w:r>
        <w:t xml:space="preserve">doi: 10.1090/S0025-5718-1973-0348991-3.</w:t>
      </w:r>
    </w:p>
    <w:p>
      <w:pPr>
        <w:pStyle w:val="BodyText"/>
      </w:pPr>
      <w:r>
        <w:t xml:space="preserve">Peter H. Sch</w:t>
      </w:r>
      <w:r>
        <w:t xml:space="preserve">ö</w:t>
      </w:r>
      <w:r>
        <w:t xml:space="preserve">nemann.</w:t>
      </w:r>
      <w:r>
        <w:t xml:space="preserve"> </w:t>
      </w:r>
      <w:r>
        <w:t xml:space="preserve">A generalized solution of the orthogonal procrustes problem.</w:t>
      </w:r>
      <w:r>
        <w:t xml:space="preserve"> </w:t>
      </w:r>
      <w:r>
        <w:rPr>
          <w:iCs/>
          <w:i/>
        </w:rPr>
        <w:t xml:space="preserve">Psychometrika</w:t>
      </w:r>
      <w:r>
        <w:t xml:space="preserve">, 31 (1): 1–10, 1966.</w:t>
      </w:r>
      <w:r>
        <w:t xml:space="preserve"> </w:t>
      </w:r>
      <w:r>
        <w:t xml:space="preserve">doi: 10.1007/BF02289451.</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4" Target="media/rId24.png" /><Relationship Type="http://schemas.openxmlformats.org/officeDocument/2006/relationships/image" Id="rId79" Target="media/rId79.png" /><Relationship Type="http://schemas.openxmlformats.org/officeDocument/2006/relationships/image" Id="rId33" Target="media/rId33.png" /><Relationship Type="http://schemas.openxmlformats.org/officeDocument/2006/relationships/image" Id="rId73" Target="media/rId73.png" /><Relationship Type="http://schemas.openxmlformats.org/officeDocument/2006/relationships/image" Id="rId31" Target="media/rId31.png" /><Relationship Type="http://schemas.openxmlformats.org/officeDocument/2006/relationships/image" Id="rId50" Target="media/rId50.png" /><Relationship Type="http://schemas.openxmlformats.org/officeDocument/2006/relationships/image" Id="rId69" Target="media/rId69.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hyperlink" Id="rId20" Target="mailto:niels.hammer@medunigraz.at" TargetMode="External" /></Relationships>
</file>

<file path=word/_rels/footnotes.xml.rels><?xml version="1.0" encoding="UTF-8"?><Relationships xmlns="http://schemas.openxmlformats.org/package/2006/relationships"><Relationship Type="http://schemas.openxmlformats.org/officeDocument/2006/relationships/hyperlink" Id="rId20" Target="mailto:niels.hammer@medunigraz.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2026-04-23T07:55:42Z</dcterms:created>
  <dcterms:modified xsi:type="dcterms:W3CDTF">2026-04-23T07:55:42Z</dcterms:modified>
</cp:coreProperties>
</file>

<file path=docProps/custom.xml><?xml version="1.0" encoding="utf-8"?>
<Properties xmlns="http://schemas.openxmlformats.org/officeDocument/2006/custom-properties" xmlns:vt="http://schemas.openxmlformats.org/officeDocument/2006/docPropsVTypes"/>
</file>