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4.png" ContentType="image/png"/>
  <Override PartName="/word/media/rId47.png" ContentType="image/png"/>
  <Override PartName="/word/media/rId54.png" ContentType="image/png"/>
  <Override PartName="/word/media/rId57.png" ContentType="image/png"/>
  <Override PartName="/word/media/rId51.png" ContentType="image/png"/>
  <Override PartName="/word/media/rId2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ns0:body>
    <ns0:p>
      <ns0:pPr>
        <ns0:pStyle ns0:val="Title"/>
      </ns0:pPr>
      <ns0:r>
        <ns0:t xml:space="preserve">Anatomical</ns0:t>
      </ns0:r>
      <ns0:r>
        <ns0:t xml:space="preserve"> </ns0:t>
      </ns0:r>
      <ns0:r>
        <ns0:t xml:space="preserve">prediction</ns0:t>
      </ns0:r>
      <ns0:r>
        <ns0:t xml:space="preserve"> </ns0:t>
      </ns0:r>
      <ns0:r>
        <ns0:t xml:space="preserve">of</ns0:t>
      </ns0:r>
      <ns0:r>
        <ns0:t xml:space="preserve"> </ns0:t>
      </ns0:r>
      <ns0:r>
        <ns0:t xml:space="preserve">sacroiliac</ns0:t>
      </ns0:r>
      <ns0:r>
        <ns0:t xml:space="preserve"> </ns0:t>
      </ns0:r>
      <ns0:r>
        <ns0:t xml:space="preserve">motion</ns0:t>
      </ns0:r>
      <ns0:r>
        <ns0:t xml:space="preserve"> </ns0:t>
      </ns0:r>
      <ns0:r>
        <ns0:t xml:space="preserve">and</ns0:t>
      </ns0:r>
      <ns0:r>
        <ns0:t xml:space="preserve"> </ns0:t>
      </ns0:r>
      <ns0:r>
        <ns0:t xml:space="preserve">its</ns0:t>
      </ns0:r>
      <ns0:r>
        <ns0:t xml:space="preserve"> </ns0:t>
      </ns0:r>
      <ns0:r>
        <ns0:t xml:space="preserve">load-dependent</ns0:t>
      </ns0:r>
      <ns0:r>
        <ns0:t xml:space="preserve"> </ns0:t>
      </ns0:r>
      <ns0:r>
        <ns0:t xml:space="preserve">limits</ns0:t>
      </ns0:r>
    </ns0:p>
    <ns0:p>
      <ns0:pPr>
        <ns0:pStyle ns0:val="Author"/>
      </ns0:pPr>
      <ns0:r>
        <ns0:t xml:space="preserve">Petr</ns0:t>
      </ns0:r>
      <ns0:r>
        <ns0:t xml:space="preserve"> </ns0:t>
      </ns0:r>
      <ns0:r>
        <ns0:t xml:space="preserve">Henyš</ns0:t>
      </ns0:r>
      <ns1:oMath>
        <ns1:sSup>
          <ns1:e>
            <ns1:r>
              <ns1:t>​</ns1:t>
            </ns1:r>
          </ns1:e>
          <ns1:sup>
            <ns1:r>
              <ns1:t>1</ns1:t>
            </ns1:r>
            <ns1:r>
              <ns1:rPr>
                <ns1:sty ns1:val="p"/>
              </ns1:rPr>
              <ns1:t>,</ns1:t>
            </ns1:r>
            <ns1:r>
              <ns1:rPr>
                <ns1:sty ns1:val="p"/>
              </ns1:rPr>
              <ns1:t>*</ns1:t>
            </ns1:r>
          </ns1:sup>
        </ns1:sSup>
      </ns1:oMath>
      <ns0:r>
        <ns0:t xml:space="preserve">,</ns0:t>
      </ns0:r>
      <ns0:r>
        <ns0:t xml:space="preserve"> </ns0:t>
      </ns0:r>
      <ns0:r>
        <ns0:t xml:space="preserve">Niels</ns0:t>
      </ns0:r>
      <ns0:r>
        <ns0:t xml:space="preserve"> </ns0:t>
      </ns0:r>
      <ns0:r>
        <ns0:t xml:space="preserve">Hammer</ns0:t>
      </ns0:r>
      <ns1:oMath>
        <ns1:sSup>
          <ns1:e>
            <ns1:r>
              <ns1:t>​</ns1:t>
            </ns1:r>
          </ns1:e>
          <ns1:sup>
            <ns1:r>
              <ns1:t>2</ns1:t>
            </ns1:r>
          </ns1:sup>
        </ns1:sSup>
      </ns1:oMath>
      <ns0:r>
        <ns0:br/>
      </ns0:r>
      <ns1:oMath>
        <ns1:sSup>
          <ns1:e>
            <ns1:r>
              <ns1:t>​</ns1:t>
            </ns1:r>
          </ns1:e>
          <ns1:sup>
            <ns1:r>
              <ns1:t>1</ns1:t>
            </ns1:r>
          </ns1:sup>
        </ns1:sSup>
      </ns1:oMath>
      <ns0:r>
        <ns0:t xml:space="preserve">Institute</ns0:t>
      </ns0:r>
      <ns0:r>
        <ns0:t xml:space="preserve"> </ns0:t>
      </ns0:r>
      <ns0:r>
        <ns0:t xml:space="preserve">of</ns0:t>
      </ns0:r>
      <ns0:r>
        <ns0:t xml:space="preserve"> </ns0:t>
      </ns0:r>
      <ns0:r>
        <ns0:t xml:space="preserve">New</ns0:t>
      </ns0:r>
      <ns0:r>
        <ns0:t xml:space="preserve"> </ns0:t>
      </ns0:r>
      <ns0:r>
        <ns0:t xml:space="preserve">Technologies</ns0:t>
      </ns0:r>
      <ns0:r>
        <ns0:t xml:space="preserve"> </ns0:t>
      </ns0:r>
      <ns0:r>
        <ns0:t xml:space="preserve">and</ns0:t>
      </ns0:r>
      <ns0:r>
        <ns0:t xml:space="preserve"> </ns0:t>
      </ns0:r>
      <ns0:r>
        <ns0:t xml:space="preserve">Applied</ns0:t>
      </ns0:r>
      <ns0:r>
        <ns0:t xml:space="preserve"> </ns0:t>
      </ns0:r>
      <ns0:r>
        <ns0:t xml:space="preserve">Informatics,</ns0:t>
      </ns0:r>
      <ns0:r>
        <ns0:br/>
      </ns0:r>
      <ns0:r>
        <ns0:t xml:space="preserve">Faculty</ns0:t>
      </ns0:r>
      <ns0:r>
        <ns0:t xml:space="preserve"> </ns0:t>
      </ns0:r>
      <ns0:r>
        <ns0:t xml:space="preserve">of</ns0:t>
      </ns0:r>
      <ns0:r>
        <ns0:t xml:space="preserve"> </ns0:t>
      </ns0:r>
      <ns0:r>
        <ns0:t xml:space="preserve">Mechatronics,</ns0:t>
      </ns0:r>
      <ns0:r>
        <ns0:t xml:space="preserve"> </ns0:t>
      </ns0:r>
      <ns0:r>
        <ns0:t xml:space="preserve">Informatics</ns0:t>
      </ns0:r>
      <ns0:r>
        <ns0:t xml:space="preserve"> </ns0:t>
      </ns0:r>
      <ns0:r>
        <ns0:t xml:space="preserve">and</ns0:t>
      </ns0:r>
      <ns0:r>
        <ns0:t xml:space="preserve"> </ns0:t>
      </ns0:r>
      <ns0:r>
        <ns0:t xml:space="preserve">Interdisciplinary</ns0:t>
      </ns0:r>
      <ns0:r>
        <ns0:t xml:space="preserve"> </ns0:t>
      </ns0:r>
      <ns0:r>
        <ns0:t xml:space="preserve">Studies,</ns0:t>
      </ns0:r>
      <ns0:r>
        <ns0:br/>
      </ns0:r>
      <ns0:r>
        <ns0:t xml:space="preserve">Technical</ns0:t>
      </ns0:r>
      <ns0:r>
        <ns0:t xml:space="preserve"> </ns0:t>
      </ns0:r>
      <ns0:r>
        <ns0:t xml:space="preserve">University</ns0:t>
      </ns0:r>
      <ns0:r>
        <ns0:t xml:space="preserve"> </ns0:t>
      </ns0:r>
      <ns0:r>
        <ns0:t xml:space="preserve">of</ns0:t>
      </ns0:r>
      <ns0:r>
        <ns0:t xml:space="preserve"> </ns0:t>
      </ns0:r>
      <ns0:r>
        <ns0:t xml:space="preserve">Liberec,</ns0:t>
      </ns0:r>
      <ns0:r>
        <ns0:t xml:space="preserve"> </ns0:t>
      </ns0:r>
      <ns0:r>
        <ns0:t xml:space="preserve">Studentská</ns0:t>
      </ns0:r>
      <ns0:r>
        <ns0:t xml:space="preserve"> </ns0:t>
      </ns0:r>
      <ns0:r>
        <ns0:t xml:space="preserve">1402/2,</ns0:t>
      </ns0:r>
      <ns0:r>
        <ns0:t xml:space="preserve"> </ns0:t>
      </ns0:r>
      <ns0:r>
        <ns0:t xml:space="preserve">461 17</ns0:t>
      </ns0:r>
      <ns0:r>
        <ns0:t xml:space="preserve"> </ns0:t>
      </ns0:r>
      <ns0:r>
        <ns0:t xml:space="preserve">Liberec,</ns0:t>
      </ns0:r>
      <ns0:r>
        <ns0:t xml:space="preserve"> </ns0:t>
      </ns0:r>
      <ns0:r>
        <ns0:t xml:space="preserve">Czech</ns0:t>
      </ns0:r>
      <ns0:r>
        <ns0:t xml:space="preserve"> </ns0:t>
      </ns0:r>
      <ns0:r>
        <ns0:t xml:space="preserve">Republic</ns0:t>
      </ns0:r>
      <ns0:r>
        <ns0:br/>
      </ns0:r>
      <ns1:oMath>
        <ns1:sSup>
          <ns1:e>
            <ns1:r>
              <ns1:t>​</ns1:t>
            </ns1:r>
          </ns1:e>
          <ns1:sup>
            <ns1:r>
              <ns1:t>2</ns1:t>
            </ns1:r>
          </ns1:sup>
        </ns1:sSup>
      </ns1:oMath>
      <ns0:r>
        <ns0:t xml:space="preserve">Division</ns0:t>
      </ns0:r>
      <ns0:r>
        <ns0:t xml:space="preserve"> </ns0:t>
      </ns0:r>
      <ns0:r>
        <ns0:t xml:space="preserve">of</ns0:t>
      </ns0:r>
      <ns0:r>
        <ns0:t xml:space="preserve"> </ns0:t>
      </ns0:r>
      <ns0:r>
        <ns0:t xml:space="preserve">Macroscopic</ns0:t>
      </ns0:r>
      <ns0:r>
        <ns0:t xml:space="preserve"> </ns0:t>
      </ns0:r>
      <ns0:r>
        <ns0:t xml:space="preserve">and</ns0:t>
      </ns0:r>
      <ns0:r>
        <ns0:t xml:space="preserve"> </ns0:t>
      </ns0:r>
      <ns0:r>
        <ns0:t xml:space="preserve">Clinical</ns0:t>
      </ns0:r>
      <ns0:r>
        <ns0:t xml:space="preserve"> </ns0:t>
      </ns0:r>
      <ns0:r>
        <ns0:t xml:space="preserve">Anatomy,</ns0:t>
      </ns0:r>
      <ns0:r>
        <ns0:br/>
      </ns0:r>
      <ns0:r>
        <ns0:t xml:space="preserve">Gottfried</ns0:t>
      </ns0:r>
      <ns0:r>
        <ns0:t xml:space="preserve"> </ns0:t>
      </ns0:r>
      <ns0:r>
        <ns0:t xml:space="preserve">Schatz</ns0:t>
      </ns0:r>
      <ns0:r>
        <ns0:t xml:space="preserve"> </ns0:t>
      </ns0:r>
      <ns0:r>
        <ns0:t xml:space="preserve">Research</ns0:t>
      </ns0:r>
      <ns0:r>
        <ns0:t xml:space="preserve"> </ns0:t>
      </ns0:r>
      <ns0:r>
        <ns0:t xml:space="preserve">Center,</ns0:t>
      </ns0:r>
      <ns0:r>
        <ns0:t xml:space="preserve"> </ns0:t>
      </ns0:r>
      <ns0:r>
        <ns0:t xml:space="preserve">Medical</ns0:t>
      </ns0:r>
      <ns0:r>
        <ns0:t xml:space="preserve"> </ns0:t>
      </ns0:r>
      <ns0:r>
        <ns0:t xml:space="preserve">University</ns0:t>
      </ns0:r>
      <ns0:r>
        <ns0:t xml:space="preserve"> </ns0:t>
      </ns0:r>
      <ns0:r>
        <ns0:t xml:space="preserve">of</ns0:t>
      </ns0:r>
      <ns0:r>
        <ns0:t xml:space="preserve"> </ns0:t>
      </ns0:r>
      <ns0:r>
        <ns0:t xml:space="preserve">Graz,</ns0:t>
      </ns0:r>
      <ns0:r>
        <ns0:br/>
      </ns0:r>
      <ns0:r>
        <ns0:t xml:space="preserve">Auenbruggerplatz 25,</ns0:t>
      </ns0:r>
      <ns0:r>
        <ns0:t xml:space="preserve"> </ns0:t>
      </ns0:r>
      <ns0:r>
        <ns0:t xml:space="preserve">8036 Graz,</ns0:t>
      </ns0:r>
      <ns0:r>
        <ns0:t xml:space="preserve"> </ns0:t>
      </ns0:r>
      <ns0:r>
        <ns0:t xml:space="preserve">Austria</ns0:t>
      </ns0:r>
      <ns0:r>
        <ns0:br/>
      </ns0:r>
      <ns1:oMath>
        <ns1:sSup>
          <ns1:e>
            <ns1:r>
              <ns1:t>​</ns1:t>
            </ns1:r>
          </ns1:e>
          <ns1:sup>
            <ns1:r>
              <ns1:rPr>
                <ns1:sty ns1:val="p"/>
              </ns1:rPr>
              <ns1:t>*</ns1:t>
            </ns1:r>
          </ns1:sup>
        </ns1:sSup>
      </ns1:oMath>
      <ns0:r>
        <ns0:t xml:space="preserve">Corresponding</ns0:t>
      </ns0:r>
      <ns0:r>
        <ns0:t xml:space="preserve"> </ns0:t>
      </ns0:r>
      <ns0:r>
        <ns0:t xml:space="preserve">author:</ns0:t>
      </ns0:r>
      <ns0:r>
        <ns0:t xml:space="preserve"> </ns0:t>
      </ns0:r>
      <ns0:r>
        <ns0:t xml:space="preserve">Petr</ns0:t>
      </ns0:r>
      <ns0:r>
        <ns0:t xml:space="preserve"> </ns0:t>
      </ns0:r>
      <ns0:r>
        <ns0:t xml:space="preserve">Henyš</ns0:t>
      </ns0:r>
      <ns0:r>
        <ns0:t xml:space="preserve"> </ns0:t>
      </ns0:r>
      <ns0:r>
        <ns0:t xml:space="preserve">(</ns0:t>
      </ns0:r>
      <ns0:r>
        <ns0:rPr>
          <ns0:rStyle ns0:val="VerbatimChar"/>
        </ns0:rPr>
        <ns0:t xml:space="preserve">petr.henys@tul.cz</ns0:t>
      </ns0:r>
      <ns0:r>
        <ns0:t xml:space="preserve">)</ns0:t>
      </ns0:r>
    </ns0:p>
    <ns0:bookmarkStart ns0:id="20" ns0:name="abstract"/>
    <ns0:p>
      <ns0:pPr>
        <ns0:pStyle ns0:val="Heading1"/>
      </ns0:pPr>
      <ns0:r>
        <ns0:t xml:space="preserve">Abstract</ns0:t>
      </ns0:r>
    </ns0:p>
    <ns0:p>
      <ns0:pPr>
        <ns0:pStyle ns0:val="FirstParagraph"/>
      </ns0:pPr>
      <ns0:r>
        <ns0:t xml:space="preserve">How much of population sacroiliac joint (SIJ) motion can be predicted from size and a few anatomical measurements, and what information is needed when loading changes? We analyzed 278 imaging-derived pelvic models under five standardized loads using passive linear finite-element (FE) mechanics. This cohort is a subset of a previously studied computed tomography collection. Repeated subject-held-out cross-validation compared age-and-volume models with models adding inlet anteroposterior diameter, interspinous width and subpubic angle. The triad reduced translation root mean square prediction error (RMSE) by 8.2–31.3% across loads, with prediction</ns0:t>
      </ns0:r>
      <ns0:r>
        <ns0:t xml:space="preserve"> </ns0:t>
      </ns0:r>
      <ns1:oMath>
        <ns1:sSup>
          <ns1:e>
            <ns1:r>
              <ns1:t>R</ns1:t>
            </ns1:r>
          </ns1:e>
          <ns1:sup>
            <ns1:r>
              <ns1:t>2</ns1:t>
            </ns1:r>
          </ns1:sup>
        </ns1:sSup>
        <ns1:r>
          <ns1:rPr>
            <ns1:sty ns1:val="p"/>
          </ns1:rPr>
          <ns1:t>=</ns1:t>
        </ns1:r>
        <ns1:r>
          <ns1:t>0.309</ns1:t>
        </ns1:r>
      </ns1:oMath>
      <ns0:r>
        <ns0:t xml:space="preserve">–0.717. Rotation gains ranged from 1.2% to 25.0%; the smallest gain had a pointwise interval including zero. Adding sex terms or all eight available dimensions gave no clear further improvement in paired intervals. A controlled mechanistic test redistributed the same transverse forces between internal-ring and ischial patches, using exact FE field superposition and re-extracting joint motion. At equal redistribution, translation was a median 21.9% below the scalar combination of individual endpoint magnitudes (95% confidence interval 20.0–23.7%). Retaining signed endpoint vectors reduced combination RMSE from 0.0580 to 0.00021 mm. This identifies directional cancellation as a limit to scalar load transfer, separately from cross-subject prediction error. Geometry-preserving density standardization retained individual translation closely (RMSE</ns0:t>
      </ns0:r>
      <ns0:r>
        <ns0:t xml:space="preserve"> </ns0:t>
      </ns0:r>
      <ns1:oMath>
        <ns1:r>
          <ns1:rPr>
            <ns1:sty ns1:val="p"/>
          </ns1:rPr>
          <ns1:t>≤</ns1:t>
        </ns1:r>
        <ns1:r>
          <ns1:t>0.0280</ns1:t>
        </ns1:r>
      </ns1:oMath>
      <ns0:r>
        <ns0:t xml:space="preserve"> mm), conditional on the implemented material law and shared soft-tissue properties. A compact anatomical description therefore predicts useful variation under specified loads, while transfer to redistributed loading requires directional information. Validation remains internal and the predictor set was selected retrospectively.</ns0:t>
      </ns0:r>
    </ns0:p>
    <ns0:p>
      <ns0:pPr>
        <ns0:pStyle ns0:val="BodyText"/>
      </ns0:pPr>
      <ns0:r>
        <ns0:rPr>
          <ns0:bCs/>
          <ns0:b/>
        </ns0:rPr>
        <ns0:t xml:space="preserve">Keywords:</ns0:t>
      </ns0:r>
      <ns0:r>
        <ns0:t xml:space="preserve"> </ns0:t>
      </ns0:r>
      <ns0:r>
        <ns0:t xml:space="preserve">functional morphology; cross-validation; force redistribution; directional cancellation; finite-element analysis</ns0:t>
      </ns0:r>
    </ns0:p>
    <ns0:bookmarkEnd ns0:id="20"/>
    <ns0:bookmarkStart ns0:id="21" ns0:name="introduction"/>
    <ns0:p>
      <ns0:pPr>
        <ns0:pStyle ns0:val="Heading1"/>
      </ns0:pPr>
      <ns0:r>
        <ns0:t xml:space="preserve">1. Introduction</ns0:t>
      </ns0:r>
    </ns0:p>
    <ns0:p>
      <ns0:pPr>
        <ns0:pStyle ns0:val="FirstParagraph"/>
      </ns0:pPr>
      <ns0:r>
        <ns0:t xml:space="preserve">The sacroiliac joints (SIJs) transfer load between the spine and lower limbs through a ring stabilized by articular geometry, ligaments and muscular compression</ns0:t>
      </ns0:r>
      <ns0:r>
        <ns0:t xml:space="preserve"> </ns0:t>
      </ns0:r>
      <ns0:r>
        <ns0:t xml:space="preserve">(Snijders, Vleeming, and Stoeckart 1993; Vleeming et al. 2012; Hammer et al. 2013)</ns0:t>
      </ns0:r>
      <ns0:r>
        <ns0:t xml:space="preserve">. Small three-dimensional joint movements vary substantially between individuals</ns0:t>
      </ns0:r>
      <ns0:r>
        <ns0:t xml:space="preserve"> </ns0:t>
      </ns0:r>
      <ns0:r>
        <ns0:t xml:space="preserve">(Hammer et al. 2019)</ns0:t>
      </ns0:r>
      <ns0:r>
        <ns0:t xml:space="preserve">. Understanding this variation requires more than describing average mobility: an anatomical account should specify how much of the response can be predicted from a small set of measurements and which information is lost when the full pelvic geometry is reduced to those measurements.</ns0:t>
      </ns0:r>
    </ns0:p>
    <ns0:p>
      <ns0:pPr>
        <ns0:pStyle ns0:val="BodyText"/>
      </ns0:pPr>
      <ns0:r>
        <ns0:t xml:space="preserve">Pelvic variation includes overall size, inlet and midpelvic proportions, pubic arch geometry and local SIJ morphology. Sex-associated dimensions follow distinct developmental trajectories</ns0:t>
      </ns0:r>
      <ns0:r>
        <ns0:t xml:space="preserve"> </ns0:t>
      </ns0:r>
      <ns0:r>
        <ns0:t xml:space="preserve">(Huseynov et al. 2016)</ns0:t>
      </ns0:r>
      <ns0:r>
        <ns0:t xml:space="preserve">, and pelvic shape covaries with stature</ns0:t>
      </ns0:r>
      <ns0:r>
        <ns0:t xml:space="preserve"> </ns0:t>
      </ns0:r>
      <ns0:r>
        <ns0:t xml:space="preserve">(Fischer and Mitteroecker 2015)</ns0:t>
      </ns0:r>
      <ns0:r>
        <ns0:t xml:space="preserve">. Overall height-to-width proportions have a substantial allometric component, whereas subpubic-angle dimorphism is predominantly non-allometric</ns0:t>
      </ns0:r>
      <ns0:r>
        <ns0:t xml:space="preserve"> </ns0:t>
      </ns0:r>
      <ns0:r>
        <ns0:t xml:space="preserve">(Fischer and Mitteroecker 2017)</ns0:t>
      </ns0:r>
      <ns0:r>
        <ns0:t xml:space="preserve">; local iliac auricular shape also differs between sexes</ns0:t>
      </ns0:r>
      <ns0:r>
        <ns0:t xml:space="preserve"> </ns0:t>
      </ns0:r>
      <ns0:r>
        <ns0:t xml:space="preserve">(Nishi et al. 2020)</ns0:t>
      </ns0:r>
      <ns0:r>
        <ns0:t xml:space="preserve">. These observations motivate anatomical predictors that represent scale and complementary dimensions of the ring. They do not establish that a few dimensions reproduce the mechanical information carried by a complete geometry.</ns0:t>
      </ns0:r>
    </ns0:p>
    <ns0:p>
      <ns0:pPr>
        <ns0:pStyle ns0:val="BodyText"/>
      </ns0:pPr>
      <ns0:r>
        <ns0:t xml:space="preserve">Comparative finite-element analysis can connect anatomical variation to mechanical function, provided that the loading question and the distinction between size and shape are explicit</ns0:t>
      </ns0:r>
      <ns0:r>
        <ns0:t xml:space="preserve"> </ns0:t>
      </ns0:r>
      <ns0:r>
        <ns0:t xml:space="preserve">(Dumont, Grosse, and Slater 2009)</ns0:t>
      </ns0:r>
      <ns0:r>
        <ns0:t xml:space="preserve">. A previous population study of 281 CT-derived pelvic models related auricular surface morphology and cartilage dimensions to SIJ stress and deformation</ns0:t>
      </ns0:r>
      <ns0:r>
        <ns0:t xml:space="preserve"> </ns0:t>
      </ns0:r>
      <ns0:r>
        <ns0:t xml:space="preserve">(Henyš and Hammer 2025)</ns0:t>
      </ns0:r>
      <ns0:r>
        <ns0:t xml:space="preserve">. The present 278-subject cohort is a subset of that CT collection, rather than an independent anatomical sample. Here the question concerns relative joint kinematics under five loading configurations, prediction in held-out subjects, and a controlled test of the information needed when load application is redistributed. The source anatomy overlaps; the predictive assessment and load-mixture experiment address questions beyond the earlier morphology–stress analysis.</ns0:t>
      </ns0:r>
    </ns0:p>
    <ns0:p>
      <ns0:pPr>
        <ns0:pStyle ns0:val="BodyText"/>
      </ns0:pPr>
      <ns0:r>
        <ns0:t xml:space="preserve">Sex-associated SIJ mobility has been reported in representative male/female models</ns0:t>
      </ns0:r>
      <ns0:r>
        <ns0:t xml:space="preserve"> </ns0:t>
      </ns0:r>
      <ns0:r>
        <ns0:t xml:space="preserve">(Joukar et al. 2018)</ns0:t>
      </ns0:r>
      <ns0:r>
        <ns0:t xml:space="preserve">, upright MRI</ns0:t>
      </ns0:r>
      <ns0:r>
        <ns0:t xml:space="preserve"> </ns0:t>
      </ns0:r>
      <ns0:r>
        <ns0:t xml:space="preserve">(Tani et al. 2023)</ns0:t>
      </ns0:r>
      <ns0:r>
        <ns0:t xml:space="preserve">, and cadaveric measurements</ns0:t>
      </ns0:r>
      <ns0:r>
        <ns0:t xml:space="preserve"> </ns0:t>
      </ns0:r>
      <ns0:r>
        <ns0:t xml:space="preserve">(Shin, Kwak, and Lee 2024)</ns0:t>
      </ns0:r>
      <ns0:r>
        <ns0:t xml:space="preserve">. In the present passive model, however, sex is a statistical group label: geometry and density are individualized, while cartilage, ligament and pretension parameters are shared. Simulated group differences therefore arise through those represented inputs. The useful question is whether explicit anatomical measurements capture their predictive information, and whether adding the sex label improves prediction after anatomy is included. Attenuation of an adjusted group coefficient alone cannot establish this predictive sufficiency or biological sex equivalence.</ns0:t>
      </ns0:r>
    </ns0:p>
    <ns0:p>
      <ns0:pPr>
        <ns0:pStyle ns0:val="BodyText"/>
      </ns0:pPr>
      <ns0:r>
        <ns0:t xml:space="preserve">Loading provides a second limit to anatomical reduction. For fixed linearized stiffness, displacement fields superpose, but their magnitudes do not generally do so. Forces applied at different parts of the ring can produce joint-displacement vectors that reinforce or oppose one another. A model describing only response magnitude under each loading configuration may therefore lose information required to combine loads, even when the geometry is unchanged. This distinction supplies a testable mechanism for a failure of scalar response reduction. It is separate from the cross-subject errors of an anatomical predictor.</ns0:t>
      </ns0:r>
    </ns0:p>
    <ns0:p>
      <ns0:pPr>
        <ns0:pStyle ns0:val="BodyText"/>
      </ns0:pPr>
      <ns0:r>
        <ns0:t xml:space="preserve">Material representation also sets the scope of prediction. Ligament pretension affects SIJ response</ns0:t>
      </ns0:r>
      <ns0:r>
        <ns0:t xml:space="preserve"> </ns0:t>
      </ns0:r>
      <ns0:r>
        <ns0:t xml:space="preserve">(Heyland et al. 2025)</ns0:t>
      </ns0:r>
      <ns0:r>
        <ns0:t xml:space="preserve">, and reductions in bone stiffness can alter modeled motion</ns0:t>
      </ns0:r>
      <ns0:r>
        <ns0:t xml:space="preserve"> </ns0:t>
      </ns0:r>
      <ns0:r>
        <ns0:t xml:space="preserve">(Fan et al. 2026)</ns0:t>
      </ns0:r>
      <ns0:r>
        <ns0:t xml:space="preserve">. Matched variants retaining either individual geometry or individual bone density allow assessment of a geometry-preserving density simplification, with soft-tissue parameters held fixed. Such comparisons quantify approximation error for specified endpoints; they do not establish a universal hierarchy of anatomical and material effects.</ns0:t>
      </ns0:r>
    </ns0:p>
    <ns0:p>
      <ns0:pPr>
        <ns0:pStyle ns0:val="BodyText"/>
      </ns0:pPr>
      <ns0:r>
        <ns0:t xml:space="preserve">We asked how far pelvic size and three anatomical measures predict population SIJ motion across loading configurations, and what directional mechanism limits transfer to a redistributed load. Using 278 geometries from the BoneDat workflow</ns0:t>
      </ns0:r>
      <ns0:r>
        <ns0:t xml:space="preserve"> </ns0:t>
      </ns0:r>
      <ns0:r>
        <ns0:t xml:space="preserve">(Henyš and Kuchař 2025)</ns0:t>
      </ns0:r>
      <ns0:r>
        <ns0:t xml:space="preserve">, we compared size-based and triad-augmented predictions in repeated subject-held-out cross-validation. The triad comprises inlet AP depth, interspinous width and subpubic angle. Additional sex terms and all eight available measures were assessed as benchmarks. We then redistributed fixed transverse forces between the internal ring and ischial tuberosities and compared scalar and signed-vector combinations against kinematics re-extracted from the mixed FE fields. All analyses were retrospective. Predictions concern the represented passive mechanics and loading configurations; the force pairs are mechanical probes, and do not represent fetal passage or maternal soft-tissue deformation during childbirth</ns0:t>
      </ns0:r>
      <ns0:r>
        <ns0:t xml:space="preserve"> </ns0:t>
      </ns0:r>
      <ns0:r>
        <ns0:t xml:space="preserve">(Chen and Grimm 2021)</ns0:t>
      </ns0:r>
      <ns0:r>
        <ns0:t xml:space="preserve">.</ns0:t>
      </ns0:r>
    </ns0:p>
    <ns0:bookmarkEnd ns0:id="21"/>
    <ns0:bookmarkStart ns0:id="36" ns0:name="materials-and-methods"/>
    <ns0:p>
      <ns0:pPr>
        <ns0:pStyle ns0:val="Heading1"/>
      </ns0:pPr>
      <ns0:r>
        <ns0:t xml:space="preserve">2. Materials and methods</ns0:t>
      </ns0:r>
    </ns0:p>
    <ns0:bookmarkStart ns0:id="23" ns0:name="cohort-and-provenance"/>
    <ns0:p>
      <ns0:pPr>
        <ns0:pStyle ns0:val="Heading2"/>
      </ns0:pPr>
      <ns0:r>
        <ns0:t xml:space="preserve">2.1. Cohort and provenance</ns0:t>
      </ns0:r>
    </ns0:p>
    <ns0:p>
      <ns0:pPr>
        <ns0:pStyle ns0:val="FirstParagraph"/>
      </ns0:pPr>
      <ns0:r>
        <ns0:t xml:space="preserve">The cohort comprised 278 pelvic models (150 female, 128 male), aged 16–91 years (mean</ns0:t>
      </ns0:r>
      <ns0:r>
        <ns0:t xml:space="preserve"> </ns0:t>
      </ns0:r>
      <ns1:oMath>
        <ns1:r>
          <ns1:rPr>
            <ns1:sty ns1:val="p"/>
          </ns1:rPr>
          <ns1:t>±</ns1:t>
        </ns1:r>
      </ns1:oMath>
      <ns0:r>
        <ns0:t xml:space="preserve"> </ns0:t>
      </ns0:r>
      <ns0:r>
        <ns0:t xml:space="preserve">SD:</ns0:t>
      </ns0:r>
      <ns0:r>
        <ns0:t xml:space="preserve"> </ns0:t>
      </ns0:r>
      <ns1:oMath>
        <ns1:r>
          <ns1:t>53.9</ns1:t>
        </ns1:r>
        <ns1:r>
          <ns1:rPr>
            <ns1:sty ns1:val="p"/>
          </ns1:rPr>
          <ns1:t>±</ns1:t>
        </ns1:r>
        <ns1:r>
          <ns1:t>19.3</ns1:t>
        </ns1:r>
      </ns1:oMath>
      <ns0:r>
        <ns0:t xml:space="preserve"> </ns0:t>
      </ns0:r>
      <ns0:r>
        <ns0:t xml:space="preserve">years), using the BoneDat morphology workflow</ns0:t>
      </ns0:r>
      <ns0:r>
        <ns0:t xml:space="preserve"> </ns0:t>
      </ns0:r>
      <ns0:r>
        <ns0:t xml:space="preserve">(Henyš and Kuchař 2025)</ns0:t>
      </ns0:r>
      <ns0:r>
        <ns0:t xml:space="preserve">. These subjects are a subset of the 281-subject CT collection used in the earlier auricular morphology study</ns0:t>
      </ns0:r>
      <ns0:r>
        <ns0:t xml:space="preserve"> </ns0:t>
      </ns0:r>
      <ns0:r>
        <ns0:t xml:space="preserve">(Henyš and Hammer 2025)</ns0:t>
      </ns0:r>
      <ns0:r>
        <ns0:t xml:space="preserve">; they are not an independent replication cohort. The present analysis uses the 278 subjects represented in the matched geometry–density simulation archives. Demographic, morphometric and size tables were joined by subject identifier. Eight morphometric variables and the kinematic outcomes were complete for the included cohort (Table 1). Ethical approval was granted by University Hospital Hradec Králové, reference 202411IO3P, with waiver of informed consent.</ns0:t>
      </ns0:r>
    </ns0:p>
    <ns0:bookmarkStart ns0:id="22" ns0:name="tab:cohort"/>
    <ns0:p>
      <ns0:pPr>
        <ns0:pStyle ns0:val="TableCaption"/>
      </ns0:pPr>
      <ns0:r>
        <ns0:t xml:space="preserve">Table 1. Demographic and morphometric characteristics. Values are mean</ns0:t>
      </ns0:r>
      <ns0:r>
        <ns0:t xml:space="preserve"> </ns0:t>
      </ns0:r>
      <ns1:oMath>
        <ns1:r>
          <ns1:rPr>
            <ns1:sty ns1:val="p"/>
          </ns1:rPr>
          <ns1:t>±</ns1:t>
        </ns1:r>
      </ns1:oMath>
      <ns0:r>
        <ns0:t xml:space="preserve"> </ns0:t>
      </ns0:r>
      <ns0:r>
        <ns0:t xml:space="preserve">SD; linear dimensions and the subpubic angle are measured from mapped landmarks. Bony pelvic volume sums the selected left and right hip-bone bodies and sacrum.</ns0:t>
      </ns0:r>
    </ns0:p>
    <ns0:tbl>
      <ns0:tblPr>
        <ns0:tblStyle ns0:val="Table"/>
        <ns0:tblW ns0:type="pct" ns0:w="5000"/>
        <ns0:tblLook ns0:firstRow="1" ns0:lastRow="0" ns0:firstColumn="0" ns0:lastColumn="0" ns0:noHBand="0" ns0:noVBand="0" ns0:val="0020"/>
        <ns0:tblCaption ns0:val="Table 1. Demographic and morphometric characteristics. Values are mean \pm SD; linear dimensions and the subpubic angle are measured from mapped landmarks. Bony pelvic volume sums the selected left and right hip-bone bodies and sacrum."/>
      </ns0:tblPr>
      <ns0:tblGrid/>
      <ns0:tr>
        <ns0:tc>
          <ns0:p>
            <ns0:pPr>
              <ns0:pStyle ns0:val="Compact"/>
              <ns0:jc ns0:val="left"/>
            </ns0:pPr>
            <ns0:r>
              <ns0:t xml:space="preserve">Variable</ns0:t>
              <ns0:rPr>
                <ns0:sz ns0:val="18"/>
              </ns0:rPr>
            </ns0:r>
          </ns0:p>
        </ns0:tc>
        <ns0:tc>
          <ns0:p>
            <ns0:pPr>
              <ns0:pStyle ns0:val="Compact"/>
              <ns0:jc ns0:val="left"/>
            </ns0:pPr>
            <ns0:r>
              <ns0:t xml:space="preserve">Overall</ns0:t>
              <ns0:rPr>
                <ns0:sz ns0:val="18"/>
              </ns0:rPr>
            </ns0:r>
          </ns0:p>
        </ns0:tc>
        <ns0:tc>
          <ns0:p>
            <ns0:pPr>
              <ns0:pStyle ns0:val="Compact"/>
              <ns0:jc ns0:val="left"/>
            </ns0:pPr>
            <ns0:r>
              <ns0:t xml:space="preserve">Female</ns0:t>
              <ns0:rPr>
                <ns0:sz ns0:val="18"/>
              </ns0:rPr>
            </ns0:r>
          </ns0:p>
        </ns0:tc>
        <ns0:tc>
          <ns0:p>
            <ns0:pPr>
              <ns0:pStyle ns0:val="Compact"/>
              <ns0:jc ns0:val="left"/>
            </ns0:pPr>
            <ns0:r>
              <ns0:t xml:space="preserve">Male</ns0:t>
              <ns0:rPr>
                <ns0:sz ns0:val="18"/>
              </ns0:rPr>
            </ns0:r>
          </ns0:p>
        </ns0:tc>
        <ns0:tc>
          <ns0:p>
            <ns0:pPr>
              <ns0:pStyle ns0:val="Compact"/>
              <ns0:jc ns0:val="left"/>
            </ns0:pPr>
            <ns0:r>
              <ns0:t xml:space="preserve">Missing</ns0:t>
              <ns0:rPr>
                <ns0:sz ns0:val="18"/>
              </ns0:rPr>
            </ns0:r>
          </ns0:p>
        </ns0:tc>
      </ns0:tr>
      <ns0:tr>
        <ns0:tc>
          <ns0:p>
            <ns0:pPr>
              <ns0:pStyle ns0:val="Compact"/>
              <ns0:jc ns0:val="left"/>
            </ns0:pPr>
            <ns0:r>
              <ns0:t xml:space="preserve">N</ns0:t>
              <ns0:rPr>
                <ns0:sz ns0:val="18"/>
              </ns0:rPr>
            </ns0:r>
          </ns0:p>
        </ns0:tc>
        <ns0:tc>
          <ns0:p>
            <ns0:pPr>
              <ns0:pStyle ns0:val="Compact"/>
              <ns0:jc ns0:val="left"/>
            </ns0:pPr>
            <ns0:r>
              <ns0:t xml:space="preserve">278</ns0:t>
              <ns0:rPr>
                <ns0:sz ns0:val="18"/>
              </ns0:rPr>
            </ns0:r>
          </ns0:p>
        </ns0:tc>
        <ns0:tc>
          <ns0:p>
            <ns0:pPr>
              <ns0:pStyle ns0:val="Compact"/>
              <ns0:jc ns0:val="left"/>
            </ns0:pPr>
            <ns0:r>
              <ns0:t xml:space="preserve">150</ns0:t>
              <ns0:rPr>
                <ns0:sz ns0:val="18"/>
              </ns0:rPr>
            </ns0:r>
          </ns0:p>
        </ns0:tc>
        <ns0:tc>
          <ns0:p>
            <ns0:pPr>
              <ns0:pStyle ns0:val="Compact"/>
              <ns0:jc ns0:val="left"/>
            </ns0:pPr>
            <ns0:r>
              <ns0:t xml:space="preserve">128</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Age (years)</ns0:t>
              <ns0:rPr>
                <ns0:sz ns0:val="18"/>
              </ns0:rPr>
            </ns0:r>
          </ns0:p>
        </ns0:tc>
        <ns0:tc>
          <ns0:p>
            <ns0:pPr>
              <ns0:pStyle ns0:val="Compact"/>
              <ns0:jc ns0:val="left"/>
            </ns0:pPr>
            <ns0:r>
              <ns0:t xml:space="preserve">53.90 ± 19.33</ns0:t>
              <ns0:rPr>
                <ns0:sz ns0:val="18"/>
              </ns0:rPr>
            </ns0:r>
          </ns0:p>
        </ns0:tc>
        <ns0:tc>
          <ns0:p>
            <ns0:pPr>
              <ns0:pStyle ns0:val="Compact"/>
              <ns0:jc ns0:val="left"/>
            </ns0:pPr>
            <ns0:r>
              <ns0:t xml:space="preserve">53.36 ± 19.74</ns0:t>
              <ns0:rPr>
                <ns0:sz ns0:val="18"/>
              </ns0:rPr>
            </ns0:r>
          </ns0:p>
        </ns0:tc>
        <ns0:tc>
          <ns0:p>
            <ns0:pPr>
              <ns0:pStyle ns0:val="Compact"/>
              <ns0:jc ns0:val="left"/>
            </ns0:pPr>
            <ns0:r>
              <ns0:t xml:space="preserve">54.52 ± 18.91</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Inlet AP diameter (mm)</ns0:t>
              <ns0:rPr>
                <ns0:sz ns0:val="18"/>
              </ns0:rPr>
            </ns0:r>
          </ns0:p>
        </ns0:tc>
        <ns0:tc>
          <ns0:p>
            <ns0:pPr>
              <ns0:pStyle ns0:val="Compact"/>
              <ns0:jc ns0:val="left"/>
            </ns0:pPr>
            <ns0:r>
              <ns0:t xml:space="preserve">117.04 ± 10.52</ns0:t>
              <ns0:rPr>
                <ns0:sz ns0:val="18"/>
              </ns0:rPr>
            </ns0:r>
          </ns0:p>
        </ns0:tc>
        <ns0:tc>
          <ns0:p>
            <ns0:pPr>
              <ns0:pStyle ns0:val="Compact"/>
              <ns0:jc ns0:val="left"/>
            </ns0:pPr>
            <ns0:r>
              <ns0:t xml:space="preserve">121.04 ± 10.02</ns0:t>
              <ns0:rPr>
                <ns0:sz ns0:val="18"/>
              </ns0:rPr>
            </ns0:r>
          </ns0:p>
        </ns0:tc>
        <ns0:tc>
          <ns0:p>
            <ns0:pPr>
              <ns0:pStyle ns0:val="Compact"/>
              <ns0:jc ns0:val="left"/>
            </ns0:pPr>
            <ns0:r>
              <ns0:t xml:space="preserve">112.34 ± 9.07</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Biacetabular width (mm)</ns0:t>
              <ns0:rPr>
                <ns0:sz ns0:val="18"/>
              </ns0:rPr>
            </ns0:r>
          </ns0:p>
        </ns0:tc>
        <ns0:tc>
          <ns0:p>
            <ns0:pPr>
              <ns0:pStyle ns0:val="Compact"/>
              <ns0:jc ns0:val="left"/>
            </ns0:pPr>
            <ns0:r>
              <ns0:t xml:space="preserve">125.81 ± 8.53</ns0:t>
              <ns0:rPr>
                <ns0:sz ns0:val="18"/>
              </ns0:rPr>
            </ns0:r>
          </ns0:p>
        </ns0:tc>
        <ns0:tc>
          <ns0:p>
            <ns0:pPr>
              <ns0:pStyle ns0:val="Compact"/>
              <ns0:jc ns0:val="left"/>
            </ns0:pPr>
            <ns0:r>
              <ns0:t xml:space="preserve">129.08 ± 8.21</ns0:t>
              <ns0:rPr>
                <ns0:sz ns0:val="18"/>
              </ns0:rPr>
            </ns0:r>
          </ns0:p>
        </ns0:tc>
        <ns0:tc>
          <ns0:p>
            <ns0:pPr>
              <ns0:pStyle ns0:val="Compact"/>
              <ns0:jc ns0:val="left"/>
            </ns0:pPr>
            <ns0:r>
              <ns0:t xml:space="preserve">121.98 ± 7.22</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Biischiadic width (mm)</ns0:t>
              <ns0:rPr>
                <ns0:sz ns0:val="18"/>
              </ns0:rPr>
            </ns0:r>
          </ns0:p>
        </ns0:tc>
        <ns0:tc>
          <ns0:p>
            <ns0:pPr>
              <ns0:pStyle ns0:val="Compact"/>
              <ns0:jc ns0:val="left"/>
            </ns0:pPr>
            <ns0:r>
              <ns0:t xml:space="preserve">104.27 ± 9.33</ns0:t>
              <ns0:rPr>
                <ns0:sz ns0:val="18"/>
              </ns0:rPr>
            </ns0:r>
          </ns0:p>
        </ns0:tc>
        <ns0:tc>
          <ns0:p>
            <ns0:pPr>
              <ns0:pStyle ns0:val="Compact"/>
              <ns0:jc ns0:val="left"/>
            </ns0:pPr>
            <ns0:r>
              <ns0:t xml:space="preserve">109.87 ± 7.13</ns0:t>
              <ns0:rPr>
                <ns0:sz ns0:val="18"/>
              </ns0:rPr>
            </ns0:r>
          </ns0:p>
        </ns0:tc>
        <ns0:tc>
          <ns0:p>
            <ns0:pPr>
              <ns0:pStyle ns0:val="Compact"/>
              <ns0:jc ns0:val="left"/>
            </ns0:pPr>
            <ns0:r>
              <ns0:t xml:space="preserve">97.71 ± 7.06</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Bituberous width (mm)</ns0:t>
              <ns0:rPr>
                <ns0:sz ns0:val="18"/>
              </ns0:rPr>
            </ns0:r>
          </ns0:p>
        </ns0:tc>
        <ns0:tc>
          <ns0:p>
            <ns0:pPr>
              <ns0:pStyle ns0:val="Compact"/>
              <ns0:jc ns0:val="left"/>
            </ns0:pPr>
            <ns0:r>
              <ns0:t xml:space="preserve">132.24 ± 9.15</ns0:t>
              <ns0:rPr>
                <ns0:sz ns0:val="18"/>
              </ns0:rPr>
            </ns0:r>
          </ns0:p>
        </ns0:tc>
        <ns0:tc>
          <ns0:p>
            <ns0:pPr>
              <ns0:pStyle ns0:val="Compact"/>
              <ns0:jc ns0:val="left"/>
            </ns0:pPr>
            <ns0:r>
              <ns0:t xml:space="preserve">136.46 ± 8.29</ns0:t>
              <ns0:rPr>
                <ns0:sz ns0:val="18"/>
              </ns0:rPr>
            </ns0:r>
          </ns0:p>
        </ns0:tc>
        <ns0:tc>
          <ns0:p>
            <ns0:pPr>
              <ns0:pStyle ns0:val="Compact"/>
              <ns0:jc ns0:val="left"/>
            </ns0:pPr>
            <ns0:r>
              <ns0:t xml:space="preserve">127.30 ± 7.49</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Iliopectineal eminence width (mm)</ns0:t>
              <ns0:rPr>
                <ns0:sz ns0:val="18"/>
              </ns0:rPr>
            </ns0:r>
          </ns0:p>
        </ns0:tc>
        <ns0:tc>
          <ns0:p>
            <ns0:pPr>
              <ns0:pStyle ns0:val="Compact"/>
              <ns0:jc ns0:val="left"/>
            </ns0:pPr>
            <ns0:r>
              <ns0:t xml:space="preserve">102.38 ± 7.75</ns0:t>
              <ns0:rPr>
                <ns0:sz ns0:val="18"/>
              </ns0:rPr>
            </ns0:r>
          </ns0:p>
        </ns0:tc>
        <ns0:tc>
          <ns0:p>
            <ns0:pPr>
              <ns0:pStyle ns0:val="Compact"/>
              <ns0:jc ns0:val="left"/>
            </ns0:pPr>
            <ns0:r>
              <ns0:t xml:space="preserve">106.20 ± 7.02</ns0:t>
              <ns0:rPr>
                <ns0:sz ns0:val="18"/>
              </ns0:rPr>
            </ns0:r>
          </ns0:p>
        </ns0:tc>
        <ns0:tc>
          <ns0:p>
            <ns0:pPr>
              <ns0:pStyle ns0:val="Compact"/>
              <ns0:jc ns0:val="left"/>
            </ns0:pPr>
            <ns0:r>
              <ns0:t xml:space="preserve">97.90 ± 5.96</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Pelvic inlet transverse (mm)</ns0:t>
              <ns0:rPr>
                <ns0:sz ns0:val="18"/>
              </ns0:rPr>
            </ns0:r>
          </ns0:p>
        </ns0:tc>
        <ns0:tc>
          <ns0:p>
            <ns0:pPr>
              <ns0:pStyle ns0:val="Compact"/>
              <ns0:jc ns0:val="left"/>
            </ns0:pPr>
            <ns0:r>
              <ns0:t xml:space="preserve">131.58 ± 8.88</ns0:t>
              <ns0:rPr>
                <ns0:sz ns0:val="18"/>
              </ns0:rPr>
            </ns0:r>
          </ns0:p>
        </ns0:tc>
        <ns0:tc>
          <ns0:p>
            <ns0:pPr>
              <ns0:pStyle ns0:val="Compact"/>
              <ns0:jc ns0:val="left"/>
            </ns0:pPr>
            <ns0:r>
              <ns0:t xml:space="preserve">134.85 ± 8.59</ns0:t>
              <ns0:rPr>
                <ns0:sz ns0:val="18"/>
              </ns0:rPr>
            </ns0:r>
          </ns0:p>
        </ns0:tc>
        <ns0:tc>
          <ns0:p>
            <ns0:pPr>
              <ns0:pStyle ns0:val="Compact"/>
              <ns0:jc ns0:val="left"/>
            </ns0:pPr>
            <ns0:r>
              <ns0:t xml:space="preserve">127.75 ± 7.61</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Sacral width (mm)</ns0:t>
              <ns0:rPr>
                <ns0:sz ns0:val="18"/>
              </ns0:rPr>
            </ns0:r>
          </ns0:p>
        </ns0:tc>
        <ns0:tc>
          <ns0:p>
            <ns0:pPr>
              <ns0:pStyle ns0:val="Compact"/>
              <ns0:jc ns0:val="left"/>
            </ns0:pPr>
            <ns0:r>
              <ns0:t xml:space="preserve">117.08 ± 6.08</ns0:t>
              <ns0:rPr>
                <ns0:sz ns0:val="18"/>
              </ns0:rPr>
            </ns0:r>
          </ns0:p>
        </ns0:tc>
        <ns0:tc>
          <ns0:p>
            <ns0:pPr>
              <ns0:pStyle ns0:val="Compact"/>
              <ns0:jc ns0:val="left"/>
            </ns0:pPr>
            <ns0:r>
              <ns0:t xml:space="preserve">116.75 ± 5.67</ns0:t>
              <ns0:rPr>
                <ns0:sz ns0:val="18"/>
              </ns0:rPr>
            </ns0:r>
          </ns0:p>
        </ns0:tc>
        <ns0:tc>
          <ns0:p>
            <ns0:pPr>
              <ns0:pStyle ns0:val="Compact"/>
              <ns0:jc ns0:val="left"/>
            </ns0:pPr>
            <ns0:r>
              <ns0:t xml:space="preserve">117.47 ± 6.54</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Subpubic angle (deg)</ns0:t>
              <ns0:rPr>
                <ns0:sz ns0:val="18"/>
              </ns0:rPr>
            </ns0:r>
          </ns0:p>
        </ns0:tc>
        <ns0:tc>
          <ns0:p>
            <ns0:pPr>
              <ns0:pStyle ns0:val="Compact"/>
              <ns0:jc ns0:val="left"/>
            </ns0:pPr>
            <ns0:r>
              <ns0:t xml:space="preserve">78.12 ± 10.12</ns0:t>
              <ns0:rPr>
                <ns0:sz ns0:val="18"/>
              </ns0:rPr>
            </ns0:r>
          </ns0:p>
        </ns0:tc>
        <ns0:tc>
          <ns0:p>
            <ns0:pPr>
              <ns0:pStyle ns0:val="Compact"/>
              <ns0:jc ns0:val="left"/>
            </ns0:pPr>
            <ns0:r>
              <ns0:t xml:space="preserve">85.80 ± 6.14</ns0:t>
              <ns0:rPr>
                <ns0:sz ns0:val="18"/>
              </ns0:rPr>
            </ns0:r>
          </ns0:p>
        </ns0:tc>
        <ns0:tc>
          <ns0:p>
            <ns0:pPr>
              <ns0:pStyle ns0:val="Compact"/>
              <ns0:jc ns0:val="left"/>
            </ns0:pPr>
            <ns0:r>
              <ns0:t xml:space="preserve">69.11 ± 5.26</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Global scale factor (-)</ns0:t>
              <ns0:rPr>
                <ns0:sz ns0:val="18"/>
              </ns0:rPr>
            </ns0:r>
          </ns0:p>
        </ns0:tc>
        <ns0:tc>
          <ns0:p>
            <ns0:pPr>
              <ns0:pStyle ns0:val="Compact"/>
              <ns0:jc ns0:val="left"/>
            </ns0:pPr>
            <ns0:r>
              <ns0:t xml:space="preserve">0.96 ± 0.06</ns0:t>
              <ns0:rPr>
                <ns0:sz ns0:val="18"/>
              </ns0:rPr>
            </ns0:r>
          </ns0:p>
        </ns0:tc>
        <ns0:tc>
          <ns0:p>
            <ns0:pPr>
              <ns0:pStyle ns0:val="Compact"/>
              <ns0:jc ns0:val="left"/>
            </ns0:pPr>
            <ns0:r>
              <ns0:t xml:space="preserve">0.92 ± 0.05</ns0:t>
              <ns0:rPr>
                <ns0:sz ns0:val="18"/>
              </ns0:rPr>
            </ns0:r>
          </ns0:p>
        </ns0:tc>
        <ns0:tc>
          <ns0:p>
            <ns0:pPr>
              <ns0:pStyle ns0:val="Compact"/>
              <ns0:jc ns0:val="left"/>
            </ns0:pPr>
            <ns0:r>
              <ns0:t xml:space="preserve">1.00 ± 0.05</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Total mapped bony pelvic volume (cm</ns0:t>
              <ns0:rPr>
                <ns0:sz ns0:val="18"/>
              </ns0:rPr>
            </ns0:r>
            <ns1:oMath>
              <ns1:sSup>
                <ns1:e>
                  <ns1:r>
                    <ns1:t>​</ns1:t>
                  </ns1:r>
                </ns1:e>
                <ns1:sup>
                  <ns1:r>
                    <ns1:t>3</ns1:t>
                  </ns1:r>
                </ns1:sup>
              </ns1:sSup>
            </ns1:oMath>
            <ns0:r>
              <ns0:t xml:space="preserve">)</ns0:t>
              <ns0:rPr>
                <ns0:sz ns0:val="18"/>
              </ns0:rPr>
            </ns0:r>
          </ns0:p>
        </ns0:tc>
        <ns0:tc>
          <ns0:p>
            <ns0:pPr>
              <ns0:pStyle ns0:val="Compact"/>
              <ns0:jc ns0:val="left"/>
            </ns0:pPr>
            <ns0:r>
              <ns0:t xml:space="preserve">823.58 ± 149.32</ns0:t>
              <ns0:rPr>
                <ns0:sz ns0:val="18"/>
              </ns0:rPr>
            </ns0:r>
          </ns0:p>
        </ns0:tc>
        <ns0:tc>
          <ns0:p>
            <ns0:pPr>
              <ns0:pStyle ns0:val="Compact"/>
              <ns0:jc ns0:val="left"/>
            </ns0:pPr>
            <ns0:r>
              <ns0:t xml:space="preserve">736.79 ± 105.99</ns0:t>
              <ns0:rPr>
                <ns0:sz ns0:val="18"/>
              </ns0:rPr>
            </ns0:r>
          </ns0:p>
        </ns0:tc>
        <ns0:tc>
          <ns0:p>
            <ns0:pPr>
              <ns0:pStyle ns0:val="Compact"/>
              <ns0:jc ns0:val="left"/>
            </ns0:pPr>
            <ns0:r>
              <ns0:t xml:space="preserve">925.28 ± 126.99</ns0:t>
              <ns0:rPr>
                <ns0:sz ns0:val="18"/>
              </ns0:rPr>
            </ns0:r>
          </ns0:p>
        </ns0:tc>
        <ns0:tc>
          <ns0:p>
            <ns0:pPr>
              <ns0:pStyle ns0:val="Compact"/>
              <ns0:jc ns0:val="left"/>
            </ns0:pPr>
            <ns0:r>
              <ns0:t xml:space="preserve">0</ns0:t>
              <ns0:rPr>
                <ns0:sz ns0:val="18"/>
              </ns0:rPr>
            </ns0:r>
          </ns0:p>
        </ns0:tc>
      </ns0:tr>
      <ns0:tr>
        <ns0:tc>
          <ns0:p>
            <ns0:pPr>
              <ns0:pStyle ns0:val="Compact"/>
              <ns0:jc ns0:val="left"/>
            </ns0:pPr>
            <ns0:r>
              <ns0:t xml:space="preserve">Total mapped bony pelvic surface (cm</ns0:t>
              <ns0:rPr>
                <ns0:sz ns0:val="18"/>
              </ns0:rPr>
            </ns0:r>
            <ns1:oMath>
              <ns1:sSup>
                <ns1:e>
                  <ns1:r>
                    <ns1:t>​</ns1:t>
                  </ns1:r>
                </ns1:e>
                <ns1:sup>
                  <ns1:r>
                    <ns1:t>2</ns1:t>
                  </ns1:r>
                </ns1:sup>
              </ns1:sSup>
            </ns1:oMath>
            <ns0:r>
              <ns0:t xml:space="preserve">)</ns0:t>
              <ns0:rPr>
                <ns0:sz ns0:val="18"/>
              </ns0:rPr>
            </ns0:r>
          </ns0:p>
        </ns0:tc>
        <ns0:tc>
          <ns0:p>
            <ns0:pPr>
              <ns0:pStyle ns0:val="Compact"/>
              <ns0:jc ns0:val="left"/>
            </ns0:pPr>
            <ns0:r>
              <ns0:t xml:space="preserve">1568.63 ± 169.26</ns0:t>
              <ns0:rPr>
                <ns0:sz ns0:val="18"/>
              </ns0:rPr>
            </ns0:r>
          </ns0:p>
        </ns0:tc>
        <ns0:tc>
          <ns0:p>
            <ns0:pPr>
              <ns0:pStyle ns0:val="Compact"/>
              <ns0:jc ns0:val="left"/>
            </ns0:pPr>
            <ns0:r>
              <ns0:t xml:space="preserve">1479.09 ± 133.64</ns0:t>
              <ns0:rPr>
                <ns0:sz ns0:val="18"/>
              </ns0:rPr>
            </ns0:r>
          </ns0:p>
        </ns0:tc>
        <ns0:tc>
          <ns0:p>
            <ns0:pPr>
              <ns0:pStyle ns0:val="Compact"/>
              <ns0:jc ns0:val="left"/>
            </ns0:pPr>
            <ns0:r>
              <ns0:t xml:space="preserve">1673.57 ± 144.80</ns0:t>
              <ns0:rPr>
                <ns0:sz ns0:val="18"/>
              </ns0:rPr>
            </ns0:r>
          </ns0:p>
        </ns0:tc>
        <ns0:tc>
          <ns0:p>
            <ns0:pPr>
              <ns0:pStyle ns0:val="Compact"/>
              <ns0:jc ns0:val="left"/>
            </ns0:pPr>
            <ns0:r>
              <ns0:t xml:space="preserve">0</ns0:t>
              <ns0:rPr>
                <ns0:sz ns0:val="18"/>
              </ns0:rPr>
            </ns0:r>
          </ns0:p>
        </ns0:tc>
      </ns0:tr>
    </ns0:tbl>
    <ns0:bookmarkEnd ns0:id="22"/>
    <ns0:bookmarkEnd ns0:id="23"/>
    <ns0:bookmarkStart ns0:id="26" ns0:name="Xebe77f35e9d27e5945e889cd3751a63baab3fc9"/>
    <ns0:p>
      <ns0:pPr>
        <ns0:pStyle ns0:val="Heading2"/>
      </ns0:pPr>
      <ns0:r>
        <ns0:t xml:space="preserve">2.2. Anatomical dimensions and their landmarks</ns0:t>
      </ns0:r>
    </ns0:p>
    <ns0:p>
      <ns0:pPr>
        <ns0:pStyle ns0:val="FirstParagraph"/>
      </ns0:pPr>
      <ns0:r>
        <ns0:t xml:space="preserve">Figure 1 shows all eight morphometric measures in Table 1, using the template landmarks from the measurement workflow. Each of the seven linear dimensions is the three-dimensional Euclidean distance</ns0:t>
      </ns0:r>
      <ns0:r>
        <ns0:t xml:space="preserve"> </ns0:t>
      </ns0:r>
      <ns1:oMath>
        <ns1:r>
          <ns1:t>d</ns1:t>
        </ns1:r>
        <ns1:r>
          <ns1:rPr>
            <ns1:sty ns1:val="p"/>
          </ns1:rPr>
          <ns1:t>=</ns1:t>
        </ns1:r>
        <ns1:r>
          <ns1:rPr>
            <ns1:sty ns1:val="p"/>
          </ns1:rPr>
          <ns1:t>∥</ns1:t>
        </ns1:r>
        <ns1:sSub>
          <ns1:e>
            <ns1:r>
              <ns1:rPr>
                <ns1:sty ns1:val="b"/>
              </ns1:rPr>
              <ns1:t>p</ns1:t>
            </ns1:r>
          </ns1:e>
          <ns1:sub>
            <ns1:r>
              <ns1:t>2</ns1:t>
            </ns1:r>
          </ns1:sub>
        </ns1:sSub>
        <ns1:r>
          <ns1:rPr>
            <ns1:sty ns1:val="p"/>
          </ns1:rPr>
          <ns1:t>−</ns1:t>
        </ns1:r>
        <ns1:sSub>
          <ns1:e>
            <ns1:r>
              <ns1:rPr>
                <ns1:sty ns1:val="b"/>
              </ns1:rPr>
              <ns1:t>p</ns1:t>
            </ns1:r>
          </ns1:e>
          <ns1:sub>
            <ns1:r>
              <ns1:t>1</ns1:t>
            </ns1:r>
          </ns1:sub>
        </ns1:sSub>
        <ns1:r>
          <ns1:rPr>
            <ns1:sty ns1:val="p"/>
          </ns1:rPr>
          <ns1:t>∥</ns1:t>
        </ns1:r>
      </ns1:oMath>
      <ns0:r>
        <ns0:t xml:space="preserve">, rather than its projection into a display plane. The subpubic angle uses the second of three landmarks as its vertex:</ns0:t>
      </ns0:r>
    </ns0:p>
    <ns0:p>
      <ns0:pPr>
        <ns0:pStyle ns0:val="BodyText"/>
      </ns0:pPr>
      <ns1:oMathPara>
        <ns1:oMathParaPr>
          <ns1:jc ns1:val="center"/>
        </ns1:oMathParaPr>
        <ns1:oMath>
          <ns1:sSub>
            <ns1:e>
              <ns1:r>
                <ns1:t>α</ns1:t>
              </ns1:r>
            </ns1:e>
            <ns1:sub>
              <ns1:r>
                <ns1:t>s</ns1:t>
              </ns1:r>
              <ns1:r>
                <ns1:t>u</ns1:t>
              </ns1:r>
              <ns1:r>
                <ns1:t>b</ns1:t>
              </ns1:r>
            </ns1:sub>
          </ns1:sSub>
          <ns1:r>
            <ns1:rPr>
              <ns1:sty ns1:val="p"/>
            </ns1:rPr>
            <ns1:t>=</ns1:t>
          </ns1:r>
          <ns1:r>
            <ns1:rPr>
              <ns1:nor/>
              <ns1:sty ns1:val="p"/>
            </ns1:rPr>
            <ns1:t>arccos</ns1:t>
          </ns1:r>
          <ns1:r>
            <ns1:t>​</ns1:t>
          </ns1:r>
          <ns1:d>
            <ns1:dPr>
              <ns1:begChr ns1:val="["/>
              <ns1:endChr ns1:val="]"/>
              <ns1:grow/>
            </ns1:dPr>
            <ns1:e>
              <ns1:f>
                <ns1:fPr>
                  <ns1:type ns1:val="bar"/>
                </ns1:fPr>
                <ns1:num>
                  <ns1:r>
                    <ns1:rPr>
                      <ns1:sty ns1:val="p"/>
                    </ns1:rPr>
                    <ns1:t>(</ns1:t>
                  </ns1:r>
                  <ns1:sSub>
                    <ns1:e>
                      <ns1:r>
                        <ns1:rPr>
                          <ns1:sty ns1:val="b"/>
                        </ns1:rPr>
                        <ns1:t>p</ns1:t>
                      </ns1:r>
                    </ns1:e>
                    <ns1:sub>
                      <ns1:r>
                        <ns1:t>1</ns1:t>
                      </ns1:r>
                    </ns1:sub>
                  </ns1:sSub>
                  <ns1:r>
                    <ns1:rPr>
                      <ns1:sty ns1:val="p"/>
                    </ns1:rPr>
                    <ns1:t>−</ns1:t>
                  </ns1:r>
                  <ns1:sSub>
                    <ns1:e>
                      <ns1:r>
                        <ns1:rPr>
                          <ns1:sty ns1:val="b"/>
                        </ns1:rPr>
                        <ns1:t>p</ns1:t>
                      </ns1:r>
                    </ns1:e>
                    <ns1:sub>
                      <ns1:r>
                        <ns1:t>2</ns1:t>
                      </ns1:r>
                    </ns1:sub>
                  </ns1:sSub>
                  <ns1:r>
                    <ns1:rPr>
                      <ns1:sty ns1:val="p"/>
                    </ns1:rPr>
                    <ns1:t>)</ns1:t>
                  </ns1:r>
                  <ns1:r>
                    <ns1:rPr>
                      <ns1:sty ns1:val="p"/>
                    </ns1:rPr>
                    <ns1:t>⋅</ns1:t>
                  </ns1:r>
                  <ns1:r>
                    <ns1:rPr>
                      <ns1:sty ns1:val="p"/>
                    </ns1:rPr>
                    <ns1:t>(</ns1:t>
                  </ns1:r>
                  <ns1:sSub>
                    <ns1:e>
                      <ns1:r>
                        <ns1:rPr>
                          <ns1:sty ns1:val="b"/>
                        </ns1:rPr>
                        <ns1:t>p</ns1:t>
                      </ns1:r>
                    </ns1:e>
                    <ns1:sub>
                      <ns1:r>
                        <ns1:t>3</ns1:t>
                      </ns1:r>
                    </ns1:sub>
                  </ns1:sSub>
                  <ns1:r>
                    <ns1:rPr>
                      <ns1:sty ns1:val="p"/>
                    </ns1:rPr>
                    <ns1:t>−</ns1:t>
                  </ns1:r>
                  <ns1:sSub>
                    <ns1:e>
                      <ns1:r>
                        <ns1:rPr>
                          <ns1:sty ns1:val="b"/>
                        </ns1:rPr>
                        <ns1:t>p</ns1:t>
                      </ns1:r>
                    </ns1:e>
                    <ns1:sub>
                      <ns1:r>
                        <ns1:t>2</ns1:t>
                      </ns1:r>
                    </ns1:sub>
                  </ns1:sSub>
                  <ns1:r>
                    <ns1:rPr>
                      <ns1:sty ns1:val="p"/>
                    </ns1:rPr>
                    <ns1:t>)</ns1:t>
                  </ns1:r>
                </ns1:num>
                <ns1:den>
                  <ns1:r>
                    <ns1:rPr>
                      <ns1:sty ns1:val="p"/>
                    </ns1:rPr>
                    <ns1:t>∥</ns1:t>
                  </ns1:r>
                  <ns1:sSub>
                    <ns1:e>
                      <ns1:r>
                        <ns1:rPr>
                          <ns1:sty ns1:val="b"/>
                        </ns1:rPr>
                        <ns1:t>p</ns1:t>
                      </ns1:r>
                    </ns1:e>
                    <ns1:sub>
                      <ns1:r>
                        <ns1:t>1</ns1:t>
                      </ns1:r>
                    </ns1:sub>
                  </ns1:sSub>
                  <ns1:r>
                    <ns1:rPr>
                      <ns1:sty ns1:val="p"/>
                    </ns1:rPr>
                    <ns1:t>−</ns1:t>
                  </ns1:r>
                  <ns1:sSub>
                    <ns1:e>
                      <ns1:r>
                        <ns1:rPr>
                          <ns1:sty ns1:val="b"/>
                        </ns1:rPr>
                        <ns1:t>p</ns1:t>
                      </ns1:r>
                    </ns1:e>
                    <ns1:sub>
                      <ns1:r>
                        <ns1:t>2</ns1:t>
                      </ns1:r>
                    </ns1:sub>
                  </ns1:sSub>
                  <ns1:r>
                    <ns1:rPr>
                      <ns1:sty ns1:val="p"/>
                    </ns1:rPr>
                    <ns1:t>∥</ns1:t>
                  </ns1:r>
                  <ns1:r>
                    <ns1:t> </ns1:t>
                  </ns1:r>
                  <ns1:r>
                    <ns1:rPr>
                      <ns1:sty ns1:val="p"/>
                    </ns1:rPr>
                    <ns1:t>∥</ns1:t>
                  </ns1:r>
                  <ns1:sSub>
                    <ns1:e>
                      <ns1:r>
                        <ns1:rPr>
                          <ns1:sty ns1:val="b"/>
                        </ns1:rPr>
                        <ns1:t>p</ns1:t>
                      </ns1:r>
                    </ns1:e>
                    <ns1:sub>
                      <ns1:r>
                        <ns1:t>3</ns1:t>
                      </ns1:r>
                    </ns1:sub>
                  </ns1:sSub>
                  <ns1:r>
                    <ns1:rPr>
                      <ns1:sty ns1:val="p"/>
                    </ns1:rPr>
                    <ns1:t>−</ns1:t>
                  </ns1:r>
                  <ns1:sSub>
                    <ns1:e>
                      <ns1:r>
                        <ns1:rPr>
                          <ns1:sty ns1:val="b"/>
                        </ns1:rPr>
                        <ns1:t>p</ns1:t>
                      </ns1:r>
                    </ns1:e>
                    <ns1:sub>
                      <ns1:r>
                        <ns1:t>2</ns1:t>
                      </ns1:r>
                    </ns1:sub>
                  </ns1:sSub>
                  <ns1:r>
                    <ns1:rPr>
                      <ns1:sty ns1:val="p"/>
                    </ns1:rPr>
                    <ns1:t>∥</ns1:t>
                  </ns1:r>
                </ns1:den>
              </ns1:f>
            </ns1:e>
          </ns1:d>
          <ns1:r>
            <ns1:rPr>
              <ns1:sty ns1:val="p"/>
            </ns1:rPr>
            <ns1:t>,</ns1:t>
          </ns1:r>
        </ns1:oMath>
      </ns1:oMathPara>
    </ns0:p>
    <ns0:p>
      <ns0:pPr>
        <ns0:pStyle ns0:val="FirstParagraph"/>
      </ns0:pPr>
      <ns0:r>
        <ns0:t xml:space="preserve">with numerical clipping to</ns0:t>
      </ns0:r>
      <ns0:r>
        <ns0:t xml:space="preserve"> </ns0:t>
      </ns0:r>
      <ns1:oMath>
        <ns1:r>
          <ns1:rPr>
            <ns1:sty ns1:val="p"/>
          </ns1:rPr>
          <ns1:t>[</ns1:t>
        </ns1:r>
        <ns1:r>
          <ns1:rPr>
            <ns1:sty ns1:val="p"/>
          </ns1:rPr>
          <ns1:t>−</ns1:t>
        </ns1:r>
        <ns1:r>
          <ns1:t>1</ns1:t>
        </ns1:r>
        <ns1:r>
          <ns1:rPr>
            <ns1:sty ns1:val="p"/>
          </ns1:rPr>
          <ns1:t>,</ns1:t>
        </ns1:r>
        <ns1:r>
          <ns1:t>1</ns1:t>
        </ns1:r>
        <ns1:r>
          <ns1:rPr>
            <ns1:sty ns1:val="p"/>
          </ns1:rPr>
          <ns1:t>]</ns1:t>
        </ns1:r>
      </ns1:oMath>
      <ns0:r>
        <ns0:t xml:space="preserve"> </ns0:t>
      </ns0:r>
      <ns0:r>
        <ns0:t xml:space="preserve">and conversion to degrees. The landmark labels are local to each measurement. Landmarks were mapped from the template to each subject; interpolation settings and numerical checks are given in Appendix A.1. Total mapped bony pelvic volume is the summed geometric volume of the selected left and right hip-bone bodies (LI and RI in the implementation) and sacrum, expressed in cm</ns0:t>
      </ns0:r>
      <ns1:oMath>
        <ns1:sSup>
          <ns1:e>
            <ns1:r>
              <ns1:t>​</ns1:t>
            </ns1:r>
          </ns1:e>
          <ns1:sup>
            <ns1:r>
              <ns1:t>3</ns1:t>
            </ns1:r>
          </ns1:sup>
        </ns1:sSup>
      </ns1:oMath>
      <ns0:r>
        <ns0:t xml:space="preserve">. It excludes the lumbar vertebrae and pelvic canal space and is not a direct measure of cortical-tissue volume. Supplementary Figure S2 illustrates these three bone bodies, the rotational coordinates and point-translation definition.</ns0:t>
      </ns0:r>
    </ns0:p>
    <ns0:p>
      <ns0:pPr>
        <ns0:pStyle ns0:val="BodyText"/>
      </ns0:pPr>
      <ns0:r>
        <ns0:drawing>
          <ns2:inline>
            <ns2:extent cx="5334000" cy="4438332"/>
            <ns2:effectExtent b="0" l="0" r="0" t="0"/>
            <ns2:docPr descr="image" title="" id="1" name="Picture"/>
            <ns3:graphic>
              <ns3:graphicData uri="http://schemas.openxmlformats.org/drawingml/2006/picture">
                <ns4:pic>
                  <ns4:nvPicPr>
                    <ns4:cNvPr descr="/tmp/janat_docx_to7addts/Fig_morphometric_landmarks.png" id="0" name="Picture"/>
                    <ns4:cNvPicPr>
                      <ns3:picLocks noChangeArrowheads="1" noChangeAspect="1"/>
                    </ns4:cNvPicPr>
                  </ns4:nvPicPr>
                  <ns4:blipFill>
                    <ns3:blip ns5:embed="rId24"/>
                    <ns3:stretch>
                      <ns3:fillRect/>
                    </ns3:stretch>
                  </ns4:blipFill>
                  <ns4:spPr bwMode="auto">
                    <ns3:xfrm>
                      <ns3:off x="0" y="0"/>
                      <ns3:ext cx="5334000" cy="4438332"/>
                    </ns3:xfrm>
                    <ns3:prstGeom prst="rect">
                      <ns3:avLst/>
                    </ns3:prstGeom>
                    <ns3:noFill/>
                    <ns3:ln w="9525">
                      <ns3:noFill/>
                      <ns3:headEnd/>
                      <ns3:tailEnd/>
                    </ns3:ln>
                  </ns4:spPr>
                </ns4:pic>
              </ns3:graphicData>
            </ns3:graphic>
          </ns2:inline>
        </ns0:drawing>
      </ns0:r>
    </ns0:p>
    <ns0:p>
      <ns0:pPr>
        <ns0:pStyle ns0:val="BodyText"/>
      </ns0:pPr>
      <ns0:r>
        <ns0:t xml:space="preserve">Figure 1.</ns0:t>
      </ns0:r>
      <ns0:r>
        <ns0:t xml:space="preserve"> </ns0:t>
      </ns0:r>
      <ns0:r>
        <ns0:rPr>
          <ns0:bCs/>
          <ns0:b/>
        </ns0:rPr>
        <ns0:t xml:space="preserve">Anatomical landmarks for all morphometric measures.</ns0:t>
      </ns0:r>
      <ns0:r>
        <ns0:t xml:space="preserve"> </ns0:t>
      </ns0:r>
      <ns0:r>
        <ns0:t xml:space="preserve">(A–G) Landmark pairs define the seven linear dimensions in Table 1. (H) The subpubic angle has vertex</ns0:t>
      </ns0:r>
      <ns0:r>
        <ns0:t xml:space="preserve"> </ns0:t>
      </ns0:r>
      <ns1:oMath>
        <ns1:sSub>
          <ns1:e>
            <ns1:r>
              <ns1:t>p</ns1:t>
            </ns1:r>
          </ns1:e>
          <ns1:sub>
            <ns1:r>
              <ns1:t>2</ns1:t>
            </ns1:r>
          </ns1:sub>
        </ns1:sSub>
      </ns1:oMath>
      <ns0:r>
        <ns0:t xml:space="preserve"> </ns0:t>
      </ns0:r>
      <ns0:r>
        <ns0:t xml:space="preserve">and arms toward</ns0:t>
      </ns0:r>
      <ns0:r>
        <ns0:t xml:space="preserve"> </ns0:t>
      </ns0:r>
      <ns1:oMath>
        <ns1:sSub>
          <ns1:e>
            <ns1:r>
              <ns1:t>p</ns1:t>
            </ns1:r>
          </ns1:e>
          <ns1:sub>
            <ns1:r>
              <ns1:t>1</ns1:t>
            </ns1:r>
          </ns1:sub>
        </ns1:sSub>
      </ns1:oMath>
      <ns0:r>
        <ns0:t xml:space="preserve"> </ns0:t>
      </ns0:r>
      <ns0:r>
        <ns0:t xml:space="preserve">and</ns0:t>
      </ns0:r>
      <ns0:r>
        <ns0:t xml:space="preserve"> </ns0:t>
      </ns0:r>
      <ns1:oMath>
        <ns1:sSub>
          <ns1:e>
            <ns1:r>
              <ns1:t>p</ns1:t>
            </ns1:r>
          </ns1:e>
          <ns1:sub>
            <ns1:r>
              <ns1:t>3</ns1:t>
            </ns1:r>
          </ns1:sub>
        </ns1:sSub>
      </ns1:oMath>
      <ns0:r>
        <ns0:t xml:space="preserve">; the view is normal to their plane. (I) Measurement definitions and landmark key. Markers and segments are overlaid on the reference pelvic geometry to keep internal landmarks visible. Values describe the template, not cohort averages. Lengths are measured in three dimensions; each camera direction is perpendicular to its measurement segment. Panels use different views and magnifications.</ns0:t>
      </ns0:r>
      <ns0:r>
        <ns0:t xml:space="preserve"> </ns0:t>
      </ns0:r>
      <ns0:bookmarkStart ns0:id="25" ns0:name="fig:morphometry"/>
      <ns0:r>
        <ns0:t xml:space="preserve">[fig:morphometry]</ns0:t>
      </ns0:r>
      <ns0:bookmarkEnd ns0:id="25"/>
    </ns0:p>
    <ns0:bookmarkEnd ns0:id="26"/>
    <ns0:bookmarkStart ns0:id="27" ns0:name="finite-element-model"/>
    <ns0:p>
      <ns0:pPr>
        <ns0:pStyle ns0:val="Heading2"/>
      </ns0:pPr>
      <ns0:r>
        <ns0:t xml:space="preserve">2.3. Finite-element model</ns0:t>
      </ns0:r>
    </ns0:p>
    <ns0:p>
      <ns0:pPr>
        <ns0:pStyle ns0:val="FirstParagraph"/>
      </ns0:pPr>
      <ns0:r>
        <ns0:t xml:space="preserve">The simulations used DOLFINx 0.10 on a mesh with 166,808 cells and 48,291 nodes. Small-strain linear elasticity was discretized with four-node tetrahedra and continuous, first-order Lagrange displacement and geometry fields; material properties were cellwise constant (DG0). PETSc used a direct MUMPS LU factorization on the shared reference domain (Appendix A.1). Subject anatomy was established by bijective anatomical registration and represented on the FE discretization by</ns0:t>
      </ns0:r>
      <ns0:r>
        <ns0:t xml:space="preserve"> </ns0:t>
      </ns0:r>
      <ns1:oMath>
        <ns1:r>
          <ns1:rPr>
            <ns1:sty ns1:val="b"/>
          </ns1:rPr>
          <ns1:t>x</ns1:t>
        </ns1:r>
        <ns1:r>
          <ns1:rPr>
            <ns1:sty ns1:val="p"/>
          </ns1:rPr>
          <ns1:t>=</ns1:t>
        </ns1:r>
        <ns1:r>
          <ns1:rPr>
            <ns1:sty ns1:val="b"/>
          </ns1:rPr>
          <ns1:t>X</ns1:t>
        </ns1:r>
        <ns1:r>
          <ns1:rPr>
            <ns1:sty ns1:val="p"/>
          </ns1:rPr>
          <ns1:t>+</ns1:t>
        </ns1:r>
        <ns1:sSub>
          <ns1:e>
            <ns1:r>
              <ns1:rPr>
                <ns1:sty ns1:val="b"/>
              </ns1:rPr>
              <ns1:t>ϕ</ns1:t>
            </ns1:r>
          </ns1:e>
          <ns1:sub>
            <ns1:r>
              <ns1:t>i</ns1:t>
            </ns1:r>
          </ns1:sub>
        </ns1:sSub>
        <ns1:r>
          <ns1:rPr>
            <ns1:sty ns1:val="p"/>
          </ns1:rPr>
          <ns1:t>(</ns1:t>
        </ns1:r>
        <ns1:r>
          <ns1:rPr>
            <ns1:sty ns1:val="b"/>
          </ns1:rPr>
          <ns1:t>X</ns1:t>
        </ns1:r>
        <ns1:r>
          <ns1:rPr>
            <ns1:sty ns1:val="p"/>
          </ns1:rPr>
          <ns1:t>)</ns1:t>
        </ns1:r>
      </ns1:oMath>
      <ns0:r>
        <ns0:t xml:space="preserve">, using radial basis function (RBF) interpolation of the established registration displacement map. Spatial gradients and integration measures were pulled back to the reference domain</ns0:t>
      </ns0:r>
      <ns0:r>
        <ns0:t xml:space="preserve"> </ns0:t>
      </ns0:r>
      <ns0:r>
        <ns0:t xml:space="preserve">(Bonet and Wood 2008)</ns0:t>
      </ns0:r>
      <ns0:r>
        <ns0:t xml:space="preserve">. This interpolation approximates individual anatomy on a shared discretization and does not reproduce cortical boundaries exactly.</ns0:t>
      </ns0:r>
    </ns0:p>
    <ns0:p>
      <ns0:pPr>
        <ns0:pStyle ns0:val="BodyText"/>
      </ns0:pPr>
      <ns0:r>
        <ns0:t xml:space="preserve">Experimental relationships between bone density and stiffness motivate density-dependent material assignment</ns0:t>
      </ns0:r>
      <ns0:r>
        <ns0:t xml:space="preserve"> </ns0:t>
      </ns0:r>
      <ns0:r>
        <ns0:t xml:space="preserve">(Keller 1994)</ns0:t>
      </ns0:r>
      <ns0:r>
        <ns0:t xml:space="preserve">. Bone stiffness was assigned using the following bone-modulus approximation:</ns0:t>
      </ns0:r>
    </ns0:p>
    <ns0:p>
      <ns0:pPr>
        <ns0:pStyle ns0:val="BodyText"/>
      </ns0:pPr>
      <ns1:oMathPara>
        <ns1:oMathParaPr>
          <ns1:jc ns1:val="center"/>
        </ns1:oMathParaPr>
        <ns1:oMath>
          <ns1:r>
            <ns1:t>E</ns1:t>
          </ns1:r>
          <ns1:r>
            <ns1:rPr>
              <ns1:sty ns1:val="p"/>
            </ns1:rPr>
            <ns1:t>/</ns1:t>
          </ns1:r>
          <ns1:r>
            <ns1:rPr>
              <ns1:sty ns1:val="p"/>
            </ns1:rPr>
            <ns1:t>M</ns1:t>
          </ns1:r>
          <ns1:r>
            <ns1:rPr>
              <ns1:sty ns1:val="p"/>
            </ns1:rPr>
            <ns1:t>P</ns1:t>
          </ns1:r>
          <ns1:r>
            <ns1:rPr>
              <ns1:sty ns1:val="p"/>
            </ns1:rPr>
            <ns1:t>a</ns1:t>
          </ns1:r>
          <ns1:r>
            <ns1:rPr>
              <ns1:sty ns1:val="p"/>
            </ns1:rPr>
            <ns1:t>=</ns1:t>
          </ns1:r>
          <ns1:d>
            <ns1:dPr>
              <ns1:begChr ns1:val="{"/>
              <ns1:endChr ns1:val=""/>
              <ns1:grow/>
            </ns1:dPr>
            <ns1:e>
              <ns1:m>
                <ns1:mPr>
                  <ns1:baseJc ns1:val="center"/>
                  <ns1:plcHide ns1:val="1"/>
                  <ns1:mcs>
                    <ns1:mc>
                      <ns1:mcPr>
                        <ns1:mcJc ns1:val="left"/>
                        <ns1:count ns1:val="1"/>
                      </ns1:mcPr>
                    </ns1:mc>
                    <ns1:mc>
                      <ns1:mcPr>
                        <ns1:mcJc ns1:val="left"/>
                        <ns1:count ns1:val="1"/>
                      </ns1:mcPr>
                    </ns1:mc>
                  </ns1:mcs>
                </ns1:mPr>
                <ns1:mr>
                  <ns1:e>
                    <ns1:r>
                      <ns1:t>2398</ns1:t>
                    </ns1:r>
                    <ns1:r>
                      <ns1:rPr>
                        <ns1:sty ns1:val="p"/>
                      </ns1:rPr>
                      <ns1:t>,</ns1:t>
                    </ns1:r>
                  </ns1:e>
                  <ns1:e>
                    <ns1:sSub>
                      <ns1:e>
                        <ns1:r>
                          <ns1:t>ρ</ns1:t>
                        </ns1:r>
                      </ns1:e>
                      <ns1:sub>
                        <ns1:r>
                          <ns1:rPr>
                            <ns1:sty ns1:val="p"/>
                          </ns1:rPr>
                          <ns1:t>a</ns1:t>
                        </ns1:r>
                        <ns1:r>
                          <ns1:rPr>
                            <ns1:sty ns1:val="p"/>
                          </ns1:rPr>
                          <ns1:t>s</ns1:t>
                        </ns1:r>
                        <ns1:r>
                          <ns1:rPr>
                            <ns1:sty ns1:val="p"/>
                          </ns1:rPr>
                          <ns1:t>h</ns1:t>
                        </ns1:r>
                      </ns1:sub>
                    </ns1:sSub>
                    <ns1:r>
                      <ns1:rPr>
                        <ns1:sty ns1:val="p"/>
                      </ns1:rPr>
                      <ns1:t>≤</ns1:t>
                    </ns1:r>
                    <ns1:r>
                      <ns1:t>0.486</ns1:t>
                    </ns1:r>
                    <ns1:r>
                      <ns1:rPr>
                        <ns1:sty ns1:val="p"/>
                      </ns1:rPr>
                      <ns1:t>,</ns1:t>
                    </ns1:r>
                  </ns1:e>
                </ns1:mr>
                <ns1:mr>
                  <ns1:e>
                    <ns1:r>
                      <ns1:t>10200</ns1:t>
                    </ns1:r>
                    <ns1:sSubSup>
                      <ns1:e>
                        <ns1:r>
                          <ns1:t>ρ</ns1:t>
                        </ns1:r>
                      </ns1:e>
                      <ns1:sub>
                        <ns1:r>
                          <ns1:rPr>
                            <ns1:sty ns1:val="p"/>
                          </ns1:rPr>
                          <ns1:t>a</ns1:t>
                        </ns1:r>
                        <ns1:r>
                          <ns1:rPr>
                            <ns1:sty ns1:val="p"/>
                          </ns1:rPr>
                          <ns1:t>s</ns1:t>
                        </ns1:r>
                        <ns1:r>
                          <ns1:rPr>
                            <ns1:sty ns1:val="p"/>
                          </ns1:rPr>
                          <ns1:t>h</ns1:t>
                        </ns1:r>
                      </ns1:sub>
                      <ns1:sup>
                        <ns1:r>
                          <ns1:t>2</ns1:t>
                        </ns1:r>
                      </ns1:sup>
                    </ns1:sSubSup>
                    <ns1:r>
                      <ns1:rPr>
                        <ns1:sty ns1:val="p"/>
                      </ns1:rPr>
                      <ns1:t>,</ns1:t>
                    </ns1:r>
                  </ns1:e>
                  <ns1:e>
                    <ns1:sSub>
                      <ns1:e>
                        <ns1:r>
                          <ns1:t>ρ</ns1:t>
                        </ns1:r>
                      </ns1:e>
                      <ns1:sub>
                        <ns1:r>
                          <ns1:rPr>
                            <ns1:sty ns1:val="p"/>
                          </ns1:rPr>
                          <ns1:t>a</ns1:t>
                        </ns1:r>
                        <ns1:r>
                          <ns1:rPr>
                            <ns1:sty ns1:val="p"/>
                          </ns1:rPr>
                          <ns1:t>s</ns1:t>
                        </ns1:r>
                        <ns1:r>
                          <ns1:rPr>
                            <ns1:sty ns1:val="p"/>
                          </ns1:rPr>
                          <ns1:t>h</ns1:t>
                        </ns1:r>
                      </ns1:sub>
                    </ns1:sSub>
                    <ns1:r>
                      <ns1:rPr>
                        <ns1:sty ns1:val="p"/>
                      </ns1:rPr>
                      <ns1:t>&gt;</ns1:t>
                    </ns1:r>
                    <ns1:r>
                      <ns1:t>0.486</ns1:t>
                    </ns1:r>
                    <ns1:r>
                      <ns1:rPr>
                        <ns1:sty ns1:val="p"/>
                      </ns1:rPr>
                      <ns1:t>,</ns1:t>
                    </ns1:r>
                  </ns1:e>
                </ns1:mr>
              </ns1:m>
            </ns1:e>
          </ns1:d>
          <ns1:r>
            <ns1:t>  </ns1:t>
          </ns1:r>
          <ns1:sSub>
            <ns1:e>
              <ns1:r>
                <ns1:t>ρ</ns1:t>
              </ns1:r>
            </ns1:e>
            <ns1:sub>
              <ns1:r>
                <ns1:rPr>
                  <ns1:sty ns1:val="p"/>
                </ns1:rPr>
                <ns1:t>a</ns1:t>
              </ns1:r>
              <ns1:r>
                <ns1:rPr>
                  <ns1:sty ns1:val="p"/>
                </ns1:rPr>
                <ns1:t>s</ns1:t>
              </ns1:r>
              <ns1:r>
                <ns1:rPr>
                  <ns1:sty ns1:val="p"/>
                </ns1:rPr>
                <ns1:t>h</ns1:t>
              </ns1:r>
            </ns1:sub>
          </ns1:sSub>
          <ns1:r>
            <ns1:rPr>
              <ns1:sty ns1:val="p"/>
            </ns1:rPr>
            <ns1:t>=</ns1:t>
          </ns1:r>
          <ns1:r>
            <ns1:rPr>
              <ns1:sty ns1:val="p"/>
            </ns1:rPr>
            <ns1:t>(</ns1:t>
          </ns1:r>
          <ns1:r>
            <ns1:t>ρ</ns1:t>
          </ns1:r>
          <ns1:r>
            <ns1:rPr>
              <ns1:sty ns1:val="p"/>
            </ns1:rPr>
            <ns1:t>+</ns1:t>
          </ns1:r>
          <ns1:r>
            <ns1:t>0.09</ns1:t>
          </ns1:r>
          <ns1:r>
            <ns1:rPr>
              <ns1:sty ns1:val="p"/>
            </ns1:rPr>
            <ns1:t>)</ns1:t>
          </ns1:r>
          <ns1:r>
            <ns1:rPr>
              <ns1:sty ns1:val="p"/>
            </ns1:rPr>
            <ns1:t>/</ns1:t>
          </ns1:r>
          <ns1:r>
            <ns1:t>1.14</ns1:t>
          </ns1:r>
          <ns1:r>
            <ns1:rPr>
              <ns1:sty ns1:val="p"/>
            </ns1:rPr>
            <ns1:t>,</ns1:t>
          </ns1:r>
        </ns1:oMath>
      </ns1:oMathPara>
    </ns0:p>
    <ns0:p>
      <ns0:pPr>
        <ns0:pStyle ns0:val="FirstParagraph"/>
      </ns0:pPr>
      <ns0:r>
        <ns0:t xml:space="preserve">where numerical density values are in g cm</ns0:t>
      </ns0:r>
      <ns1:oMath>
        <ns1:sSup>
          <ns1:e>
            <ns1:r>
              <ns1:t>​</ns1:t>
            </ns1:r>
          </ns1:e>
          <ns1:sup>
            <ns1:r>
              <ns1:rPr>
                <ns1:sty ns1:val="p"/>
              </ns1:rPr>
              <ns1:t>−</ns1:t>
            </ns1:r>
            <ns1:r>
              <ns1:t>3</ns1:t>
            </ns1:r>
          </ns1:sup>
        </ns1:sSup>
      </ns1:oMath>
      <ns0:r>
        <ns0:t xml:space="preserve"> </ns0:t>
      </ns0:r>
      <ns0:r>
        <ns0:t xml:space="preserve">and</ns0:t>
      </ns0:r>
      <ns0:r>
        <ns0:t xml:space="preserve"> </ns0:t>
      </ns0:r>
      <ns1:oMath>
        <ns1:r>
          <ns1:t>ρ</ns1:t>
        </ns1:r>
      </ns1:oMath>
      <ns0:r>
        <ns0:t xml:space="preserve"> </ns0:t>
      </ns0:r>
      <ns0:r>
        <ns0:t xml:space="preserve">denotes the mapped hydroxyapatite-density input. The implemented approximation comprises this equation, density conversion and low-density floor. The constant low-density branch suppresses modulus variation below its threshold. Bone Poisson ratio was 0.30. Both SIJ cartilage and pubic symphysis used</ns0:t>
      </ns0:r>
      <ns0:r>
        <ns0:t xml:space="preserve"> </ns0:t>
      </ns0:r>
      <ns1:oMath>
        <ns1:r>
          <ns1:t>E</ns1:t>
        </ns1:r>
        <ns1:r>
          <ns1:rPr>
            <ns1:sty ns1:val="p"/>
          </ns1:rPr>
          <ns1:t>=</ns1:t>
        </ns1:r>
        <ns1:r>
          <ns1:t>1.0</ns1:t>
        </ns1:r>
      </ns1:oMath>
      <ns0:r>
        <ns0:t xml:space="preserve"> MPa and</ns0:t>
      </ns0:r>
      <ns0:r>
        <ns0:t xml:space="preserve"> </ns0:t>
      </ns0:r>
      <ns1:oMath>
        <ns1:r>
          <ns1:t>ν</ns1:t>
        </ns1:r>
        <ns1:r>
          <ns1:rPr>
            <ns1:sty ns1:val="p"/>
          </ns1:rPr>
          <ns1:t>=</ns1:t>
        </ns1:r>
        <ns1:r>
          <ns1:t>0.45</ns1:t>
        </ns1:r>
      </ns1:oMath>
      <ns0:r>
        <ns0:t xml:space="preserve"> </ns0:t>
      </ns0:r>
      <ns0:r>
        <ns0:t xml:space="preserve">in all three model variants. These nominal choices were not calibrated to individual subjects.</ns0:t>
      </ns0:r>
    </ns0:p>
    <ns0:p>
      <ns0:pPr>
        <ns0:pStyle ns0:val="BodyText"/>
      </ns0:pPr>
      <ns0:r>
        <ns0:t xml:space="preserve">Ligaments were assembled as linear spring stiffness matrices with a geometric stiffness contribution from prescribed pretension and a pretension force vector. The implementation does not update a tension-only active set during the static solve. Bilateral anterior SIJ, posterior SIJ, interosseous, sacrospinous and sacrotuberous bundles and the pubic bundle were included. Per-bundle stiffnesses were respectively 1400, 5600, 200, 3000, 3000 and 1000 N/mm; total pretension was 20 N per bundle. Each bundle’s parameters were divided among its segments. Bone–cartilage interfaces were conforming; frictional contact and muscle activation were not modeled.</ns0:t>
      </ns0:r>
    </ns0:p>
    <ns0:bookmarkEnd ns0:id="27"/>
    <ns0:bookmarkStart ns0:id="29" ns0:name="loads-and-constraints"/>
    <ns0:p>
      <ns0:pPr>
        <ns0:pStyle ns0:val="Heading2"/>
      </ns0:pPr>
      <ns0:r>
        <ns0:t xml:space="preserve">2.4. Loads and constraints</ns0:t>
      </ns0:r>
    </ns0:p>
    <ns0:p>
      <ns0:pPr>
        <ns0:pStyle ns0:val="FirstParagraph"/>
      </ns0:pPr>
      <ns0:r>
        <ns0:t xml:space="preserve">The superior S1 endplate was constrained using a surface penalty</ns0:t>
      </ns0:r>
      <ns0:r>
        <ns0:t xml:space="preserve"> </ns0:t>
      </ns0:r>
      <ns1:oMath>
        <ns1:r>
          <ns1:t>γ</ns1:t>
        </ns1:r>
        <ns1:r>
          <ns1:rPr>
            <ns1:sty ns1:val="p"/>
          </ns1:rPr>
          <ns1:t>=</ns1:t>
        </ns1:r>
        <ns1:sSup>
          <ns1:e>
            <ns1:r>
              <ns1:t>10</ns1:t>
            </ns1:r>
          </ns1:e>
          <ns1:sup>
            <ns1:r>
              <ns1:t>6</ns1:t>
            </ns1:r>
          </ns1:sup>
        </ns1:sSup>
      </ns1:oMath>
      <ns0:r>
        <ns0:t xml:space="preserve"> N/mm</ns0:t>
      </ns0:r>
      <ns1:oMath>
        <ns1:sSup>
          <ns1:e>
            <ns1:r>
              <ns1:t>​</ns1:t>
            </ns1:r>
          </ns1:e>
          <ns1:sup>
            <ns1:r>
              <ns1:t>3</ns1:t>
            </ns1:r>
          </ns1:sup>
        </ns1:sSup>
      </ns1:oMath>
      <ns0:r>
        <ns0:t xml:space="preserve"> </ns0:t>
      </ns0:r>
      <ns0:r>
        <ns0:t xml:space="preserve">(Appendix A). Figure 2 shows the load application sites; Table 2 gives force vectors in the simulation’s global coordinates; these must be distinguished from the subsequently constructed pelvis-aligned reporting frame. SP2leg applies</ns0:t>
      </ns0:r>
      <ns0:r>
        <ns0:t xml:space="preserve"> </ns0:t>
      </ns0:r>
      <ns1:oMath>
        <ns1:r>
          <ns1:rPr>
            <ns1:sty ns1:val="p"/>
          </ns1:rPr>
          <ns1:t>+</ns1:t>
        </ns1:r>
        <ns1:r>
          <ns1:t>400</ns1:t>
        </ns1:r>
      </ns1:oMath>
      <ns0:r>
        <ns0:t xml:space="preserve"> N vertically to each acetabulum, and SP1leg applies</ns0:t>
      </ns0:r>
      <ns0:r>
        <ns0:t xml:space="preserve"> </ns0:t>
      </ns0:r>
      <ns1:oMath>
        <ns1:r>
          <ns1:rPr>
            <ns1:sty ns1:val="p"/>
          </ns1:rPr>
          <ns1:t>+</ns1:t>
        </ns1:r>
        <ns1:r>
          <ns1:t>800</ns1:t>
        </ns1:r>
      </ns1:oMath>
      <ns0:r>
        <ns0:t xml:space="preserve"> N to the right acetabulum. LAB1 applies opposing ML forces of</ns0:t>
      </ns0:r>
      <ns0:r>
        <ns0:t xml:space="preserve"> </ns0:t>
      </ns0:r>
      <ns1:oMath>
        <ns1:r>
          <ns1:rPr>
            <ns1:sty ns1:val="p"/>
          </ns1:rPr>
          <ns1:t>±</ns1:t>
        </ns1:r>
        <ns1:r>
          <ns1:t>400</ns1:t>
        </ns1:r>
      </ns1:oMath>
      <ns0:r>
        <ns0:t xml:space="preserve"> N to the internal ring surfaces; LAB2 applies the same signed pair to the ischial tuberosities; LAB3 applies opposing AP forces of</ns0:t>
      </ns0:r>
      <ns0:r>
        <ns0:t xml:space="preserve"> </ns0:t>
      </ns0:r>
      <ns1:oMath>
        <ns1:r>
          <ns1:rPr>
            <ns1:sty ns1:val="p"/>
          </ns1:rPr>
          <ns1:t>±</ns1:t>
        </ns1:r>
        <ns1:r>
          <ns1:t>400</ns1:t>
        </ns1:r>
      </ns1:oMath>
      <ns0:r>
        <ns0:t xml:space="preserve"> N at the pubis and sacrococcygeal junction. The reference template places both left application patches at greater global</ns0:t>
      </ns0:r>
      <ns0:r>
        <ns0:t xml:space="preserve"> </ns0:t>
      </ns0:r>
      <ns1:oMath>
        <ns1:r>
          <ns1:t>x</ns1:t>
        </ns1:r>
      </ns1:oMath>
      <ns0:r>
        <ns0:t xml:space="preserve"> </ns0:t>
      </ns0:r>
      <ns0:r>
        <ns0:t xml:space="preserve">than their right counterparts; thus both ML pairs point outward in that template, consistent with outward loading at both sites. We name the cases by application site because a force direction does not establish the direction of joint motion.</ns0:t>
      </ns0:r>
    </ns0:p>
    <ns0:p>
      <ns0:pPr>
        <ns0:pStyle ns0:val="BodyText"/>
      </ns0:pPr>
      <ns0:r>
        <ns0:t xml:space="preserve">Surface tractions were normalized by mapped surface area, giving identical prescribed force resultants across subjects. LAB force pairs have zero net force, whereas standing cases have an 800 N net vertical force balanced by the sacral constraint. Equal sums of force magnitudes do not imply equal moments, work, or physiological demand. The analyses compare responses to these standardized mechanical probes. All load cases include the prescribed ligament pretension.</ns0:t>
      </ns0:r>
    </ns0:p>
    <ns0:bookmarkStart ns0:id="28" ns0:name="tab:loads"/>
    <ns0:p>
      <ns0:pPr>
        <ns0:pStyle ns0:val="TableCaption"/>
      </ns0:pPr>
      <ns0:r>
        <ns0:t xml:space="preserve">Table 2. Standardized loads in global simulation coordinates. LAB1–LAB3 are independent mechanical proxies.</ns0:t>
      </ns0:r>
    </ns0:p>
    <ns0:tbl>
      <ns0:tblPr>
        <ns0:tblStyle ns0:val="Table"/>
        <ns0:tblW ns0:type="pct" ns0:w="5000"/>
        <ns0:tblLook ns0:firstRow="1" ns0:lastRow="0" ns0:firstColumn="0" ns0:lastColumn="0" ns0:noHBand="0" ns0:noVBand="0" ns0:val="0020"/>
        <ns0:tblCaption ns0:val="Table 2. Standardized loads in global simulation coordinates. LAB1–LAB3 are independent mechanical proxies."/>
      </ns0:tblPr>
      <ns0:tblGrid/>
      <ns0:tr>
        <ns0:tc>
          <ns0:p>
            <ns0:pPr>
              <ns0:pStyle ns0:val="Compact"/>
              <ns0:jc ns0:val="left"/>
            </ns0:pPr>
            <ns0:r>
              <ns0:t xml:space="preserve">Load case</ns0:t>
              <ns0:rPr>
                <ns0:sz ns0:val="18"/>
              </ns0:rPr>
            </ns0:r>
          </ns0:p>
        </ns0:tc>
        <ns0:tc>
          <ns0:p>
            <ns0:pPr>
              <ns0:pStyle ns0:val="Compact"/>
              <ns0:jc ns0:val="left"/>
            </ns0:pPr>
            <ns0:r>
              <ns0:t xml:space="preserve">Mechanical proxy</ns0:t>
              <ns0:rPr>
                <ns0:sz ns0:val="18"/>
              </ns0:rPr>
            </ns0:r>
          </ns0:p>
        </ns0:tc>
        <ns0:tc>
          <ns0:p>
            <ns0:pPr>
              <ns0:pStyle ns0:val="Compact"/>
              <ns0:jc ns0:val="left"/>
            </ns0:pPr>
            <ns0:r>
              <ns0:t xml:space="preserve">Applied total forces</ns0:t>
              <ns0:rPr>
                <ns0:sz ns0:val="18"/>
              </ns0:rPr>
            </ns0:r>
          </ns0:p>
        </ns0:tc>
        <ns0:tc>
          <ns0:p>
            <ns0:pPr>
              <ns0:pStyle ns0:val="Compact"/>
              <ns0:jc ns0:val="left"/>
            </ns0:pPr>
            <ns0:r>
              <ns0:t xml:space="preserve">Resultant</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Bilateral standing</ns0:t>
              <ns0:rPr>
                <ns0:sz ns0:val="18"/>
              </ns0:rPr>
            </ns0:r>
          </ns0:p>
        </ns0:tc>
        <ns0:tc>
          <ns0:p>
            <ns0:pPr>
              <ns0:pStyle ns0:val="Compact"/>
              <ns0:jc ns0:val="left"/>
            </ns0:pPr>
            <ns0:r>
              <ns0:t xml:space="preserve">[0,0,+400] N on right AC notch and [0,0,+400] N on left AC notch</ns0:t>
              <ns0:rPr>
                <ns0:sz ns0:val="18"/>
              </ns0:rPr>
            </ns0:r>
          </ns0:p>
        </ns0:tc>
        <ns0:tc>
          <ns0:p>
            <ns0:pPr>
              <ns0:pStyle ns0:val="Compact"/>
              <ns0:jc ns0:val="left"/>
            </ns0:pPr>
            <ns0:r>
              <ns0:t xml:space="preserve">800 N cranio-caudal</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Unilateral standing</ns0:t>
              <ns0:rPr>
                <ns0:sz ns0:val="18"/>
              </ns0:rPr>
            </ns0:r>
          </ns0:p>
        </ns0:tc>
        <ns0:tc>
          <ns0:p>
            <ns0:pPr>
              <ns0:pStyle ns0:val="Compact"/>
              <ns0:jc ns0:val="left"/>
            </ns0:pPr>
            <ns0:r>
              <ns0:t xml:space="preserve">[0,0,+800] N on right AC notch</ns0:t>
              <ns0:rPr>
                <ns0:sz ns0:val="18"/>
              </ns0:rPr>
            </ns0:r>
          </ns0:p>
        </ns0:tc>
        <ns0:tc>
          <ns0:p>
            <ns0:pPr>
              <ns0:pStyle ns0:val="Compact"/>
              <ns0:jc ns0:val="left"/>
            </ns0:pPr>
            <ns0:r>
              <ns0:t xml:space="preserve">800 N cranio-caudal</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Internal ring force pair</ns0:t>
              <ns0:rPr>
                <ns0:sz ns0:val="18"/>
              </ns0:rPr>
            </ns0:r>
          </ns0:p>
        </ns0:tc>
        <ns0:tc>
          <ns0:p>
            <ns0:pPr>
              <ns0:pStyle ns0:val="Compact"/>
              <ns0:jc ns0:val="left"/>
            </ns0:pPr>
            <ns0:r>
              <ns0:t xml:space="preserve">[+400,0,0] N on ring_contact_left and [-400,0,0] N on ring_contact_right</ns0:t>
              <ns0:rPr>
                <ns0:sz ns0:val="18"/>
              </ns0:rPr>
            </ns0:r>
          </ns0:p>
        </ns0:tc>
        <ns0:tc>
          <ns0:p>
            <ns0:pPr>
              <ns0:pStyle ns0:val="Compact"/>
              <ns0:jc ns0:val="left"/>
            </ns0:pPr>
            <ns0:r>
              <ns0:t xml:space="preserve">0 N net; bilateral ML pair</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Ischial force pair</ns0:t>
              <ns0:rPr>
                <ns0:sz ns0:val="18"/>
              </ns0:rPr>
            </ns0:r>
          </ns0:p>
        </ns0:tc>
        <ns0:tc>
          <ns0:p>
            <ns0:pPr>
              <ns0:pStyle ns0:val="Compact"/>
              <ns0:jc ns0:val="left"/>
            </ns0:pPr>
            <ns0:r>
              <ns0:t xml:space="preserve">[+400,0,0] N on left_ischium_tuber and [-400,0,0] N on right_ischium_tuber</ns0:t>
              <ns0:rPr>
                <ns0:sz ns0:val="18"/>
              </ns0:rPr>
            </ns0:r>
          </ns0:p>
        </ns0:tc>
        <ns0:tc>
          <ns0:p>
            <ns0:pPr>
              <ns0:pStyle ns0:val="Compact"/>
              <ns0:jc ns0:val="left"/>
            </ns0:pPr>
            <ns0:r>
              <ns0:t xml:space="preserve">0 N net; bilateral ML pair</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Outlet AP force pair</ns0:t>
              <ns0:rPr>
                <ns0:sz ns0:val="18"/>
              </ns0:rPr>
            </ns0:r>
          </ns0:p>
        </ns0:tc>
        <ns0:tc>
          <ns0:p>
            <ns0:pPr>
              <ns0:pStyle ns0:val="Compact"/>
              <ns0:jc ns0:val="left"/>
            </ns0:pPr>
            <ns0:r>
              <ns0:t xml:space="preserve">[0,-400,0] N on pubis_ins and [0,+400,0] N on SCJ</ns0:t>
              <ns0:rPr>
                <ns0:sz ns0:val="18"/>
              </ns0:rPr>
            </ns0:r>
          </ns0:p>
        </ns0:tc>
        <ns0:tc>
          <ns0:p>
            <ns0:pPr>
              <ns0:pStyle ns0:val="Compact"/>
              <ns0:jc ns0:val="left"/>
            </ns0:pPr>
            <ns0:r>
              <ns0:t xml:space="preserve">0 N net; AP pair</ns0:t>
              <ns0:rPr>
                <ns0:sz ns0:val="18"/>
              </ns0:rPr>
            </ns0:r>
          </ns0:p>
        </ns0:tc>
      </ns0:tr>
    </ns0:tbl>
    <ns0:bookmarkEnd ns0:id="28"/>
    <ns0:bookmarkEnd ns0:id="29"/>
    <ns0:bookmarkStart ns0:id="30" ns0:name="X52a7f881c939d2fd17b13f1188fcc6a678c5538"/>
    <ns0:p>
      <ns0:pPr>
        <ns0:pStyle ns0:val="Heading2"/>
      </ns0:pPr>
      <ns0:r>
        <ns0:t xml:space="preserve">2.5. Reference configuration and SIJ kinematics</ns0:t>
      </ns0:r>
    </ns0:p>
    <ns0:p>
      <ns0:pPr>
        <ns0:pStyle ns0:val="FirstParagraph"/>
      </ns0:pPr>
      <ns0:r>
        <ns0:t xml:space="preserve">The kinematic analysis compares each unloaded mapped surface</ns0:t>
      </ns0:r>
      <ns0:r>
        <ns0:t xml:space="preserve"> </ns0:t>
      </ns0:r>
      <ns1:oMath>
        <ns1:sSubSup>
          <ns1:e>
            <ns1:r>
              <ns1:rPr>
                <ns1:sty ns1:val="b"/>
              </ns1:rPr>
              <ns1:t>x</ns1:t>
            </ns1:r>
          </ns1:e>
          <ns1:sub>
            <ns1:r>
              <ns1:t>i</ns1:t>
            </ns1:r>
          </ns1:sub>
          <ns1:sup>
            <ns1:r>
              <ns1:t>0</ns1:t>
            </ns1:r>
          </ns1:sup>
        </ns1:sSubSup>
        <ns1:r>
          <ns1:rPr>
            <ns1:sty ns1:val="p"/>
          </ns1:rPr>
          <ns1:t>=</ns1:t>
        </ns1:r>
        <ns1:r>
          <ns1:rPr>
            <ns1:sty ns1:val="b"/>
          </ns1:rPr>
          <ns1:t>X</ns1:t>
        </ns1:r>
        <ns1:r>
          <ns1:rPr>
            <ns1:sty ns1:val="p"/>
          </ns1:rPr>
          <ns1:t>+</ns1:t>
        </ns1:r>
        <ns1:sSub>
          <ns1:e>
            <ns1:r>
              <ns1:rPr>
                <ns1:sty ns1:val="b"/>
              </ns1:rPr>
              <ns1:t>ϕ</ns1:t>
            </ns1:r>
          </ns1:e>
          <ns1:sub>
            <ns1:r>
              <ns1:t>i</ns1:t>
            </ns1:r>
          </ns1:sub>
        </ns1:sSub>
      </ns1:oMath>
      <ns0:r>
        <ns0:t xml:space="preserve"> </ns0:t>
      </ns0:r>
      <ns0:r>
        <ns0:t xml:space="preserve">with its loaded surface</ns0:t>
      </ns0:r>
      <ns0:r>
        <ns0:t xml:space="preserve"> </ns0:t>
      </ns0:r>
      <ns1:oMath>
        <ns1:sSubSup>
          <ns1:e>
            <ns1:r>
              <ns1:rPr>
                <ns1:sty ns1:val="b"/>
              </ns1:rPr>
              <ns1:t>x</ns1:t>
            </ns1:r>
          </ns1:e>
          <ns1:sub>
            <ns1:r>
              <ns1:t>i</ns1:t>
            </ns1:r>
            <ns1:r>
              <ns1:rPr>
                <ns1:sty ns1:val="p"/>
              </ns1:rPr>
              <ns1:t>ℓ</ns1:t>
            </ns1:r>
          </ns1:sub>
          <ns1:sup>
            <ns1:r>
              <ns1:t>1</ns1:t>
            </ns1:r>
          </ns1:sup>
        </ns1:sSubSup>
        <ns1:r>
          <ns1:rPr>
            <ns1:sty ns1:val="p"/>
          </ns1:rPr>
          <ns1:t>=</ns1:t>
        </ns1:r>
        <ns1:sSubSup>
          <ns1:e>
            <ns1:r>
              <ns1:rPr>
                <ns1:sty ns1:val="b"/>
              </ns1:rPr>
              <ns1:t>x</ns1:t>
            </ns1:r>
          </ns1:e>
          <ns1:sub>
            <ns1:r>
              <ns1:t>i</ns1:t>
            </ns1:r>
          </ns1:sub>
          <ns1:sup>
            <ns1:r>
              <ns1:t>0</ns1:t>
            </ns1:r>
          </ns1:sup>
        </ns1:sSubSup>
        <ns1:r>
          <ns1:rPr>
            <ns1:sty ns1:val="p"/>
          </ns1:rPr>
          <ns1:t>+</ns1:t>
        </ns1:r>
        <ns1:sSub>
          <ns1:e>
            <ns1:r>
              <ns1:rPr>
                <ns1:sty ns1:val="b"/>
              </ns1:rPr>
              <ns1:t>u</ns1:t>
            </ns1:r>
          </ns1:e>
          <ns1:sub>
            <ns1:r>
              <ns1:t>i</ns1:t>
            </ns1:r>
            <ns1:r>
              <ns1:rPr>
                <ns1:sty ns1:val="p"/>
              </ns1:rPr>
              <ns1:t>ℓ</ns1:t>
            </ns1:r>
          </ns1:sub>
        </ns1:sSub>
      </ns1:oMath>
      <ns0:r>
        <ns0:t xml:space="preserve">. The reference is the anatomical configuration with zero elastic displacement; a separately equilibrated pretension-only configuration is not used. Absolute motion therefore describes the combined external-load and prescribed-ligament-pretension solution relative to this anatomical reference. Pretension is a model assumption, not an experimentally measured subject-specific value. Correspondence and pairing checks are documented in Appendix A.1.</ns0:t>
      </ns0:r>
    </ns0:p>
    <ns0:p>
      <ns0:pPr>
        <ns0:pStyle ns0:val="BodyText"/>
      </ns0:pPr>
      <ns0:r>
        <ns0:t xml:space="preserve">Relative ilium-to-sacrum motion was estimated using trimmed Kabsch registration of opposing surface regions within 5 mm, with a minimum of 80 nodes per region. The underlying least-squares rigid fit follows</ns0:t>
      </ns0:r>
      <ns0:r>
        <ns0:t xml:space="preserve"> </ns0:t>
      </ns0:r>
      <ns0:r>
        <ns0:t xml:space="preserve">Kabsch (1976)</ns0:t>
      </ns0:r>
      <ns0:r>
        <ns0:t xml:space="preserve">; trimming and ROI selection are implementation choices. Before registration, the inverse least-squares affine sacral map was applied to all loaded points. This removes sacral affine strain as well as rigid drift; the resulting quantities are affine-corrected relative motion, rather than unmodified physical joint displacement. The available rigid-only sensitivity check is reported below.</ns0:t>
      </ns0:r>
    </ns0:p>
    <ns0:p>
      <ns0:pPr>
        <ns0:pStyle ns0:val="BodyText"/>
      </ns0:pPr>
      <ns0:r>
        <ns0:t xml:space="preserve">Motion was expressed in a pelvis-aligned ML/AP/CC frame, not a local articular normal/tangent frame. Fixed-axis Cardan</ns0:t>
      </ns0:r>
      <ns0:r>
        <ns0:t xml:space="preserve"> </ns0:t>
      </ns0:r>
      <ns1:oMath>
        <ns1:r>
          <ns1:t>x</ns1:t>
        </ns1:r>
        <ns1:r>
          <ns1:t>y</ns1:t>
        </ns1:r>
        <ns1:r>
          <ns1:t>z</ns1:t>
        </ns1:r>
      </ns1:oMath>
      <ns0:r>
        <ns0:t xml:space="preserve"> </ns0:t>
      </ns0:r>
      <ns0:r>
        <ns0:t xml:space="preserve">angles satisfy</ns0:t>
      </ns0:r>
      <ns0:r>
        <ns0:t xml:space="preserve"> </ns0:t>
      </ns0:r>
      <ns1:oMath>
        <ns1:r>
          <ns1:t>R</ns1:t>
        </ns1:r>
        <ns1:r>
          <ns1:rPr>
            <ns1:sty ns1:val="p"/>
          </ns1:rPr>
          <ns1:t>=</ns1:t>
        </ns1:r>
        <ns1:sSub>
          <ns1:e>
            <ns1:r>
              <ns1:t>R</ns1:t>
            </ns1:r>
          </ns1:e>
          <ns1:sub>
            <ns1:r>
              <ns1:t>z</ns1:t>
            </ns1:r>
          </ns1:sub>
        </ns1:sSub>
        <ns1:sSub>
          <ns1:e>
            <ns1:r>
              <ns1:t>R</ns1:t>
            </ns1:r>
          </ns1:e>
          <ns1:sub>
            <ns1:r>
              <ns1:t>y</ns1:t>
            </ns1:r>
          </ns1:sub>
        </ns1:sSub>
        <ns1:sSub>
          <ns1:e>
            <ns1:r>
              <ns1:t>R</ns1:t>
            </ns1:r>
          </ns1:e>
          <ns1:sub>
            <ns1:r>
              <ns1:t>x</ns1:t>
            </ns1:r>
          </ns1:sub>
        </ns1:sSub>
      </ns1:oMath>
      <ns0:r>
        <ns0:t xml:space="preserve">. The bilateral mean of the Euclidean norms of these angle triplets is denoted</ns0:t>
      </ns0:r>
      <ns0:r>
        <ns0:t xml:space="preserve"> </ns0:t>
      </ns0:r>
      <ns1:oMath>
        <ns1:r>
          <ns1:rPr>
            <ns1:sty ns1:val="p"/>
          </ns1:rPr>
          <ns1:t>|</ns1:t>
        </ns1:r>
        <ns1:r>
          <ns1:rPr>
            <ns1:sty ns1:val="b"/>
          </ns1:rPr>
          <ns1:t>θ</ns1:t>
        </ns1:r>
        <ns1:r>
          <ns1:rPr>
            <ns1:sty ns1:val="p"/>
          </ns1:rPr>
          <ns1:t>|</ns1:t>
        </ns1:r>
      </ns1:oMath>
      <ns0:r>
        <ns0:t xml:space="preserve">; this is a small-angle summary, not the exact invariant rotation angle. Translation</ns0:t>
      </ns0:r>
      <ns0:r>
        <ns0:t xml:space="preserve"> </ns0:t>
      </ns0:r>
      <ns1:oMath>
        <ns1:r>
          <ns1:rPr>
            <ns1:sty ns1:val="p"/>
          </ns1:rPr>
          <ns1:t>|</ns1:t>
        </ns1:r>
        <ns1:r>
          <ns1:rPr>
            <ns1:sty ns1:val="b"/>
          </ns1:rPr>
          <ns1:t>d</ns1:t>
        </ns1:r>
        <ns1:r>
          <ns1:rPr>
            <ns1:sty ns1:val="p"/>
          </ns1:rPr>
          <ns1:t>|</ns1:t>
        </ns1:r>
      </ns1:oMath>
      <ns0:r>
        <ns0:t xml:space="preserve"> </ns0:t>
      </ns0:r>
      <ns0:r>
        <ns0:t xml:space="preserve">is the bilateral mean of the norms of relative displacements evaluated at the sacral ROI centroid. Component summaries are bilateral means of absolute values. In particular,</ns0:t>
      </ns0:r>
      <ns0:r>
        <ns0:t xml:space="preserve"> </ns0:t>
      </ns0:r>
      <ns1:oMath>
        <ns1:r>
          <ns1:rPr>
            <ns1:sty ns1:val="p"/>
          </ns1:rPr>
          <ns1:t>|</ns1:t>
        </ns1:r>
        <ns1:sSub>
          <ns1:e>
            <ns1:r>
              <ns1:t>θ</ns1:t>
            </ns1:r>
          </ns1:e>
          <ns1:sub>
            <ns1:r>
              <ns1:t>x</ns1:t>
            </ns1:r>
          </ns1:sub>
        </ns1:sSub>
        <ns1:r>
          <ns1:rPr>
            <ns1:sty ns1:val="p"/>
          </ns1:rPr>
          <ns1:t>|</ns1:t>
        </ns1:r>
      </ns1:oMath>
      <ns0:r>
        <ns0:t xml:space="preserve"> </ns0:t>
      </ns0:r>
      <ns0:r>
        <ns0:t xml:space="preserve">does not distinguish nutation from counternutation, and</ns0:t>
      </ns0:r>
      <ns0:r>
        <ns0:t xml:space="preserve"> </ns0:t>
      </ns0:r>
      <ns1:oMath>
        <ns1:r>
          <ns1:rPr>
            <ns1:sty ns1:val="p"/>
          </ns1:rPr>
          <ns1:t>|</ns1:t>
        </ns1:r>
        <ns1:sSub>
          <ns1:e>
            <ns1:r>
              <ns1:t>d</ns1:t>
            </ns1:r>
          </ns1:e>
          <ns1:sub>
            <ns1:r>
              <ns1:t>M</ns1:t>
            </ns1:r>
            <ns1:r>
              <ns1:t>L</ns1:t>
            </ns1:r>
          </ns1:sub>
        </ns1:sSub>
        <ns1:r>
          <ns1:rPr>
            <ns1:sty ns1:val="p"/>
          </ns1:rPr>
          <ns1:t>|</ns1:t>
        </ns1:r>
      </ns1:oMath>
      <ns0:r>
        <ns0:t xml:space="preserve"> </ns0:t>
      </ns0:r>
      <ns0:r>
        <ns0:t xml:space="preserve">is not a measurement of joint gapping. Translation-magnitude asymmetry is</ns0:t>
      </ns0:r>
      <ns0:r>
        <ns0:t xml:space="preserve"> </ns0:t>
      </ns0:r>
      <ns1:oMath>
        <ns1:r>
          <ns1:rPr>
            <ns1:sty ns1:val="p"/>
          </ns1:rPr>
          <ns1:t>|</ns1:t>
        </ns1:r>
        <ns1:r>
          <ns1:rPr>
            <ns1:sty ns1:val="p"/>
          </ns1:rPr>
          <ns1:t>∥</ns1:t>
        </ns1:r>
        <ns1:sSub>
          <ns1:e>
            <ns1:r>
              <ns1:rPr>
                <ns1:sty ns1:val="b"/>
              </ns1:rPr>
              <ns1:t>d</ns1:t>
            </ns1:r>
          </ns1:e>
          <ns1:sub>
            <ns1:r>
              <ns1:t>L</ns1:t>
            </ns1:r>
          </ns1:sub>
        </ns1:sSub>
        <ns1:r>
          <ns1:rPr>
            <ns1:sty ns1:val="p"/>
          </ns1:rPr>
          <ns1:t>∥</ns1:t>
        </ns1:r>
        <ns1:r>
          <ns1:rPr>
            <ns1:sty ns1:val="p"/>
          </ns1:rPr>
          <ns1:t>−</ns1:t>
        </ns1:r>
        <ns1:r>
          <ns1:rPr>
            <ns1:sty ns1:val="p"/>
          </ns1:rPr>
          <ns1:t>∥</ns1:t>
        </ns1:r>
        <ns1:sSub>
          <ns1:e>
            <ns1:r>
              <ns1:rPr>
                <ns1:sty ns1:val="b"/>
              </ns1:rPr>
              <ns1:t>d</ns1:t>
            </ns1:r>
          </ns1:e>
          <ns1:sub>
            <ns1:r>
              <ns1:t>R</ns1:t>
            </ns1:r>
          </ns1:sub>
        </ns1:sSub>
        <ns1:r>
          <ns1:rPr>
            <ns1:sty ns1:val="p"/>
          </ns1:rPr>
          <ns1:t>∥</ns1:t>
        </ns1:r>
        <ns1:r>
          <ns1:rPr>
            <ns1:sty ns1:val="p"/>
          </ns1:rPr>
          <ns1:t>|</ns1:t>
        </ns1:r>
      </ns1:oMath>
      <ns0:r>
        <ns0:t xml:space="preserve">.</ns0:t>
      </ns0:r>
    </ns0:p>
    <ns0:bookmarkEnd ns0:id="30"/>
    <ns0:bookmarkStart ns0:id="31" ns0:name="matched-variants-and-variance-ratios"/>
    <ns0:p>
      <ns0:pPr>
        <ns0:pStyle ns0:val="Heading2"/>
      </ns0:pPr>
      <ns0:r>
        <ns0:t xml:space="preserve">2.6. Matched variants and variance ratios</ns0:t>
      </ns0:r>
    </ns0:p>
    <ns0:p>
      <ns0:pPr>
        <ns0:pStyle ns0:val="FirstParagraph"/>
      </ns0:pPr>
      <ns0:r>
        <ns0:t xml:space="preserve">The full variant uses subject-specific geometry and bone density. The geometry-preserved / standardized-density variant (G) retains subject geometry, including scale, and uses the spatially varying pointwise population-median density field; it is not homogeneous bone. The density-preserved / template-geometry variant (D) uses subject density on the template geometry. Cartilage and ligament parameters remain nominal in all variants.</ns0:t>
      </ns0:r>
    </ns0:p>
    <ns0:p>
      <ns0:pPr>
        <ns0:pStyle ns0:val="BodyText"/>
      </ns0:pPr>
      <ns0:r>
        <ns0:t xml:space="preserve">For each load and endpoint we calculated</ns0:t>
      </ns0:r>
      <ns0:r>
        <ns0:t xml:space="preserve"> </ns0:t>
      </ns0:r>
      <ns1:oMath>
        <ns1:r>
          <ns1:t>100</ns1:t>
        </ns1:r>
        <ns1:sSub>
          <ns1:e>
            <ns1:r>
              <ns1:t>V</ns1:t>
            </ns1:r>
          </ns1:e>
          <ns1:sub>
            <ns1:r>
              <ns1:t>G</ns1:t>
            </ns1:r>
          </ns1:sub>
        </ns1:sSub>
        <ns1:r>
          <ns1:rPr>
            <ns1:sty ns1:val="p"/>
          </ns1:rPr>
          <ns1:t>/</ns1:t>
        </ns1:r>
        <ns1:sSub>
          <ns1:e>
            <ns1:r>
              <ns1:t>V</ns1:t>
            </ns1:r>
          </ns1:e>
          <ns1:sub>
            <ns1:r>
              <ns1:t>f</ns1:t>
            </ns1:r>
            <ns1:r>
              <ns1:t>u</ns1:t>
            </ns1:r>
            <ns1:r>
              <ns1:t>l</ns1:t>
            </ns1:r>
            <ns1:r>
              <ns1:t>l</ns1:t>
            </ns1:r>
          </ns1:sub>
        </ns1:sSub>
      </ns1:oMath>
      <ns0:r>
        <ns0:t xml:space="preserve"> </ns0:t>
      </ns0:r>
      <ns0:r>
        <ns0:t xml:space="preserve">and</ns0:t>
      </ns0:r>
      <ns0:r>
        <ns0:t xml:space="preserve"> </ns0:t>
      </ns0:r>
      <ns1:oMath>
        <ns1:r>
          <ns1:t>100</ns1:t>
        </ns1:r>
        <ns1:sSub>
          <ns1:e>
            <ns1:r>
              <ns1:t>V</ns1:t>
            </ns1:r>
          </ns1:e>
          <ns1:sub>
            <ns1:r>
              <ns1:t>D</ns1:t>
            </ns1:r>
          </ns1:sub>
        </ns1:sSub>
        <ns1:r>
          <ns1:rPr>
            <ns1:sty ns1:val="p"/>
          </ns1:rPr>
          <ns1:t>/</ns1:t>
        </ns1:r>
        <ns1:sSub>
          <ns1:e>
            <ns1:r>
              <ns1:t>V</ns1:t>
            </ns1:r>
          </ns1:e>
          <ns1:sub>
            <ns1:r>
              <ns1:t>f</ns1:t>
            </ns1:r>
            <ns1:r>
              <ns1:t>u</ns1:t>
            </ns1:r>
            <ns1:r>
              <ns1:t>l</ns1:t>
            </ns1:r>
            <ns1:r>
              <ns1:t>l</ns1:t>
            </ns1:r>
          </ns1:sub>
        </ns1:sSub>
      </ns1:oMath>
      <ns0:r>
        <ns0:t xml:space="preserve">, with 2000 paired subject bootstrap samples</ns0:t>
      </ns0:r>
      <ns0:r>
        <ns0:t xml:space="preserve"> </ns0:t>
      </ns0:r>
      <ns0:r>
        <ns0:t xml:space="preserve">(Efron and Tibshirani 1994)</ns0:t>
      </ns0:r>
      <ns0:r>
        <ns0:t xml:space="preserve">. These non-additive ratios can exceed 100% and neither estimate causal variance fractions nor separate geometry–material interactions. Geometry-preserved/full agreement was also assessed by RMSE, MAE and identity-line</ns0:t>
      </ns0:r>
      <ns0:r>
        <ns0:t xml:space="preserve"> </ns0:t>
      </ns0:r>
      <ns1:oMath>
        <ns1:sSup>
          <ns1:e>
            <ns1:r>
              <ns1:t>R</ns1:t>
            </ns1:r>
          </ns1:e>
          <ns1:sup>
            <ns1:r>
              <ns1:t>2</ns1:t>
            </ns1:r>
          </ns1:sup>
        </ns1:sSup>
        <ns1:r>
          <ns1:rPr>
            <ns1:sty ns1:val="p"/>
          </ns1:rPr>
          <ns1:t>=</ns1:t>
        </ns1:r>
        <ns1:r>
          <ns1:t>1</ns1:t>
        </ns1:r>
        <ns1:r>
          <ns1:rPr>
            <ns1:sty ns1:val="p"/>
          </ns1:rPr>
          <ns1:t>−</ns1:t>
        </ns1:r>
        <ns1:nary>
          <ns1:naryPr>
            <ns1:chr ns1:val="∑"/>
            <ns1:limLoc ns1:val="undOvr"/>
            <ns1:subHide ns1:val="0"/>
            <ns1:supHide ns1:val="1"/>
          </ns1:naryPr>
          <ns1:sub>
            <ns1:r>
              <ns1:t>i</ns1:t>
            </ns1:r>
          </ns1:sub>
          <ns1:sup>
            <ns1:r>
              <ns1:t>​</ns1:t>
            </ns1:r>
          </ns1:sup>
          <ns1:e>
            <ns1:r>
              <ns1:rPr>
                <ns1:sty ns1:val="p"/>
              </ns1:rPr>
              <ns1:t>(</ns1:t>
            </ns1:r>
          </ns1:e>
        </ns1:nary>
        <ns1:sSub>
          <ns1:e>
            <ns1:r>
              <ns1:t>Y</ns1:t>
            </ns1:r>
          </ns1:e>
          <ns1:sub>
            <ns1:r>
              <ns1:t>G</ns1:t>
            </ns1:r>
            <ns1:r>
              <ns1:rPr>
                <ns1:sty ns1:val="p"/>
              </ns1:rPr>
              <ns1:t>,</ns1:t>
            </ns1:r>
            <ns1:r>
              <ns1:t>i</ns1:t>
            </ns1:r>
          </ns1:sub>
        </ns1:sSub>
        <ns1:r>
          <ns1:rPr>
            <ns1:sty ns1:val="p"/>
          </ns1:rPr>
          <ns1:t>−</ns1:t>
        </ns1:r>
        <ns1:sSub>
          <ns1:e>
            <ns1:r>
              <ns1:t>Y</ns1:t>
            </ns1:r>
          </ns1:e>
          <ns1:sub>
            <ns1:r>
              <ns1:t>f</ns1:t>
            </ns1:r>
            <ns1:r>
              <ns1:t>u</ns1:t>
            </ns1:r>
            <ns1:r>
              <ns1:t>l</ns1:t>
            </ns1:r>
            <ns1:r>
              <ns1:t>l</ns1:t>
            </ns1:r>
            <ns1:r>
              <ns1:rPr>
                <ns1:sty ns1:val="p"/>
              </ns1:rPr>
              <ns1:t>,</ns1:t>
            </ns1:r>
            <ns1:r>
              <ns1:t>i</ns1:t>
            </ns1:r>
          </ns1:sub>
        </ns1:sSub>
        <ns1:sSup>
          <ns1:e>
            <ns1:r>
              <ns1:rPr>
                <ns1:sty ns1:val="p"/>
              </ns1:rPr>
              <ns1:t>)</ns1:t>
            </ns1:r>
          </ns1:e>
          <ns1:sup>
            <ns1:r>
              <ns1:t>2</ns1:t>
            </ns1:r>
          </ns1:sup>
        </ns1:sSup>
        <ns1:r>
          <ns1:rPr>
            <ns1:sty ns1:val="p"/>
          </ns1:rPr>
          <ns1:t>/</ns1:t>
        </ns1:r>
        <ns1:nary>
          <ns1:naryPr>
            <ns1:chr ns1:val="∑"/>
            <ns1:limLoc ns1:val="undOvr"/>
            <ns1:subHide ns1:val="0"/>
            <ns1:supHide ns1:val="1"/>
          </ns1:naryPr>
          <ns1:sub>
            <ns1:r>
              <ns1:t>i</ns1:t>
            </ns1:r>
          </ns1:sub>
          <ns1:sup>
            <ns1:r>
              <ns1:t>​</ns1:t>
            </ns1:r>
          </ns1:sup>
          <ns1:e>
            <ns1:r>
              <ns1:rPr>
                <ns1:sty ns1:val="p"/>
              </ns1:rPr>
              <ns1:t>(</ns1:t>
            </ns1:r>
          </ns1:e>
        </ns1:nary>
        <ns1:sSub>
          <ns1:e>
            <ns1:r>
              <ns1:t>Y</ns1:t>
            </ns1:r>
          </ns1:e>
          <ns1:sub>
            <ns1:r>
              <ns1:t>f</ns1:t>
            </ns1:r>
            <ns1:r>
              <ns1:t>u</ns1:t>
            </ns1:r>
            <ns1:r>
              <ns1:t>l</ns1:t>
            </ns1:r>
            <ns1:r>
              <ns1:t>l</ns1:t>
            </ns1:r>
            <ns1:r>
              <ns1:rPr>
                <ns1:sty ns1:val="p"/>
              </ns1:rPr>
              <ns1:t>,</ns1:t>
            </ns1:r>
            <ns1:r>
              <ns1:t>i</ns1:t>
            </ns1:r>
          </ns1:sub>
        </ns1:sSub>
        <ns1:r>
          <ns1:rPr>
            <ns1:sty ns1:val="p"/>
          </ns1:rPr>
          <ns1:t>−</ns1:t>
        </ns1:r>
        <ns1:sSub>
          <ns1:e>
            <ns1:acc>
              <ns1:accPr>
                <ns1:chr ns1:val="‾"/>
              </ns1:accPr>
              <ns1:e>
                <ns1:r>
                  <ns1:t>Y</ns1:t>
                </ns1:r>
              </ns1:e>
            </ns1:acc>
          </ns1:e>
          <ns1:sub>
            <ns1:r>
              <ns1:t>f</ns1:t>
            </ns1:r>
            <ns1:r>
              <ns1:t>u</ns1:t>
            </ns1:r>
            <ns1:r>
              <ns1:t>l</ns1:t>
            </ns1:r>
            <ns1:r>
              <ns1:t>l</ns1:t>
            </ns1:r>
          </ns1:sub>
        </ns1:sSub>
        <ns1:sSup>
          <ns1:e>
            <ns1:r>
              <ns1:rPr>
                <ns1:sty ns1:val="p"/>
              </ns1:rPr>
              <ns1:t>)</ns1:t>
            </ns1:r>
          </ns1:e>
          <ns1:sup>
            <ns1:r>
              <ns1:t>2</ns1:t>
            </ns1:r>
          </ns1:sup>
        </ns1:sSup>
      </ns1:oMath>
      <ns0:r>
        <ns0:t xml:space="preserve">.</ns0:t>
      </ns0:r>
    </ns0:p>
    <ns0:bookmarkEnd ns0:id="31"/>
    <ns0:bookmarkStart ns0:id="32" ns0:name="X11d20df43416977894c5ccde442b4d056a6acf2"/>
    <ns0:p>
      <ns0:pPr>
        <ns0:pStyle ns0:val="Heading2"/>
      </ns0:pPr>
      <ns0:r>
        <ns0:t xml:space="preserve">2.7. Prediction from size and a limited anatomical description</ns0:t>
      </ns0:r>
    </ns0:p>
    <ns0:p>
      <ns0:pPr>
        <ns0:pStyle ns0:val="FirstParagraph"/>
      </ns0:pPr>
      <ns0:r>
        <ns0:t xml:space="preserve">The central predictive comparison used load-specific OLS models for</ns0:t>
      </ns0:r>
      <ns0:r>
        <ns0:t xml:space="preserve"> </ns0:t>
      </ns0:r>
      <ns1:oMath>
        <ns1:r>
          <ns1:rPr>
            <ns1:nor/>
            <ns1:sty ns1:val="p"/>
          </ns1:rPr>
          <ns1:t>log</ns1:t>
        </ns1:r>
        <ns1:r>
          <ns1:t>Y</ns1:t>
        </ns1:r>
      </ns1:oMath>
      <ns0:r>
        <ns0:t xml:space="preserve">, with</ns0:t>
      </ns0:r>
      <ns0:r>
        <ns0:t xml:space="preserve"> </ns0:t>
      </ns0:r>
      <ns1:oMath>
        <ns1:r>
          <ns1:t>Y</ns1:t>
        </ns1:r>
      </ns1:oMath>
      <ns0:r>
        <ns0:t xml:space="preserve"> </ns0:t>
      </ns0:r>
      <ns0:r>
        <ns0:t xml:space="preserve">equal to rotation or translation magnitude. The size model used age and</ns0:t>
      </ns0:r>
      <ns0:r>
        <ns0:t xml:space="preserve"> </ns0:t>
      </ns0:r>
      <ns1:oMath>
        <ns1:r>
          <ns1:rPr>
            <ns1:nor/>
            <ns1:sty ns1:val="p"/>
          </ns1:rPr>
          <ns1:t>log</ns1:t>
        </ns1:r>
        <ns1:r>
          <ns1:t>V</ns1:t>
        </ns1:r>
      </ns1:oMath>
      <ns0:r>
        <ns0:t xml:space="preserve">. The triad model added inlet AP diameter, interspinous width and subpubic angle. Two benchmark models added, respectively, female sex and its interaction with</ns0:t>
      </ns0:r>
      <ns0:r>
        <ns0:t xml:space="preserve"> </ns0:t>
      </ns0:r>
      <ns1:oMath>
        <ns1:r>
          <ns1:rPr>
            <ns1:nor/>
            <ns1:sty ns1:val="p"/>
          </ns1:rPr>
          <ns1:t>log</ns1:t>
        </ns1:r>
        <ns1:r>
          <ns1:t>V</ns1:t>
        </ns1:r>
      </ns1:oMath>
      <ns0:r>
        <ns0:t xml:space="preserve"> </ns0:t>
      </ns0:r>
      <ns0:r>
        <ns0:t xml:space="preserve">to the triad, or replaced the triad with all eight available morphometric measures. Sex was not an independent parameter of the FE constitutive model. Predictor sets were fixed for this retrospective comparison; the original selection of the triad was not repeated within validation folds.</ns0:t>
      </ns0:r>
    </ns0:p>
    <ns0:p>
      <ns0:pPr>
        <ns0:pStyle ns0:val="BodyText"/>
      </ns0:pPr>
      <ns0:r>
        <ns0:t xml:space="preserve">We used ten repeats of ten-fold cross-validation, stratified by sex at the subject level (random seed 20261002 plus repeat index). The same folds were used for every outcome, load and predictor set. All observations of a held-out subject were excluded from training; load-specific models were fitted only to the training subjects. Predictors were standardized using each training fold. Predictions on the arithmetic outcome scale used a training-only smearing factor,</ns0:t>
      </ns0:r>
      <ns0:r>
        <ns0:t xml:space="preserve"> </ns0:t>
      </ns0:r>
      <ns1:oMath>
        <ns1:acc>
          <ns1:accPr>
            <ns1:chr ns1:val="̂"/>
          </ns1:accPr>
          <ns1:e>
            <ns1:r>
              <ns1:t>Y</ns1:t>
            </ns1:r>
          </ns1:e>
        </ns1:acc>
        <ns1:r>
          <ns1:rPr>
            <ns1:sty ns1:val="p"/>
          </ns1:rPr>
          <ns1:t>=</ns1:t>
        </ns1:r>
        <ns1:r>
          <ns1:rPr>
            <ns1:nor/>
            <ns1:sty ns1:val="p"/>
          </ns1:rPr>
          <ns1:t>exp</ns1:t>
        </ns1:r>
        <ns1:r>
          <ns1:rPr>
            <ns1:sty ns1:val="p"/>
          </ns1:rPr>
          <ns1:t>(</ns1:t>
        </ns1:r>
        <ns1:acc>
          <ns1:accPr>
            <ns1:chr ns1:val="̂"/>
          </ns1:accPr>
          <ns1:e>
            <ns1:r>
              <ns1:rPr>
                <ns1:nor/>
                <ns1:sty ns1:val="p"/>
              </ns1:rPr>
              <ns1:t>log</ns1:t>
            </ns1:r>
            <ns1:r>
              <ns1:t>Y</ns1:t>
            </ns1:r>
          </ns1:e>
        </ns1:acc>
        <ns1:r>
          <ns1:rPr>
            <ns1:sty ns1:val="p"/>
          </ns1:rPr>
          <ns1:t>)</ns1:t>
        </ns1:r>
        <ns1:r>
          <ns1:t> </ns1:t>
        </ns1:r>
        <ns1:sSubSup>
          <ns1:e>
            <ns1:r>
              <ns1:t>n</ns1:t>
            </ns1:r>
          </ns1:e>
          <ns1:sub>
            <ns1:r>
              <ns1:t>t</ns1:t>
            </ns1:r>
            <ns1:r>
              <ns1:t>r</ns1:t>
            </ns1:r>
            <ns1:r>
              <ns1:t>a</ns1:t>
            </ns1:r>
            <ns1:r>
              <ns1:t>i</ns1:t>
            </ns1:r>
            <ns1:r>
              <ns1:t>n</ns1:t>
            </ns1:r>
          </ns1:sub>
          <ns1:sup>
            <ns1:r>
              <ns1:rPr>
                <ns1:sty ns1:val="p"/>
              </ns1:rPr>
              <ns1:t>−</ns1:t>
            </ns1:r>
            <ns1:r>
              <ns1:t>1</ns1:t>
            </ns1:r>
          </ns1:sup>
        </ns1:sSubSup>
        <ns1:nary>
          <ns1:naryPr>
            <ns1:chr ns1:val="∑"/>
            <ns1:limLoc ns1:val="undOvr"/>
            <ns1:subHide ns1:val="0"/>
            <ns1:supHide ns1:val="1"/>
          </ns1:naryPr>
          <ns1:sub>
            <ns1:r>
              <ns1:t>i</ns1:t>
            </ns1:r>
            <ns1:r>
              <ns1:rPr>
                <ns1:sty ns1:val="p"/>
              </ns1:rPr>
              <ns1:t>∈</ns1:t>
            </ns1:r>
            <ns1:r>
              <ns1:t>t</ns1:t>
            </ns1:r>
            <ns1:r>
              <ns1:t>r</ns1:t>
            </ns1:r>
            <ns1:r>
              <ns1:t>a</ns1:t>
            </ns1:r>
            <ns1:r>
              <ns1:t>i</ns1:t>
            </ns1:r>
            <ns1:r>
              <ns1:t>n</ns1:t>
            </ns1:r>
          </ns1:sub>
          <ns1:sup>
            <ns1:r>
              <ns1:t>​</ns1:t>
            </ns1:r>
          </ns1:sup>
          <ns1:e>
            <ns1:r>
              <ns1:rPr>
                <ns1:nor/>
                <ns1:sty ns1:val="p"/>
              </ns1:rPr>
              <ns1:t>exp</ns1:t>
            </ns1:r>
          </ns1:e>
        </ns1:nary>
        <ns1:r>
          <ns1:rPr>
            <ns1:sty ns1:val="p"/>
          </ns1:rPr>
          <ns1:t>(</ns1:t>
        </ns1:r>
        <ns1:sSub>
          <ns1:e>
            <ns1:r>
              <ns1:t>e</ns1:t>
            </ns1:r>
          </ns1:e>
          <ns1:sub>
            <ns1:r>
              <ns1:t>i</ns1:t>
            </ns1:r>
          </ns1:sub>
        </ns1:sSub>
        <ns1:r>
          <ns1:rPr>
            <ns1:sty ns1:val="p"/>
          </ns1:rPr>
          <ns1:t>)</ns1:t>
        </ns1:r>
      </ns1:oMath>
      <ns0:r>
        <ns0:t xml:space="preserve">. Each fold fitted the predefined predictor set without further feature selection or hyperparameter tuning.</ns0:t>
      </ns0:r>
    </ns0:p>
    <ns0:p>
      <ns0:pPr>
        <ns0:pStyle ns0:val="BodyText"/>
      </ns0:pPr>
      <ns0:r>
        <ns0:t xml:space="preserve">Reported RMSE and MAE pool all held-out predictions across repeats. Prediction</ns0:t>
      </ns0:r>
      <ns0:r>
        <ns0:t xml:space="preserve"> </ns0:t>
      </ns0:r>
      <ns1:oMath>
        <ns1:sSup>
          <ns1:e>
            <ns1:r>
              <ns1:t>R</ns1:t>
            </ns1:r>
          </ns1:e>
          <ns1:sup>
            <ns1:r>
              <ns1:t>2</ns1:t>
            </ns1:r>
          </ns1:sup>
        </ns1:sSup>
        <ns1:r>
          <ns1:rPr>
            <ns1:sty ns1:val="p"/>
          </ns1:rPr>
          <ns1:t>=</ns1:t>
        </ns1:r>
        <ns1:r>
          <ns1:t>1</ns1:t>
        </ns1:r>
        <ns1:r>
          <ns1:rPr>
            <ns1:sty ns1:val="p"/>
          </ns1:rPr>
          <ns1:t>−</ns1:t>
        </ns1:r>
        <ns1:sSub>
          <ns1:e>
            <ns1:r>
              <ns1:rPr>
                <ns1:nor/>
                <ns1:sty ns1:val="p"/>
              </ns1:rPr>
              <ns1:t>mean</ns1:t>
            </ns1:r>
          </ns1:e>
          <ns1:sub>
            <ns1:r>
              <ns1:t>i</ns1:t>
            </ns1:r>
            <ns1:r>
              <ns1:rPr>
                <ns1:sty ns1:val="p"/>
              </ns1:rPr>
              <ns1:t>,</ns1:t>
            </ns1:r>
            <ns1:r>
              <ns1:t>r</ns1:t>
            </ns1:r>
          </ns1:sub>
        </ns1:sSub>
        <ns1:r>
          <ns1:rPr>
            <ns1:sty ns1:val="p"/>
          </ns1:rPr>
          <ns1:t>(</ns1:t>
        </ns1:r>
        <ns1:sSub>
          <ns1:e>
            <ns1:r>
              <ns1:t>Y</ns1:t>
            </ns1:r>
          </ns1:e>
          <ns1:sub>
            <ns1:r>
              <ns1:t>i</ns1:t>
            </ns1:r>
          </ns1:sub>
        </ns1:sSub>
        <ns1:r>
          <ns1:rPr>
            <ns1:sty ns1:val="p"/>
          </ns1:rPr>
          <ns1:t>−</ns1:t>
        </ns1:r>
        <ns1:sSub>
          <ns1:e>
            <ns1:acc>
              <ns1:accPr>
                <ns1:chr ns1:val="̂"/>
              </ns1:accPr>
              <ns1:e>
                <ns1:r>
                  <ns1:t>Y</ns1:t>
                </ns1:r>
              </ns1:e>
            </ns1:acc>
          </ns1:e>
          <ns1:sub>
            <ns1:r>
              <ns1:t>i</ns1:t>
            </ns1:r>
            <ns1:r>
              <ns1:t>r</ns1:t>
            </ns1:r>
          </ns1:sub>
        </ns1:sSub>
        <ns1:sSup>
          <ns1:e>
            <ns1:r>
              <ns1:rPr>
                <ns1:sty ns1:val="p"/>
              </ns1:rPr>
              <ns1:t>)</ns1:t>
            </ns1:r>
          </ns1:e>
          <ns1:sup>
            <ns1:r>
              <ns1:t>2</ns1:t>
            </ns1:r>
          </ns1:sup>
        </ns1:sSup>
        <ns1:r>
          <ns1:rPr>
            <ns1:sty ns1:val="p"/>
          </ns1:rPr>
          <ns1:t>/</ns1:t>
        </ns1:r>
        <ns1:sSub>
          <ns1:e>
            <ns1:r>
              <ns1:rPr>
                <ns1:nor/>
                <ns1:sty ns1:val="p"/>
              </ns1:rPr>
              <ns1:t>var</ns1:t>
            </ns1:r>
          </ns1:e>
          <ns1:sub>
            <ns1:r>
              <ns1:t>i</ns1:t>
            </ns1:r>
          </ns1:sub>
        </ns1:sSub>
        <ns1:r>
          <ns1:rPr>
            <ns1:sty ns1:val="p"/>
          </ns1:rPr>
          <ns1:t>(</ns1:t>
        </ns1:r>
        <ns1:sSub>
          <ns1:e>
            <ns1:r>
              <ns1:t>Y</ns1:t>
            </ns1:r>
          </ns1:e>
          <ns1:sub>
            <ns1:r>
              <ns1:t>i</ns1:t>
            </ns1:r>
          </ns1:sub>
        </ns1:sSub>
        <ns1:r>
          <ns1:rPr>
            <ns1:sty ns1:val="p"/>
          </ns1:rPr>
          <ns1:t>)</ns1:t>
        </ns1:r>
      </ns1:oMath>
      <ns0:r>
        <ns0:t xml:space="preserve"> </ns0:t>
      </ns0:r>
      <ns0:r>
        <ns0:t xml:space="preserve">uses the cohort outcome variance, separately for each load and endpoint; it is not training fit. Paired gains compare models on identical held-out observations. Pointwise 95% bootstrap intervals use 3000 subject resamples of repeat-averaged squared errors, preserving pairing across predictor sets. They condition on fitted cross-validation predictions and do not include the uncertainty of refitting or retrospectively selecting the triad. Repeated folds are not treated as independent samples. Validation addresses new subjects from the represented population under each specified load, not external specimens or unseen loading configurations.</ns0:t>
      </ns0:r>
    </ns0:p>
    <ns0:bookmarkEnd ns0:id="32"/>
    <ns0:bookmarkStart ns0:id="33" ns0:name="Xf2d3c1351314855d954417b7ccd99fc4a55c781"/>
    <ns0:p>
      <ns0:pPr>
        <ns0:pStyle ns0:val="Heading2"/>
      </ns0:pPr>
      <ns0:r>
        <ns0:t xml:space="preserve">2.8. Controlled test of a directional limit to scalar prediction</ns0:t>
      </ns0:r>
    </ns0:p>
    <ns0:p>
      <ns0:pPr>
        <ns0:pStyle ns0:val="FirstParagraph"/>
      </ns0:pPr>
      <ns0:r>
        <ns0:t xml:space="preserve">We redistributed each 400 N transverse side force between the internal-ring (LAB1) and ischial (LAB2) patches. At fraction</ns0:t>
      </ns0:r>
      <ns0:r>
        <ns0:t xml:space="preserve"> </ns0:t>
      </ns0:r>
      <ns1:oMath>
        <ns1:r>
          <ns1:t>w</ns1:t>
        </ns1:r>
        <ns1:r>
          <ns1:rPr>
            <ns1:sty ns1:val="p"/>
          </ns1:rPr>
          <ns1:t>∈</ns1:t>
        </ns1:r>
        <ns1:r>
          <ns1:rPr>
            <ns1:sty ns1:val="p"/>
          </ns1:rPr>
          <ns1:t>{</ns1:t>
        </ns1:r>
        <ns1:r>
          <ns1:t>0</ns1:t>
        </ns1:r>
        <ns1:r>
          <ns1:rPr>
            <ns1:sty ns1:val="p"/>
          </ns1:rPr>
          <ns1:t>,</ns1:t>
        </ns1:r>
        <ns1:r>
          <ns1:t>0.25</ns1:t>
        </ns1:r>
        <ns1:r>
          <ns1:rPr>
            <ns1:sty ns1:val="p"/>
          </ns1:rPr>
          <ns1:t>,</ns1:t>
        </ns1:r>
        <ns1:r>
          <ns1:t>0.5</ns1:t>
        </ns1:r>
        <ns1:r>
          <ns1:rPr>
            <ns1:sty ns1:val="p"/>
          </ns1:rPr>
          <ns1:t>,</ns1:t>
        </ns1:r>
        <ns1:r>
          <ns1:t>0.75</ns1:t>
        </ns1:r>
        <ns1:r>
          <ns1:rPr>
            <ns1:sty ns1:val="p"/>
          </ns1:rPr>
          <ns1:t>,</ns1:t>
        </ns1:r>
        <ns1:r>
          <ns1:t>1</ns1:t>
        </ns1:r>
        <ns1:r>
          <ns1:rPr>
            <ns1:sty ns1:val="p"/>
          </ns1:rPr>
          <ns1:t>}</ns1:t>
        </ns1:r>
      </ns1:oMath>
      <ns0:r>
        <ns0:t xml:space="preserve">, LAB1 patches receive fraction</ns0:t>
      </ns0:r>
      <ns0:r>
        <ns0:t xml:space="preserve"> </ns0:t>
      </ns0:r>
      <ns1:oMath>
        <ns1:r>
          <ns1:t>1</ns1:t>
        </ns1:r>
        <ns1:r>
          <ns1:rPr>
            <ns1:sty ns1:val="p"/>
          </ns1:rPr>
          <ns1:t>−</ns1:t>
        </ns1:r>
        <ns1:r>
          <ns1:t>w</ns1:t>
        </ns1:r>
      </ns1:oMath>
      <ns0:r>
        <ns0:t xml:space="preserve"> </ns0:t>
      </ns0:r>
      <ns0:r>
        <ns0:t xml:space="preserve">and LAB2 patches fraction</ns0:t>
      </ns0:r>
      <ns0:r>
        <ns0:t xml:space="preserve"> </ns0:t>
      </ns0:r>
      <ns1:oMath>
        <ns1:r>
          <ns1:t>w</ns1:t>
        </ns1:r>
      </ns1:oMath>
      <ns0:r>
        <ns0:t xml:space="preserve">. Each side’s total force and direction remain unchanged; geometry, density, constraints and linearized tissue stiffness remain fixed. Because both endpoint solutions contain the same pretension and the weights sum to one, the displacement field</ns0:t>
      </ns0:r>
    </ns0:p>
    <ns0:p>
      <ns0:pPr>
        <ns0:pStyle ns0:val="BodyText"/>
      </ns0:pPr>
      <ns1:oMathPara>
        <ns1:oMathParaPr>
          <ns1:jc ns1:val="center"/>
        </ns1:oMathParaPr>
        <ns1:oMath>
          <ns1:sSub>
            <ns1:e>
              <ns1:r>
                <ns1:rPr>
                  <ns1:sty ns1:val="b"/>
                </ns1:rPr>
                <ns1:t>u</ns1:t>
              </ns1:r>
            </ns1:e>
            <ns1:sub>
              <ns1:r>
                <ns1:t>i</ns1:t>
              </ns1:r>
            </ns1:sub>
          </ns1:sSub>
          <ns1:r>
            <ns1:rPr>
              <ns1:sty ns1:val="p"/>
            </ns1:rPr>
            <ns1:t>(</ns1:t>
          </ns1:r>
          <ns1:r>
            <ns1:t>w</ns1:t>
          </ns1:r>
          <ns1:r>
            <ns1:rPr>
              <ns1:sty ns1:val="p"/>
            </ns1:rPr>
            <ns1:t>)</ns1:t>
          </ns1:r>
          <ns1:r>
            <ns1:rPr>
              <ns1:sty ns1:val="p"/>
            </ns1:rPr>
            <ns1:t>=</ns1:t>
          </ns1:r>
          <ns1:r>
            <ns1:rPr>
              <ns1:sty ns1:val="p"/>
            </ns1:rPr>
            <ns1:t>(</ns1:t>
          </ns1:r>
          <ns1:r>
            <ns1:t>1</ns1:t>
          </ns1:r>
          <ns1:r>
            <ns1:rPr>
              <ns1:sty ns1:val="p"/>
            </ns1:rPr>
            <ns1:t>−</ns1:t>
          </ns1:r>
          <ns1:r>
            <ns1:t>w</ns1:t>
          </ns1:r>
          <ns1:r>
            <ns1:rPr>
              <ns1:sty ns1:val="p"/>
            </ns1:rPr>
            <ns1:t>)</ns1:t>
          </ns1:r>
          <ns1:sSub>
            <ns1:e>
              <ns1:r>
                <ns1:rPr>
                  <ns1:sty ns1:val="b"/>
                </ns1:rPr>
                <ns1:t>u</ns1:t>
              </ns1:r>
            </ns1:e>
            <ns1:sub>
              <ns1:r>
                <ns1:t>i</ns1:t>
              </ns1:r>
              <ns1:r>
                <ns1:rPr>
                  <ns1:sty ns1:val="p"/>
                </ns1:rPr>
                <ns1:t>,</ns1:t>
              </ns1:r>
              <ns1:r>
                <ns1:t>L</ns1:t>
              </ns1:r>
              <ns1:r>
                <ns1:t>A</ns1:t>
              </ns1:r>
              <ns1:r>
                <ns1:t>B</ns1:t>
              </ns1:r>
              <ns1:r>
                <ns1:t>1</ns1:t>
              </ns1:r>
            </ns1:sub>
          </ns1:sSub>
          <ns1:r>
            <ns1:rPr>
              <ns1:sty ns1:val="p"/>
            </ns1:rPr>
            <ns1:t>+</ns1:t>
          </ns1:r>
          <ns1:r>
            <ns1:t>w</ns1:t>
          </ns1:r>
          <ns1:sSub>
            <ns1:e>
              <ns1:r>
                <ns1:rPr>
                  <ns1:sty ns1:val="b"/>
                </ns1:rPr>
                <ns1:t>u</ns1:t>
              </ns1:r>
            </ns1:e>
            <ns1:sub>
              <ns1:r>
                <ns1:t>i</ns1:t>
              </ns1:r>
              <ns1:r>
                <ns1:rPr>
                  <ns1:sty ns1:val="p"/>
                </ns1:rPr>
                <ns1:t>,</ns1:t>
              </ns1:r>
              <ns1:r>
                <ns1:t>L</ns1:t>
              </ns1:r>
              <ns1:r>
                <ns1:t>A</ns1:t>
              </ns1:r>
              <ns1:r>
                <ns1:t>B</ns1:t>
              </ns1:r>
              <ns1:r>
                <ns1:t>2</ns1:t>
              </ns1:r>
            </ns1:sub>
          </ns1:sSub>
        </ns1:oMath>
      </ns1:oMathPara>
    </ns0:p>
    <ns0:p>
      <ns0:pPr>
        <ns0:pStyle ns0:val="FirstParagraph"/>
      </ns0:pPr>
      <ns0:r>
        <ns0:t xml:space="preserve">solves the corresponding mixed-force problem in the implemented linear system. The experiment uses exact field superposition and requires no new FE factorization.</ns0:t>
      </ns0:r>
    </ns0:p>
    <ns0:p>
      <ns0:pPr>
        <ns0:pStyle ns0:val="BodyText"/>
      </ns0:pPr>
      <ns0:r>
        <ns0:t xml:space="preserve">For all 278 subjects, motion was re-extracted from the mixed fields using the original affine-corrected, trimmed-Kabsch definitions and each subject’s fixed unloaded ROI. Both endpoint weights reproduced the archived corrected rotations and translations to absolute and relative tolerances of</ns0:t>
      </ns0:r>
      <ns0:r>
        <ns0:t xml:space="preserve"> </ns0:t>
      </ns0:r>
      <ns1:oMath>
        <ns1:sSup>
          <ns1:e>
            <ns1:r>
              <ns1:t>10</ns1:t>
            </ns1:r>
          </ns1:e>
          <ns1:sup>
            <ns1:r>
              <ns1:rPr>
                <ns1:sty ns1:val="p"/>
              </ns1:rPr>
              <ns1:t>−</ns1:t>
            </ns1:r>
            <ns1:r>
              <ns1:t>8</ns1:t>
            </ns1:r>
          </ns1:sup>
        </ns1:sSup>
      </ns1:oMath>
      <ns0:r>
        <ns0:t xml:space="preserve">. A scalar endpoint estimate combines bilateral translation magnitudes,</ns0:t>
      </ns0:r>
      <ns0:r>
        <ns0:t xml:space="preserve"> </ns0:t>
      </ns0:r>
      <ns1:oMath>
        <ns1:sSub>
          <ns1:e>
            <ns1:r>
              <ns1:t>S</ns1:t>
            </ns1:r>
          </ns1:e>
          <ns1:sub>
            <ns1:r>
              <ns1:t>i</ns1:t>
            </ns1:r>
          </ns1:sub>
        </ns1:sSub>
        <ns1:r>
          <ns1:rPr>
            <ns1:sty ns1:val="p"/>
          </ns1:rPr>
          <ns1:t>(</ns1:t>
        </ns1:r>
        <ns1:r>
          <ns1:t>w</ns1:t>
        </ns1:r>
        <ns1:r>
          <ns1:rPr>
            <ns1:sty ns1:val="p"/>
          </ns1:rPr>
          <ns1:t>)</ns1:t>
        </ns1:r>
        <ns1:r>
          <ns1:rPr>
            <ns1:sty ns1:val="p"/>
          </ns1:rPr>
          <ns1:t>=</ns1:t>
        </ns1:r>
        <ns1:r>
          <ns1:rPr>
            <ns1:sty ns1:val="p"/>
          </ns1:rPr>
          <ns1:t>(</ns1:t>
        </ns1:r>
        <ns1:r>
          <ns1:t>1</ns1:t>
        </ns1:r>
        <ns1:r>
          <ns1:rPr>
            <ns1:sty ns1:val="p"/>
          </ns1:rPr>
          <ns1:t>−</ns1:t>
        </ns1:r>
        <ns1:r>
          <ns1:t>w</ns1:t>
        </ns1:r>
        <ns1:r>
          <ns1:rPr>
            <ns1:sty ns1:val="p"/>
          </ns1:rPr>
          <ns1:t>)</ns1:t>
        </ns1:r>
        <ns1:sSub>
          <ns1:e>
            <ns1:r>
              <ns1:t>Y</ns1:t>
            </ns1:r>
          </ns1:e>
          <ns1:sub>
            <ns1:r>
              <ns1:t>i</ns1:t>
            </ns1:r>
            <ns1:r>
              <ns1:rPr>
                <ns1:sty ns1:val="p"/>
              </ns1:rPr>
              <ns1:t>,</ns1:t>
            </ns1:r>
            <ns1:r>
              <ns1:t>L</ns1:t>
            </ns1:r>
            <ns1:r>
              <ns1:t>A</ns1:t>
            </ns1:r>
            <ns1:r>
              <ns1:t>B</ns1:t>
            </ns1:r>
            <ns1:r>
              <ns1:t>1</ns1:t>
            </ns1:r>
          </ns1:sub>
        </ns1:sSub>
        <ns1:r>
          <ns1:rPr>
            <ns1:sty ns1:val="p"/>
          </ns1:rPr>
          <ns1:t>+</ns1:t>
        </ns1:r>
        <ns1:r>
          <ns1:t>w</ns1:t>
        </ns1:r>
        <ns1:sSub>
          <ns1:e>
            <ns1:r>
              <ns1:t>Y</ns1:t>
            </ns1:r>
          </ns1:e>
          <ns1:sub>
            <ns1:r>
              <ns1:t>i</ns1:t>
            </ns1:r>
            <ns1:r>
              <ns1:rPr>
                <ns1:sty ns1:val="p"/>
              </ns1:rPr>
              <ns1:t>,</ns1:t>
            </ns1:r>
            <ns1:r>
              <ns1:t>L</ns1:t>
            </ns1:r>
            <ns1:r>
              <ns1:t>A</ns1:t>
            </ns1:r>
            <ns1:r>
              <ns1:t>B</ns1:t>
            </ns1:r>
            <ns1:r>
              <ns1:t>2</ns1:t>
            </ns1:r>
          </ns1:sub>
        </ns1:sSub>
      </ns1:oMath>
      <ns0:r>
        <ns0:t xml:space="preserve">. A signed-vector endpoint estimate first combines each side’s reported displacement vectors and then takes their bilateral mean norm,</ns0:t>
      </ns0:r>
      <ns0:r>
        <ns0:t xml:space="preserve"> </ns0:t>
      </ns0:r>
      <ns1:oMath>
        <ns1:sSub>
          <ns1:e>
            <ns1:r>
              <ns1:t>D</ns1:t>
            </ns1:r>
          </ns1:e>
          <ns1:sub>
            <ns1:r>
              <ns1:t>i</ns1:t>
            </ns1:r>
          </ns1:sub>
        </ns1:sSub>
        <ns1:r>
          <ns1:rPr>
            <ns1:sty ns1:val="p"/>
          </ns1:rPr>
          <ns1:t>(</ns1:t>
        </ns1:r>
        <ns1:r>
          <ns1:t>w</ns1:t>
        </ns1:r>
        <ns1:r>
          <ns1:rPr>
            <ns1:sty ns1:val="p"/>
          </ns1:rPr>
          <ns1:t>)</ns1:t>
        </ns1:r>
        <ns1:r>
          <ns1:rPr>
            <ns1:sty ns1:val="p"/>
          </ns1:rPr>
          <ns1:t>=</ns1:t>
        </ns1:r>
        <ns1:f>
          <ns1:fPr>
            <ns1:type ns1:val="bar"/>
          </ns1:fPr>
          <ns1:num>
            <ns1:r>
              <ns1:t>1</ns1:t>
            </ns1:r>
          </ns1:num>
          <ns1:den>
            <ns1:r>
              <ns1:t>2</ns1:t>
            </ns1:r>
          </ns1:den>
        </ns1:f>
        <ns1:nary>
          <ns1:naryPr>
            <ns1:chr ns1:val="∑"/>
            <ns1:limLoc ns1:val="undOvr"/>
            <ns1:subHide ns1:val="0"/>
            <ns1:supHide ns1:val="1"/>
          </ns1:naryPr>
          <ns1:sub>
            <ns1:r>
              <ns1:t>s</ns1:t>
            </ns1:r>
            <ns1:r>
              <ns1:rPr>
                <ns1:sty ns1:val="p"/>
              </ns1:rPr>
              <ns1:t>=</ns1:t>
            </ns1:r>
            <ns1:r>
              <ns1:t>L</ns1:t>
            </ns1:r>
            <ns1:r>
              <ns1:rPr>
                <ns1:sty ns1:val="p"/>
              </ns1:rPr>
              <ns1:t>,</ns1:t>
            </ns1:r>
            <ns1:r>
              <ns1:t>R</ns1:t>
            </ns1:r>
          </ns1:sub>
          <ns1:sup>
            <ns1:r>
              <ns1:t>​</ns1:t>
            </ns1:r>
          </ns1:sup>
          <ns1:e>
            <ns1:r>
              <ns1:rPr>
                <ns1:sty ns1:val="p"/>
              </ns1:rPr>
              <ns1:t>∥</ns1:t>
            </ns1:r>
          </ns1:e>
        </ns1:nary>
        <ns1:r>
          <ns1:rPr>
            <ns1:sty ns1:val="p"/>
          </ns1:rPr>
          <ns1:t>(</ns1:t>
        </ns1:r>
        <ns1:r>
          <ns1:t>1</ns1:t>
        </ns1:r>
        <ns1:r>
          <ns1:rPr>
            <ns1:sty ns1:val="p"/>
          </ns1:rPr>
          <ns1:t>−</ns1:t>
        </ns1:r>
        <ns1:r>
          <ns1:t>w</ns1:t>
        </ns1:r>
        <ns1:r>
          <ns1:rPr>
            <ns1:sty ns1:val="p"/>
          </ns1:rPr>
          <ns1:t>)</ns1:t>
        </ns1:r>
        <ns1:sSub>
          <ns1:e>
            <ns1:r>
              <ns1:rPr>
                <ns1:sty ns1:val="b"/>
              </ns1:rPr>
              <ns1:t>d</ns1:t>
            </ns1:r>
          </ns1:e>
          <ns1:sub>
            <ns1:r>
              <ns1:t>i</ns1:t>
            </ns1:r>
            <ns1:r>
              <ns1:rPr>
                <ns1:sty ns1:val="p"/>
              </ns1:rPr>
              <ns1:t>,</ns1:t>
            </ns1:r>
            <ns1:r>
              <ns1:t>L</ns1:t>
            </ns1:r>
            <ns1:r>
              <ns1:t>A</ns1:t>
            </ns1:r>
            <ns1:r>
              <ns1:t>B</ns1:t>
            </ns1:r>
            <ns1:r>
              <ns1:t>1</ns1:t>
            </ns1:r>
            <ns1:r>
              <ns1:rPr>
                <ns1:sty ns1:val="p"/>
              </ns1:rPr>
              <ns1:t>,</ns1:t>
            </ns1:r>
            <ns1:r>
              <ns1:t>s</ns1:t>
            </ns1:r>
          </ns1:sub>
        </ns1:sSub>
        <ns1:r>
          <ns1:rPr>
            <ns1:sty ns1:val="p"/>
          </ns1:rPr>
          <ns1:t>+</ns1:t>
        </ns1:r>
        <ns1:r>
          <ns1:t>w</ns1:t>
        </ns1:r>
        <ns1:sSub>
          <ns1:e>
            <ns1:r>
              <ns1:rPr>
                <ns1:sty ns1:val="b"/>
              </ns1:rPr>
              <ns1:t>d</ns1:t>
            </ns1:r>
          </ns1:e>
          <ns1:sub>
            <ns1:r>
              <ns1:t>i</ns1:t>
            </ns1:r>
            <ns1:r>
              <ns1:rPr>
                <ns1:sty ns1:val="p"/>
              </ns1:rPr>
              <ns1:t>,</ns1:t>
            </ns1:r>
            <ns1:r>
              <ns1:t>L</ns1:t>
            </ns1:r>
            <ns1:r>
              <ns1:t>A</ns1:t>
            </ns1:r>
            <ns1:r>
              <ns1:t>B</ns1:t>
            </ns1:r>
            <ns1:r>
              <ns1:t>2</ns1:t>
            </ns1:r>
            <ns1:r>
              <ns1:rPr>
                <ns1:sty ns1:val="p"/>
              </ns1:rPr>
              <ns1:t>,</ns1:t>
            </ns1:r>
            <ns1:r>
              <ns1:t>s</ns1:t>
            </ns1:r>
          </ns1:sub>
        </ns1:sSub>
        <ns1:r>
          <ns1:rPr>
            <ns1:sty ns1:val="p"/>
          </ns1:rPr>
          <ns1:t>∥</ns1:t>
        </ns1:r>
      </ns1:oMath>
      <ns0:r>
        <ns0:t xml:space="preserve">.</ns0:t>
      </ns0:r>
    </ns0:p>
    <ns0:p>
      <ns0:pPr>
        <ns0:pStyle ns0:val="BodyText"/>
      </ns0:pPr>
      <ns0:r>
        <ns0:t xml:space="preserve">The vector norm contains the cross-term</ns0:t>
      </ns0:r>
      <ns0:r>
        <ns0:t xml:space="preserve"> </ns0:t>
      </ns0:r>
      <ns1:oMath>
        <ns1:r>
          <ns1:t>2</ns1:t>
        </ns1:r>
        <ns1:r>
          <ns1:t>w</ns1:t>
        </ns1:r>
        <ns1:r>
          <ns1:rPr>
            <ns1:sty ns1:val="p"/>
          </ns1:rPr>
          <ns1:t>(</ns1:t>
        </ns1:r>
        <ns1:r>
          <ns1:t>1</ns1:t>
        </ns1:r>
        <ns1:r>
          <ns1:rPr>
            <ns1:sty ns1:val="p"/>
          </ns1:rPr>
          <ns1:t>−</ns1:t>
        </ns1:r>
        <ns1:r>
          <ns1:t>w</ns1:t>
        </ns1:r>
        <ns1:r>
          <ns1:rPr>
            <ns1:sty ns1:val="p"/>
          </ns1:rPr>
          <ns1:t>)</ns1:t>
        </ns1:r>
        <ns1:sSub>
          <ns1:e>
            <ns1:r>
              <ns1:rPr>
                <ns1:sty ns1:val="b"/>
              </ns1:rPr>
              <ns1:t>d</ns1:t>
            </ns1:r>
          </ns1:e>
          <ns1:sub>
            <ns1:r>
              <ns1:t>L</ns1:t>
            </ns1:r>
            <ns1:r>
              <ns1:t>A</ns1:t>
            </ns1:r>
            <ns1:r>
              <ns1:t>B</ns1:t>
            </ns1:r>
            <ns1:r>
              <ns1:t>1</ns1:t>
            </ns1:r>
            <ns1:r>
              <ns1:rPr>
                <ns1:sty ns1:val="p"/>
              </ns1:rPr>
              <ns1:t>,</ns1:t>
            </ns1:r>
            <ns1:r>
              <ns1:t>s</ns1:t>
            </ns1:r>
          </ns1:sub>
        </ns1:sSub>
        <ns1:r>
          <ns1:rPr>
            <ns1:sty ns1:val="p"/>
          </ns1:rPr>
          <ns1:t>⋅</ns1:t>
        </ns1:r>
        <ns1:sSub>
          <ns1:e>
            <ns1:r>
              <ns1:rPr>
                <ns1:sty ns1:val="b"/>
              </ns1:rPr>
              <ns1:t>d</ns1:t>
            </ns1:r>
          </ns1:e>
          <ns1:sub>
            <ns1:r>
              <ns1:t>L</ns1:t>
            </ns1:r>
            <ns1:r>
              <ns1:t>A</ns1:t>
            </ns1:r>
            <ns1:r>
              <ns1:t>B</ns1:t>
            </ns1:r>
            <ns1:r>
              <ns1:t>2</ns1:t>
            </ns1:r>
            <ns1:r>
              <ns1:rPr>
                <ns1:sty ns1:val="p"/>
              </ns1:rPr>
              <ns1:t>,</ns1:t>
            </ns1:r>
            <ns1:r>
              <ns1:t>s</ns1:t>
            </ns1:r>
          </ns1:sub>
        </ns1:sSub>
      </ns1:oMath>
      <ns0:r>
        <ns0:t xml:space="preserve">, which scalar magnitudes cannot identify. We quantified the reduction relative to scalar combination as</ns0:t>
      </ns0:r>
      <ns0:r>
        <ns0:t xml:space="preserve"> </ns0:t>
      </ns0:r>
      <ns1:oMath>
        <ns1:r>
          <ns1:t>100</ns1:t>
        </ns1:r>
        <ns1:r>
          <ns1:rPr>
            <ns1:sty ns1:val="p"/>
          </ns1:rPr>
          <ns1:t>[</ns1:t>
        </ns1:r>
        <ns1:r>
          <ns1:t>1</ns1:t>
        </ns1:r>
        <ns1:r>
          <ns1:rPr>
            <ns1:sty ns1:val="p"/>
          </ns1:rPr>
          <ns1:t>−</ns1:t>
        </ns1:r>
        <ns1:sSub>
          <ns1:e>
            <ns1:r>
              <ns1:t>Y</ns1:t>
            </ns1:r>
          </ns1:e>
          <ns1:sub>
            <ns1:r>
              <ns1:t>i</ns1:t>
            </ns1:r>
          </ns1:sub>
        </ns1:sSub>
        <ns1:r>
          <ns1:rPr>
            <ns1:sty ns1:val="p"/>
          </ns1:rPr>
          <ns1:t>(</ns1:t>
        </ns1:r>
        <ns1:r>
          <ns1:t>w</ns1:t>
        </ns1:r>
        <ns1:r>
          <ns1:rPr>
            <ns1:sty ns1:val="p"/>
          </ns1:rPr>
          <ns1:t>)</ns1:t>
        </ns1:r>
        <ns1:r>
          <ns1:rPr>
            <ns1:sty ns1:val="p"/>
          </ns1:rPr>
          <ns1:t>/</ns1:t>
        </ns1:r>
        <ns1:sSub>
          <ns1:e>
            <ns1:r>
              <ns1:t>S</ns1:t>
            </ns1:r>
          </ns1:e>
          <ns1:sub>
            <ns1:r>
              <ns1:t>i</ns1:t>
            </ns1:r>
          </ns1:sub>
        </ns1:sSub>
        <ns1:r>
          <ns1:rPr>
            <ns1:sty ns1:val="p"/>
          </ns1:rPr>
          <ns1:t>(</ns1:t>
        </ns1:r>
        <ns1:r>
          <ns1:t>w</ns1:t>
        </ns1:r>
        <ns1:r>
          <ns1:rPr>
            <ns1:sty ns1:val="p"/>
          </ns1:rPr>
          <ns1:t>)</ns1:t>
        </ns1:r>
        <ns1:r>
          <ns1:rPr>
            <ns1:sty ns1:val="p"/>
          </ns1:rPr>
          <ns1:t>]</ns1:t>
        </ns1:r>
      </ns1:oMath>
      <ns0:r>
        <ns0:t xml:space="preserve"> </ns0:t>
      </ns0:r>
      <ns0:r>
        <ns0:t xml:space="preserve">and compared scalar and vector RMSE against re-extracted</ns0:t>
      </ns0:r>
      <ns0:r>
        <ns0:t xml:space="preserve"> </ns0:t>
      </ns0:r>
      <ns1:oMath>
        <ns1:sSub>
          <ns1:e>
            <ns1:r>
              <ns1:t>Y</ns1:t>
            </ns1:r>
          </ns1:e>
          <ns1:sub>
            <ns1:r>
              <ns1:t>i</ns1:t>
            </ns1:r>
          </ns1:sub>
        </ns1:sSub>
        <ns1:r>
          <ns1:rPr>
            <ns1:sty ns1:val="p"/>
          </ns1:rPr>
          <ns1:t>(</ns1:t>
        </ns1:r>
        <ns1:r>
          <ns1:t>w</ns1:t>
        </ns1:r>
        <ns1:r>
          <ns1:rPr>
            <ns1:sty ns1:val="p"/>
          </ns1:rPr>
          <ns1:t>)</ns1:t>
        </ns1:r>
      </ns1:oMath>
      <ns0:r>
        <ns0:t xml:space="preserve">. Signed-vector combination is an approximation at the level of these fitted kinematic outputs, despite exact superposition of the underlying FE fields; its error was measured rather than assumed zero. Both endpoint estimates use individual FE endpoint information and are mechanism diagnostics, not anatomy-only held-out predictions. This experiment tests transfer to a controlled load mixture; it does not identify the causes of residual cross-subject prediction error. Bootstrap intervals for median reduction use 3000 subject resamples.</ns0:t>
      </ns0:r>
    </ns0:p>
    <ns0:bookmarkEnd ns0:id="33"/>
    <ns0:bookmarkStart ns0:id="34" ns0:name="statistical-analysis"/>
    <ns0:p>
      <ns0:pPr>
        <ns0:pStyle ns0:val="Heading2"/>
      </ns0:pPr>
      <ns0:r>
        <ns0:t xml:space="preserve">2.9. Statistical analysis</ns0:t>
      </ns0:r>
    </ns0:p>
    <ns0:p>
      <ns0:pPr>
        <ns0:pStyle ns0:val="FirstParagraph"/>
      </ns0:pPr>
      <ns0:r>
        <ns0:t xml:space="preserve">All comparisons were retrospective and were not preregistered. Held-out prediction gains and the controlled load-mixture experiment form the central analyses; anatomical-adjustment, load-profile and density-variant comparisons provide context and delimit their interpretation. Distributions are summarized by medians and interquartile ranges. Paired component contrasts use</ns0:t>
      </ns0:r>
      <ns0:r>
        <ns0:t xml:space="preserve"> </ns0:t>
      </ns0:r>
      <ns1:oMath>
        <ns1:sSub>
          <ns1:e>
            <ns1:r>
              <ns1:t>Δ</ns1:t>
            </ns1:r>
          </ns1:e>
          <ns1:sub>
            <ns1:r>
              <ns1:t>i</ns1:t>
            </ns1:r>
            <ns1:r>
              <ns1:rPr>
                <ns1:sty ns1:val="p"/>
              </ns1:rPr>
              <ns1:t>ℓ</ns1:t>
            </ns1:r>
            <ns1:r>
              <ns1:rPr>
                <ns1:sty ns1:val="p"/>
              </ns1:rPr>
              <ns1:t>,</ns1:t>
            </ns1:r>
            <ns1:r>
              <ns1:t>k</ns1:t>
            </ns1:r>
          </ns1:sub>
        </ns1:sSub>
        <ns1:r>
          <ns1:rPr>
            <ns1:sty ns1:val="p"/>
          </ns1:rPr>
          <ns1:t>=</ns1:t>
        </ns1:r>
        <ns1:r>
          <ns1:rPr>
            <ns1:sty ns1:val="p"/>
          </ns1:rPr>
          <ns1:t>|</ns1:t>
        </ns1:r>
        <ns1:sSub>
          <ns1:e>
            <ns1:r>
              <ns1:t>d</ns1:t>
            </ns1:r>
          </ns1:e>
          <ns1:sub>
            <ns1:r>
              <ns1:t>k</ns1:t>
            </ns1:r>
          </ns1:sub>
        </ns1:sSub>
        <ns1:sSub>
          <ns1:e>
            <ns1:r>
              <ns1:rPr>
                <ns1:sty ns1:val="p"/>
              </ns1:rPr>
              <ns1:t>|</ns1:t>
            </ns1:r>
          </ns1:e>
          <ns1:sub>
            <ns1:r>
              <ns1:t>i</ns1:t>
            </ns1:r>
            <ns1:r>
              <ns1:rPr>
                <ns1:sty ns1:val="p"/>
              </ns1:rPr>
              <ns1:t>ℓ</ns1:t>
            </ns1:r>
          </ns1:sub>
        </ns1:sSub>
        <ns1:r>
          <ns1:rPr>
            <ns1:sty ns1:val="p"/>
          </ns1:rPr>
          <ns1:t>−</ns1:t>
        </ns1:r>
        <ns1:r>
          <ns1:rPr>
            <ns1:sty ns1:val="p"/>
          </ns1:rPr>
          <ns1:t>|</ns1:t>
        </ns1:r>
        <ns1:sSub>
          <ns1:e>
            <ns1:r>
              <ns1:t>d</ns1:t>
            </ns1:r>
          </ns1:e>
          <ns1:sub>
            <ns1:r>
              <ns1:t>k</ns1:t>
            </ns1:r>
          </ns1:sub>
        </ns1:sSub>
        <ns1:sSub>
          <ns1:e>
            <ns1:r>
              <ns1:rPr>
                <ns1:sty ns1:val="p"/>
              </ns1:rPr>
              <ns1:t>|</ns1:t>
            </ns1:r>
          </ns1:e>
          <ns1:sub>
            <ns1:r>
              <ns1:t>i</ns1:t>
            </ns1:r>
            <ns1:r>
              <ns1:rPr>
                <ns1:sty ns1:val="p"/>
              </ns1:rPr>
              <ns1:t>,</ns1:t>
            </ns1:r>
            <ns1:r>
              <ns1:t>S</ns1:t>
            </ns1:r>
            <ns1:r>
              <ns1:t>P</ns1:t>
            </ns1:r>
            <ns1:r>
              <ns1:t>2</ns1:t>
            </ns1:r>
            <ns1:r>
              <ns1:t>l</ns1:t>
            </ns1:r>
            <ns1:r>
              <ns1:t>e</ns1:t>
            </ns1:r>
            <ns1:r>
              <ns1:t>g</ns1:t>
            </ns1:r>
          </ns1:sub>
        </ns1:sSub>
      </ns1:oMath>
      <ns0:r>
        <ns0:t xml:space="preserve">, with 3000 subject bootstrap samples for median confidence intervals and two-sided exact binomial sign tests (zero differences excluded). Wilcoxon signed-rank statistics</ns0:t>
      </ns0:r>
      <ns0:r>
        <ns0:t xml:space="preserve"> </ns0:t>
      </ns0:r>
      <ns0:r>
        <ns0:t xml:space="preserve">(Wilcoxon 1945)</ns0:t>
      </ns0:r>
      <ns0:r>
        <ns0:t xml:space="preserve"> </ns0:t>
      </ns0:r>
      <ns0:r>
        <ns0:t xml:space="preserve">are retained in the machine-readable output as a sensitivity diagnostic, but are not used for primary inference because asymmetric differences can yield a signed-rank result that disagrees with the direction of the median. Benjamini–Hochberg correction was applied to the 12 component comparisons</ns0:t>
      </ns0:r>
      <ns0:r>
        <ns0:t xml:space="preserve"> </ns0:t>
      </ns0:r>
      <ns0:r>
        <ns0:t xml:space="preserve">(Benjamini and Hochberg 1995)</ns0:t>
      </ns0:r>
      <ns0:r>
        <ns0:t xml:space="preserve">. Bilateral versus unilateral support uses a separate three-test family for rotation magnitude, translation magnitude and translation asymmetry. Direct LAB2-minus-LAB1 contrasts use a separate three-component family. Prediction-gain intervals are descriptive, pointwise comparisons of paired held-out errors; no multiplicity-adjusted hypothesis tests were applied to them.</ns0:t>
      </ns0:r>
    </ns0:p>
    <ns0:p>
      <ns0:pPr>
        <ns0:pStyle ns0:val="BodyText"/>
      </ns0:pPr>
      <ns0:r>
        <ns0:t xml:space="preserve">For each LAB case, nested OLS models used HC3 covariance</ns0:t>
      </ns0:r>
      <ns0:r>
        <ns0:t xml:space="preserve"> </ns0:t>
      </ns0:r>
      <ns0:r>
        <ns0:t xml:space="preserve">(MacKinnon and White 1985)</ns0:t>
      </ns0:r>
      <ns0:r>
        <ns0:t xml:space="preserve">:</ns0:t>
      </ns0:r>
    </ns0:p>
    <ns0:p>
      <ns0:pPr>
        <ns0:pStyle ns0:val="BodyText"/>
      </ns0:pPr>
      <ns1:oMathPara>
        <ns1:oMathParaPr>
          <ns1:jc ns1:val="center"/>
        </ns1:oMathParaPr>
        <ns1:oMath>
          <ns1:m>
            <ns1:mPr>
              <ns1:baseJc ns1:val="center"/>
              <ns1:plcHide ns1:val="1"/>
              <ns1:mcs>
                <ns1:mc>
                  <ns1:mcPr>
                    <ns1:mcJc ns1:val="right"/>
                    <ns1:count ns1:val="1"/>
                  </ns1:mcPr>
                </ns1:mc>
                <ns1:mc>
                  <ns1:mcPr>
                    <ns1:mcJc ns1:val="left"/>
                    <ns1:count ns1:val="1"/>
                  </ns1:mcPr>
                </ns1:mc>
              </ns1:mcs>
            </ns1:mPr>
            <ns1:mr>
              <ns1:e>
                <ns1:r>
                  <ns1:rPr>
                    <ns1:sty ns1:val="p"/>
                  </ns1:rPr>
                  <ns1:t>M</ns1:t>
                </ns1:r>
                <ns1:r>
                  <ns1:rPr>
                    <ns1:sty ns1:val="p"/>
                  </ns1:rPr>
                  <ns1:t>0</ns1:t>
                </ns1:r>
                <ns1:r>
                  <ns1:rPr>
                    <ns1:sty ns1:val="p"/>
                  </ns1:rPr>
                  <ns1:t>:</ns1:t>
                </ns1:r>
                <ns1:r>
                  <ns1:t> </ns1:t>
                </ns1:r>
                <ns1:r>
                  <ns1:t>Y</ns1:t>
                </ns1:r>
              </ns1:e>
              <ns1:e>
                <ns1:r>
                  <ns1:rPr>
                    <ns1:sty ns1:val="p"/>
                  </ns1:rPr>
                  <ns1:t>=</ns1:t>
                </ns1:r>
                <ns1:sSub>
                  <ns1:e>
                    <ns1:r>
                      <ns1:t>β</ns1:t>
                    </ns1:r>
                  </ns1:e>
                  <ns1:sub>
                    <ns1:r>
                      <ns1:t>0</ns1:t>
                    </ns1:r>
                  </ns1:sub>
                </ns1:sSub>
                <ns1:r>
                  <ns1:rPr>
                    <ns1:sty ns1:val="p"/>
                  </ns1:rPr>
                  <ns1:t>+</ns1:t>
                </ns1:r>
                <ns1:sSub>
                  <ns1:e>
                    <ns1:r>
                      <ns1:t>β</ns1:t>
                    </ns1:r>
                  </ns1:e>
                  <ns1:sub>
                    <ns1:r>
                      <ns1:t>s</ns1:t>
                    </ns1:r>
                  </ns1:sub>
                </ns1:sSub>
                <ns1:r>
                  <ns1:rPr>
                    <ns1:sty ns1:val="p"/>
                  </ns1:rPr>
                  <ns1:t>F</ns1:t>
                </ns1:r>
                <ns1:r>
                  <ns1:rPr>
                    <ns1:sty ns1:val="p"/>
                  </ns1:rPr>
                  <ns1:t>e</ns1:t>
                </ns1:r>
                <ns1:r>
                  <ns1:rPr>
                    <ns1:sty ns1:val="p"/>
                  </ns1:rPr>
                  <ns1:t>m</ns1:t>
                </ns1:r>
                <ns1:r>
                  <ns1:rPr>
                    <ns1:sty ns1:val="p"/>
                  </ns1:rPr>
                  <ns1:t>a</ns1:t>
                </ns1:r>
                <ns1:r>
                  <ns1:rPr>
                    <ns1:sty ns1:val="p"/>
                  </ns1:rPr>
                  <ns1:t>l</ns1:t>
                </ns1:r>
                <ns1:r>
                  <ns1:rPr>
                    <ns1:sty ns1:val="p"/>
                  </ns1:rPr>
                  <ns1:t>e</ns1:t>
                </ns1:r>
                <ns1:r>
                  <ns1:rPr>
                    <ns1:sty ns1:val="p"/>
                  </ns1:rPr>
                  <ns1:t>+</ns1:t>
                </ns1:r>
                <ns1:sSub>
                  <ns1:e>
                    <ns1:r>
                      <ns1:t>β</ns1:t>
                    </ns1:r>
                  </ns1:e>
                  <ns1:sub>
                    <ns1:r>
                      <ns1:t>a</ns1:t>
                    </ns1:r>
                  </ns1:sub>
                </ns1:sSub>
                <ns1:sSub>
                  <ns1:e>
                    <ns1:r>
                      <ns1:rPr>
                        <ns1:sty ns1:val="p"/>
                      </ns1:rPr>
                      <ns1:t>A</ns1:t>
                    </ns1:r>
                    <ns1:r>
                      <ns1:rPr>
                        <ns1:sty ns1:val="p"/>
                      </ns1:rPr>
                      <ns1:t>g</ns1:t>
                    </ns1:r>
                    <ns1:r>
                      <ns1:rPr>
                        <ns1:sty ns1:val="p"/>
                      </ns1:rPr>
                      <ns1:t>e</ns1:t>
                    </ns1:r>
                  </ns1:e>
                  <ns1:sub>
                    <ns1:r>
                      <ns1:t>z</ns1:t>
                    </ns1:r>
                  </ns1:sub>
                </ns1:sSub>
                <ns1:r>
                  <ns1:rPr>
                    <ns1:sty ns1:val="p"/>
                  </ns1:rPr>
                  <ns1:t>+</ns1:t>
                </ns1:r>
                <ns1:r>
                  <ns1:t>ϵ</ns1:t>
                </ns1:r>
                <ns1:r>
                  <ns1:rPr>
                    <ns1:sty ns1:val="p"/>
                  </ns1:rPr>
                  <ns1:t>,</ns1:t>
                </ns1:r>
              </ns1:e>
            </ns1:mr>
            <ns1:mr>
              <ns1:e>
                <ns1:r>
                  <ns1:rPr>
                    <ns1:sty ns1:val="p"/>
                  </ns1:rPr>
                  <ns1:t>M</ns1:t>
                </ns1:r>
                <ns1:r>
                  <ns1:rPr>
                    <ns1:sty ns1:val="p"/>
                  </ns1:rPr>
                  <ns1:t>1</ns1:t>
                </ns1:r>
                <ns1:r>
                  <ns1:rPr>
                    <ns1:sty ns1:val="p"/>
                  </ns1:rPr>
                  <ns1:t>:</ns1:t>
                </ns1:r>
                <ns1:r>
                  <ns1:t> </ns1:t>
                </ns1:r>
                <ns1:r>
                  <ns1:t>Y</ns1:t>
                </ns1:r>
              </ns1:e>
              <ns1:e>
                <ns1:r>
                  <ns1:rPr>
                    <ns1:sty ns1:val="p"/>
                  </ns1:rPr>
                  <ns1:t>=</ns1:t>
                </ns1:r>
                <ns1:r>
                  <ns1:rPr>
                    <ns1:sty ns1:val="p"/>
                  </ns1:rPr>
                  <ns1:t>M</ns1:t>
                </ns1:r>
                <ns1:r>
                  <ns1:rPr>
                    <ns1:sty ns1:val="p"/>
                  </ns1:rPr>
                  <ns1:t>0</ns1:t>
                </ns1:r>
                <ns1:r>
                  <ns1:rPr>
                    <ns1:sty ns1:val="p"/>
                  </ns1:rPr>
                  <ns1:t>+</ns1:t>
                </ns1:r>
                <ns1:sSub>
                  <ns1:e>
                    <ns1:r>
                      <ns1:t>β</ns1:t>
                    </ns1:r>
                  </ns1:e>
                  <ns1:sub>
                    <ns1:r>
                      <ns1:t>v</ns1:t>
                    </ns1:r>
                  </ns1:sub>
                </ns1:sSub>
                <ns1:r>
                  <ns1:rPr>
                    <ns1:nor/>
                    <ns1:sty ns1:val="p"/>
                  </ns1:rPr>
                  <ns1:t>log</ns1:t>
                </ns1:r>
                <ns1:r>
                  <ns1:rPr>
                    <ns1:sty ns1:val="p"/>
                  </ns1:rPr>
                  <ns1:t>(</ns1:t>
                </ns1:r>
                <ns1:r>
                  <ns1:t>V</ns1:t>
                </ns1:r>
                <ns1:sSub>
                  <ns1:e>
                    <ns1:r>
                      <ns1:rPr>
                        <ns1:sty ns1:val="p"/>
                      </ns1:rPr>
                      <ns1:t>)</ns1:t>
                    </ns1:r>
                  </ns1:e>
                  <ns1:sub>
                    <ns1:r>
                      <ns1:t>z</ns1:t>
                    </ns1:r>
                  </ns1:sub>
                </ns1:sSub>
                <ns1:r>
                  <ns1:rPr>
                    <ns1:sty ns1:val="p"/>
                  </ns1:rPr>
                  <ns1:t>,</ns1:t>
                </ns1:r>
              </ns1:e>
            </ns1:mr>
            <ns1:mr>
              <ns1:e>
                <ns1:r>
                  <ns1:rPr>
                    <ns1:sty ns1:val="p"/>
                  </ns1:rPr>
                  <ns1:t>M</ns1:t>
                </ns1:r>
                <ns1:r>
                  <ns1:rPr>
                    <ns1:sty ns1:val="p"/>
                  </ns1:rPr>
                  <ns1:t>2</ns1:t>
                </ns1:r>
                <ns1:r>
                  <ns1:rPr>
                    <ns1:sty ns1:val="p"/>
                  </ns1:rPr>
                  <ns1:t>:</ns1:t>
                </ns1:r>
                <ns1:r>
                  <ns1:t> </ns1:t>
                </ns1:r>
                <ns1:r>
                  <ns1:t>Y</ns1:t>
                </ns1:r>
              </ns1:e>
              <ns1:e>
                <ns1:r>
                  <ns1:rPr>
                    <ns1:sty ns1:val="p"/>
                  </ns1:rPr>
                  <ns1:t>=</ns1:t>
                </ns1:r>
                <ns1:r>
                  <ns1:rPr>
                    <ns1:sty ns1:val="p"/>
                  </ns1:rPr>
                  <ns1:t>M</ns1:t>
                </ns1:r>
                <ns1:r>
                  <ns1:rPr>
                    <ns1:sty ns1:val="p"/>
                  </ns1:rPr>
                  <ns1:t>1</ns1:t>
                </ns1:r>
                <ns1:r>
                  <ns1:rPr>
                    <ns1:sty ns1:val="p"/>
                  </ns1:rPr>
                  <ns1:t>+</ns1:t>
                </ns1:r>
                <ns1:sSub>
                  <ns1:e>
                    <ns1:r>
                      <ns1:t>β</ns1:t>
                    </ns1:r>
                  </ns1:e>
                  <ns1:sub>
                    <ns1:r>
                      <ns1:t>A</ns1:t>
                    </ns1:r>
                    <ns1:r>
                      <ns1:t>P</ns1:t>
                    </ns1:r>
                  </ns1:sub>
                </ns1:sSub>
                <ns1:sSub>
                  <ns1:e>
                    <ns1:r>
                      <ns1:rPr>
                        <ns1:sty ns1:val="p"/>
                      </ns1:rPr>
                      <ns1:t>A</ns1:t>
                    </ns1:r>
                    <ns1:r>
                      <ns1:rPr>
                        <ns1:sty ns1:val="p"/>
                      </ns1:rPr>
                      <ns1:t>P</ns1:t>
                    </ns1:r>
                  </ns1:e>
                  <ns1:sub>
                    <ns1:r>
                      <ns1:t>z</ns1:t>
                    </ns1:r>
                  </ns1:sub>
                </ns1:sSub>
                <ns1:r>
                  <ns1:rPr>
                    <ns1:sty ns1:val="p"/>
                  </ns1:rPr>
                  <ns1:t>+</ns1:t>
                </ns1:r>
                <ns1:sSub>
                  <ns1:e>
                    <ns1:r>
                      <ns1:t>β</ns1:t>
                    </ns1:r>
                  </ns1:e>
                  <ns1:sub>
                    <ns1:r>
                      <ns1:t>b</ns1:t>
                    </ns1:r>
                  </ns1:sub>
                </ns1:sSub>
                <ns1:sSub>
                  <ns1:e>
                    <ns1:r>
                      <ns1:rPr>
                        <ns1:sty ns1:val="p"/>
                      </ns1:rPr>
                      <ns1:t>B</ns1:t>
                    </ns1:r>
                    <ns1:r>
                      <ns1:rPr>
                        <ns1:sty ns1:val="p"/>
                      </ns1:rPr>
                      <ns1:t>i</ns1:t>
                    </ns1:r>
                    <ns1:r>
                      <ns1:rPr>
                        <ns1:sty ns1:val="p"/>
                      </ns1:rPr>
                      <ns1:t>i</ns1:t>
                    </ns1:r>
                    <ns1:r>
                      <ns1:rPr>
                        <ns1:sty ns1:val="p"/>
                      </ns1:rPr>
                      <ns1:t>s</ns1:t>
                    </ns1:r>
                    <ns1:r>
                      <ns1:rPr>
                        <ns1:sty ns1:val="p"/>
                      </ns1:rPr>
                      <ns1:t>c</ns1:t>
                    </ns1:r>
                    <ns1:r>
                      <ns1:rPr>
                        <ns1:sty ns1:val="p"/>
                      </ns1:rPr>
                      <ns1:t>h</ns1:t>
                    </ns1:r>
                    <ns1:r>
                      <ns1:rPr>
                        <ns1:sty ns1:val="p"/>
                      </ns1:rPr>
                      <ns1:t>i</ns1:t>
                    </ns1:r>
                    <ns1:r>
                      <ns1:rPr>
                        <ns1:sty ns1:val="p"/>
                      </ns1:rPr>
                      <ns1:t>a</ns1:t>
                    </ns1:r>
                    <ns1:r>
                      <ns1:rPr>
                        <ns1:sty ns1:val="p"/>
                      </ns1:rPr>
                      <ns1:t>d</ns1:t>
                    </ns1:r>
                    <ns1:r>
                      <ns1:rPr>
                        <ns1:sty ns1:val="p"/>
                      </ns1:rPr>
                      <ns1:t>i</ns1:t>
                    </ns1:r>
                    <ns1:r>
                      <ns1:rPr>
                        <ns1:sty ns1:val="p"/>
                      </ns1:rPr>
                      <ns1:t>c</ns1:t>
                    </ns1:r>
                  </ns1:e>
                  <ns1:sub>
                    <ns1:r>
                      <ns1:t>z</ns1:t>
                    </ns1:r>
                  </ns1:sub>
                </ns1:sSub>
                <ns1:r>
                  <ns1:rPr>
                    <ns1:sty ns1:val="p"/>
                  </ns1:rPr>
                  <ns1:t>+</ns1:t>
                </ns1:r>
                <ns1:sSub>
                  <ns1:e>
                    <ns1:r>
                      <ns1:t>β</ns1:t>
                    </ns1:r>
                  </ns1:e>
                  <ns1:sub>
                    <ns1:r>
                      <ns1:t>p</ns1:t>
                    </ns1:r>
                  </ns1:sub>
                </ns1:sSub>
                <ns1:sSub>
                  <ns1:e>
                    <ns1:r>
                      <ns1:rPr>
                        <ns1:sty ns1:val="p"/>
                      </ns1:rPr>
                      <ns1:t>S</ns1:t>
                    </ns1:r>
                    <ns1:r>
                      <ns1:rPr>
                        <ns1:sty ns1:val="p"/>
                      </ns1:rPr>
                      <ns1:t>u</ns1:t>
                    </ns1:r>
                    <ns1:r>
                      <ns1:rPr>
                        <ns1:sty ns1:val="p"/>
                      </ns1:rPr>
                      <ns1:t>b</ns1:t>
                    </ns1:r>
                    <ns1:r>
                      <ns1:rPr>
                        <ns1:sty ns1:val="p"/>
                      </ns1:rPr>
                      <ns1:t>p</ns1:t>
                    </ns1:r>
                    <ns1:r>
                      <ns1:rPr>
                        <ns1:sty ns1:val="p"/>
                      </ns1:rPr>
                      <ns1:t>u</ns1:t>
                    </ns1:r>
                    <ns1:r>
                      <ns1:rPr>
                        <ns1:sty ns1:val="p"/>
                      </ns1:rPr>
                      <ns1:t>b</ns1:t>
                    </ns1:r>
                    <ns1:r>
                      <ns1:rPr>
                        <ns1:sty ns1:val="p"/>
                      </ns1:rPr>
                      <ns1:t>i</ns1:t>
                    </ns1:r>
                    <ns1:r>
                      <ns1:rPr>
                        <ns1:sty ns1:val="p"/>
                      </ns1:rPr>
                      <ns1:t>c</ns1:t>
                    </ns1:r>
                  </ns1:e>
                  <ns1:sub>
                    <ns1:r>
                      <ns1:t>z</ns1:t>
                    </ns1:r>
                  </ns1:sub>
                </ns1:sSub>
                <ns1:r>
                  <ns1:rPr>
                    <ns1:sty ns1:val="p"/>
                  </ns1:rPr>
                  <ns1:t>.</ns1:t>
                </ns1:r>
              </ns1:e>
            </ns1:mr>
          </ns1:m>
        </ns1:oMath>
      </ns1:oMathPara>
    </ns0:p>
    <ns0:p>
      <ns0:pPr>
        <ns0:pStyle ns0:val="FirstParagraph"/>
      </ns0:pPr>
      <ns0:r>
        <ns0:t xml:space="preserve">Here model addition denotes addition to the linear predictor. Female is coded 1 and male 0; continuous predictors are standardized using cohort sample SDs. M2 contains no sex–volume interaction. FDR correction covers its six sex coefficients (two outcomes by three loads). M0/M1 and coefficient attenuation are descriptive. VIFs quantify collinearity without treating a threshold as proof of identifiability. The triad describes inlet depth, interspinous midpelvic width and the anterior pubic arch; it was selected for this retrospective analysis. Pooled and sex-stratified Spearman correlations are exploratory, not evidence of mediation.</ns0:t>
      </ns0:r>
    </ns0:p>
    <ns0:p>
      <ns0:pPr>
        <ns0:pStyle ns0:val="BodyText"/>
      </ns0:pPr>
      <ns0:r>
        <ns0:t xml:space="preserve">Pooled OLS models include load, sex, age, log volume, the morphometric triad, load–volume interactions and a sex–volume interaction, with covariance clustered by the 278 subjects</ns0:t>
      </ns0:r>
      <ns0:r>
        <ns0:t xml:space="preserve"> </ns0:t>
      </ns0:r>
      <ns0:r>
        <ns0:t xml:space="preserve">(Cameron and Miller 2015)</ns0:t>
      </ns0:r>
      <ns0:r>
        <ns0:t xml:space="preserve">. A main volume coefficient therefore refers to male SP2leg, not an overall pooled slope. FDR is applied within each outcome’s pooled coefficients. Robust Wald statistics are not converted to partial variance-explained measures.</ns0:t>
      </ns0:r>
    </ns0:p>
    <ns0:p>
      <ns0:pPr>
        <ns0:pStyle ns0:val="BodyText"/>
      </ns0:pPr>
      <ns0:r>
        <ns0:t xml:space="preserve">Exploratory load-specific association models regress</ns0:t>
      </ns0:r>
      <ns0:r>
        <ns0:t xml:space="preserve"> </ns0:t>
      </ns0:r>
      <ns1:oMath>
        <ns1:r>
          <ns1:rPr>
            <ns1:nor/>
            <ns1:sty ns1:val="p"/>
          </ns1:rPr>
          <ns1:t>log</ns1:t>
        </ns1:r>
        <ns1:r>
          <ns1:t>Y</ns1:t>
        </ns1:r>
      </ns1:oMath>
      <ns0:r>
        <ns0:t xml:space="preserve"> </ns0:t>
      </ns0:r>
      <ns0:r>
        <ns0:t xml:space="preserve">on</ns0:t>
      </ns0:r>
      <ns0:r>
        <ns0:t xml:space="preserve"> </ns0:t>
      </ns0:r>
      <ns1:oMath>
        <ns1:r>
          <ns1:rPr>
            <ns1:nor/>
            <ns1:sty ns1:val="p"/>
          </ns1:rPr>
          <ns1:t>log</ns1:t>
        </ns1:r>
        <ns1:r>
          <ns1:t>V</ns1:t>
        </ns1:r>
      </ns1:oMath>
      <ns0:r>
        <ns0:t xml:space="preserve">, sex, their interaction, age and the triad. Male and female slopes are</ns0:t>
      </ns0:r>
      <ns0:r>
        <ns0:t xml:space="preserve"> </ns0:t>
      </ns0:r>
      <ns1:oMath>
        <ns1:sSub>
          <ns1:e>
            <ns1:r>
              <ns1:t>β</ns1:t>
            </ns1:r>
          </ns1:e>
          <ns1:sub>
            <ns1:r>
              <ns1:t>v</ns1:t>
            </ns1:r>
          </ns1:sub>
        </ns1:sSub>
      </ns1:oMath>
      <ns0:r>
        <ns0:t xml:space="preserve"> </ns0:t>
      </ns0:r>
      <ns0:r>
        <ns0:t xml:space="preserve">and</ns0:t>
      </ns0:r>
      <ns0:r>
        <ns0:t xml:space="preserve"> </ns0:t>
      </ns0:r>
      <ns1:oMath>
        <ns1:sSub>
          <ns1:e>
            <ns1:r>
              <ns1:t>β</ns1:t>
            </ns1:r>
          </ns1:e>
          <ns1:sub>
            <ns1:r>
              <ns1:t>v</ns1:t>
            </ns1:r>
          </ns1:sub>
        </ns1:sSub>
        <ns1:r>
          <ns1:rPr>
            <ns1:sty ns1:val="p"/>
          </ns1:rPr>
          <ns1:t>+</ns1:t>
        </ns1:r>
        <ns1:sSub>
          <ns1:e>
            <ns1:r>
              <ns1:t>β</ns1:t>
            </ns1:r>
          </ns1:e>
          <ns1:sub>
            <ns1:r>
              <ns1:t>v</ns1:t>
            </ns1:r>
            <ns1:r>
              <ns1:rPr>
                <ns1:sty ns1:val="p"/>
              </ns1:rPr>
              <ns1:t>:</ns1:t>
            </ns1:r>
            <ns1:r>
              <ns1:t>s</ns1:t>
            </ns1:r>
          </ns1:sub>
        </ns1:sSub>
      </ns1:oMath>
      <ns0:r>
        <ns0:t xml:space="preserve">; HC3 covariance supplies 95% Wald intervals. FDR covers 20 sex-specific slope tests, with a separate family of ten interaction tests. Failure to reject an interaction is not evidence of equal slopes. A matched specification omitting the triad assesses the dependence of volume coefficients on anatomical adjustment (Supporting Information, Table S13). Neither specification represents uniform geometric scaling. The alternative</ns0:t>
      </ns0:r>
      <ns0:r>
        <ns0:t xml:space="preserve"> </ns0:t>
      </ns0:r>
      <ns1:oMath>
        <ns1:r>
          <ns1:rPr>
            <ns1:nor/>
            <ns1:sty ns1:val="p"/>
          </ns1:rPr>
          <ns1:t>log</ns1:t>
        </ns1:r>
        <ns1:r>
          <ns1:rPr>
            <ns1:sty ns1:val="p"/>
          </ns1:rPr>
          <ns1:t>(</ns1:t>
        </ns1:r>
        <ns1:r>
          <ns1:rPr>
            <ns1:sty ns1:val="p"/>
          </ns1:rPr>
          <ns1:t>s</ns1:t>
        </ns1:r>
        <ns1:r>
          <ns1:rPr>
            <ns1:sty ns1:val="p"/>
          </ns1:rPr>
          <ns1:t>c</ns1:t>
        </ns1:r>
        <ns1:r>
          <ns1:rPr>
            <ns1:sty ns1:val="p"/>
          </ns1:rPr>
          <ns1:t>a</ns1:t>
        </ns1:r>
        <ns1:r>
          <ns1:rPr>
            <ns1:sty ns1:val="p"/>
          </ns1:rPr>
          <ns1:t>l</ns1:t>
        </ns1:r>
        <ns1:r>
          <ns1:rPr>
            <ns1:sty ns1:val="p"/>
          </ns1:rPr>
          <ns1:t>e</ns1:t>
        </ns1:r>
        <ns1:r>
          <ns1:rPr>
            <ns1:sty ns1:val="p"/>
          </ns1:rPr>
          <ns1:t>)</ns1:t>
        </ns1:r>
      </ns1:oMath>
      <ns0:r>
        <ns0:t xml:space="preserve"> </ns0:t>
      </ns0:r>
      <ns0:r>
        <ns0:t xml:space="preserve">model is an algebraic reparameterization because</ns0:t>
      </ns0:r>
      <ns0:r>
        <ns0:t xml:space="preserve"> </ns0:t>
      </ns0:r>
      <ns1:oMath>
        <ns1:r>
          <ns1:rPr>
            <ns1:nor/>
            <ns1:sty ns1:val="p"/>
          </ns1:rPr>
          <ns1:t>log</ns1:t>
        </ns1:r>
        <ns1:r>
          <ns1:t>V</ns1:t>
        </ns1:r>
        <ns1:r>
          <ns1:rPr>
            <ns1:sty ns1:val="p"/>
          </ns1:rPr>
          <ns1:t>=</ns1:t>
        </ns1:r>
        <ns1:r>
          <ns1:t>3</ns1:t>
        </ns1:r>
        <ns1:r>
          <ns1:rPr>
            <ns1:nor/>
            <ns1:sty ns1:val="p"/>
          </ns1:rPr>
          <ns1:t>log</ns1:t>
        </ns1:r>
        <ns1:r>
          <ns1:rPr>
            <ns1:sty ns1:val="p"/>
          </ns1:rPr>
          <ns1:t>(</ns1:t>
        </ns1:r>
        <ns1:r>
          <ns1:rPr>
            <ns1:sty ns1:val="p"/>
          </ns1:rPr>
          <ns1:t>s</ns1:t>
        </ns1:r>
        <ns1:r>
          <ns1:rPr>
            <ns1:sty ns1:val="p"/>
          </ns1:rPr>
          <ns1:t>c</ns1:t>
        </ns1:r>
        <ns1:r>
          <ns1:rPr>
            <ns1:sty ns1:val="p"/>
          </ns1:rPr>
          <ns1:t>a</ns1:t>
        </ns1:r>
        <ns1:r>
          <ns1:rPr>
            <ns1:sty ns1:val="p"/>
          </ns1:rPr>
          <ns1:t>l</ns1:t>
        </ns1:r>
        <ns1:r>
          <ns1:rPr>
            <ns1:sty ns1:val="p"/>
          </ns1:rPr>
          <ns1:t>e</ns1:t>
        </ns1:r>
        <ns1:r>
          <ns1:rPr>
            <ns1:sty ns1:val="p"/>
          </ns1:rPr>
          <ns1:t>)</ns1:t>
        </ns1:r>
        <ns1:r>
          <ns1:rPr>
            <ns1:sty ns1:val="p"/>
          </ns1:rPr>
          <ns1:t>+</ns1:t>
        </ns1:r>
        <ns1:r>
          <ns1:rPr>
            <ns1:nor/>
            <ns1:sty ns1:val="p"/>
          </ns1:rPr>
          <ns1:t>log</ns1:t>
        </ns1:r>
        <ns1:sSub>
          <ns1:e>
            <ns1:r>
              <ns1:t>V</ns1:t>
            </ns1:r>
          </ns1:e>
          <ns1:sub>
            <ns1:r>
              <ns1:t>t</ns1:t>
            </ns1:r>
            <ns1:r>
              <ns1:t>e</ns1:t>
            </ns1:r>
            <ns1:r>
              <ns1:t>m</ns1:t>
            </ns1:r>
            <ns1:r>
              <ns1:t>p</ns1:t>
            </ns1:r>
            <ns1:r>
              <ns1:t>l</ns1:t>
            </ns1:r>
            <ns1:r>
              <ns1:t>a</ns1:t>
            </ns1:r>
            <ns1:r>
              <ns1:t>t</ns1:t>
            </ns1:r>
            <ns1:r>
              <ns1:t>e</ns1:t>
            </ns1:r>
          </ns1:sub>
        </ns1:sSub>
      </ns1:oMath>
      <ns0:r>
        <ns0:t xml:space="preserve">; it is not an independent robustness test. A sensitivity analysis added a quadratic age term to the nested sex models and the conditional volume models (Supporting Information, Tables S7–S8). Sample confidence intervals do not include uncertainty in loads, constitutive choices, segmentation or boundary conditions.</ns0:t>
      </ns0:r>
    </ns0:p>
    <ns0:bookmarkEnd ns0:id="34"/>
    <ns0:bookmarkStart ns0:id="35" ns0:name="X82fdab1b9861ac0c2941ec2fa478d4d9da633fa"/>
    <ns0:p>
      <ns0:pPr>
        <ns0:pStyle ns0:val="Heading2"/>
      </ns0:pPr>
      <ns0:r>
        <ns0:t xml:space="preserve">2.10. AI assistance and reproducible postprocessing</ns0:t>
      </ns0:r>
    </ns0:p>
    <ns0:p>
      <ns0:pPr>
        <ns0:pStyle ns0:val="FirstParagraph"/>
      </ns0:pPr>
      <ns0:r>
        <ns0:t xml:space="preserve">OpenAI Codex (GPT-6, OpenAI; used in October 2026) assisted with development of Python code for held-out prediction, load-mixture postprocessing, statistical checks and visualization. The calculations used the archived subject data and displacement fields described above; the language model itself was not a fitted predictor of SIJ motion. Predictions were computed by OLS and motion under force redistribution was re-extracted from the mixed FE fields, using the stated folds, seeds, interpolation and kinematic definitions. New result figures were rendered from these numerical outputs with Matplotlib, rather than generated as synthetic images. Independent raw-predictor statsmodels refits reproduced all 4000 held-out regressions, and both force-mixture endpoints reproduced the archived components for all 278 subjects at the stated tolerances. The authors reviewed the code-assisted results and approved their interpretation and the final manuscript.</ns0:t>
      </ns0:r>
    </ns0:p>
    <ns0:bookmarkEnd ns0:id="35"/>
    <ns0:bookmarkEnd ns0:id="36"/>
    <ns0:bookmarkStart ns0:id="62" ns0:name="results"/>
    <ns0:p>
      <ns0:pPr>
        <ns0:pStyle ns0:val="Heading1"/>
      </ns0:pPr>
      <ns0:r>
        <ns0:t xml:space="preserve">3. Results</ns0:t>
      </ns0:r>
    </ns0:p>
    <ns0:p>
      <ns0:pPr>
        <ns0:pStyle ns0:val="FirstParagraph"/>
      </ns0:pPr>
      <ns0:r>
        <ns0:drawing>
          <ns2:inline>
            <ns2:extent cx="5334000" cy="3118167"/>
            <ns2:effectExtent b="0" l="0" r="0" t="0"/>
            <ns2:docPr descr="image" title="" id="1" name="Picture"/>
            <ns3:graphic>
              <ns3:graphicData uri="http://schemas.openxmlformats.org/drawingml/2006/picture">
                <ns4:pic>
                  <ns4:nvPicPr>
                    <ns4:cNvPr descr="/tmp/janat_docx_to7addts/Fig1_anatomy_coordinates_loads.png" id="0" name="Picture"/>
                    <ns4:cNvPicPr>
                      <ns3:picLocks noChangeArrowheads="1" noChangeAspect="1"/>
                    </ns4:cNvPicPr>
                  </ns4:nvPicPr>
                  <ns4:blipFill>
                    <ns3:blip ns5:embed="rId37"/>
                    <ns3:stretch>
                      <ns3:fillRect/>
                    </ns3:stretch>
                  </ns4:blipFill>
                  <ns4:spPr bwMode="auto">
                    <ns3:xfrm>
                      <ns3:off x="0" y="0"/>
                      <ns3:ext cx="5334000" cy="3118167"/>
                    </ns3:xfrm>
                    <ns3:prstGeom prst="rect">
                      <ns3:avLst/>
                    </ns3:prstGeom>
                    <ns3:noFill/>
                    <ns3:ln w="9525">
                      <ns3:noFill/>
                      <ns3:headEnd/>
                      <ns3:tailEnd/>
                    </ns3:ln>
                  </ns4:spPr>
                </ns4:pic>
              </ns3:graphicData>
            </ns3:graphic>
          </ns2:inline>
        </ns0:drawing>
      </ns0:r>
    </ns0:p>
    <ns0:p>
      <ns0:pPr>
        <ns0:pStyle ns0:val="BodyText"/>
      </ns0:pPr>
      <ns0:r>
        <ns0:t xml:space="preserve">Figure 2.</ns0:t>
      </ns0:r>
      <ns0:r>
        <ns0:t xml:space="preserve"> </ns0:t>
      </ns0:r>
      <ns0:r>
        <ns0:rPr>
          <ns0:bCs/>
          <ns0:b/>
        </ns0:rPr>
        <ns0:t xml:space="preserve">Anatomy, motion definitions and load application.</ns0:t>
      </ns0:r>
      <ns0:r>
        <ns0:t xml:space="preserve"> </ns0:t>
      </ns0:r>
      <ns0:r>
        <ns0:t xml:space="preserve">(A) Pelvic assembly: green denotes the superior S1 endplate constraint, orange SIJ cartilage and purple the symphysis. (B) Exploded articulation with illustrative axis directions; these arrows do not define the subject-specific PCA frame or anatomical signs. (C) Rotational and translational reporting conventions. (D,E) Bilateral and unilateral acetabular loads, each totaling 800 N. (F–H) Independent internal-ring, ischial and AP force pairs. Load arrows show applied global directions, not measured joint opening. The S1 penalty approximates a fixed boundary.</ns0:t>
      </ns0:r>
      <ns0:r>
        <ns0:t xml:space="preserve"> </ns0:t>
      </ns0:r>
      <ns0:bookmarkStart ns0:id="38" ns0:name="fig:overview"/>
      <ns0:r>
        <ns0:t xml:space="preserve">[fig:overview]</ns0:t>
      </ns0:r>
      <ns0:bookmarkEnd ns0:id="38"/>
    </ns0:p>
    <ns0:p>
      <ns0:pPr>
        <ns0:pStyle ns0:val="BodyText"/>
      </ns0:pPr>
      <ns0:r>
        <ns0:t xml:space="preserve">Each of the 278 anatomies contributed responses to all five loads (1390 subject–load observations) in each of the three geometry–density variants. This matched design first establishes the loading context for the anatomical comparisons.</ns0:t>
      </ns0:r>
    </ns0:p>
    <ns0:bookmarkStart ns0:id="42" ns0:name="X038873cd90c6018abd38fdebaccfae9c37520e0"/>
    <ns0:p>
      <ns0:pPr>
        <ns0:pStyle ns0:val="Heading2"/>
      </ns0:pPr>
      <ns0:r>
        <ns0:t xml:space="preserve">3.1. Three anatomical measures improve held-out prediction beyond size</ns0:t>
      </ns0:r>
    </ns0:p>
    <ns0:p>
      <ns0:pPr>
        <ns0:pStyle ns0:val="FirstParagraph"/>
      </ns0:pPr>
      <ns0:r>
        <ns0:t xml:space="preserve">Adding the selected triad to age and pelvic volume improved translation prediction in every loading configuration (Table 3; Fig. 3). Held-out RMSE reductions ranged from 8.2% for LAB2 to 31.3% for LAB3; all five pointwise paired bootstrap intervals for the RMSE gain were positive. Translation prediction</ns0:t>
      </ns0:r>
      <ns0:r>
        <ns0:t xml:space="preserve"> </ns0:t>
      </ns0:r>
      <ns1:oMath>
        <ns1:sSup>
          <ns1:e>
            <ns1:r>
              <ns1:t>R</ns1:t>
            </ns1:r>
          </ns1:e>
          <ns1:sup>
            <ns1:r>
              <ns1:t>2</ns1:t>
            </ns1:r>
          </ns1:sup>
        </ns1:sSup>
      </ns1:oMath>
      <ns0:r>
        <ns0:t xml:space="preserve"> </ns0:t>
      </ns0:r>
      <ns0:r>
        <ns0:t xml:space="preserve">increased from 0.180–0.405 for the size model to 0.309–0.717 for the triad model. Under SP2leg, RMSE decreased from 0.1753 to 0.1210 mm and prediction</ns0:t>
      </ns0:r>
      <ns0:r>
        <ns0:t xml:space="preserve"> </ns0:t>
      </ns0:r>
      <ns1:oMath>
        <ns1:sSup>
          <ns1:e>
            <ns1:r>
              <ns1:t>R</ns1:t>
            </ns1:r>
          </ns1:e>
          <ns1:sup>
            <ns1:r>
              <ns1:t>2</ns1:t>
            </ns1:r>
          </ns1:sup>
        </ns1:sSup>
      </ns1:oMath>
      <ns0:r>
        <ns0:t xml:space="preserve"> </ns0:t>
      </ns0:r>
      <ns0:r>
        <ns0:t xml:space="preserve">increased from 0.405 to 0.717.</ns0:t>
      </ns0:r>
    </ns0:p>
    <ns0:p>
      <ns0:pPr>
        <ns0:pStyle ns0:val="BodyText"/>
      </ns0:pPr>
      <ns0:r>
        <ns0:t xml:space="preserve">The rotation gain was more load dependent. RMSE decreased by 1.2–25.0%, with triad-model prediction</ns0:t>
      </ns0:r>
      <ns0:r>
        <ns0:t xml:space="preserve"> </ns0:t>
      </ns0:r>
      <ns1:oMath>
        <ns1:sSup>
          <ns1:e>
            <ns1:r>
              <ns1:t>R</ns1:t>
            </ns1:r>
          </ns1:e>
          <ns1:sup>
            <ns1:r>
              <ns1:t>2</ns1:t>
            </ns1:r>
          </ns1:sup>
        </ns1:sSup>
      </ns1:oMath>
      <ns0:r>
        <ns0:t xml:space="preserve"> </ns0:t>
      </ns0:r>
      <ns0:r>
        <ns0:t xml:space="preserve">of 0.413–0.691. For LAB2 rotation, the gain was only 0.0011 degrees and its pointwise interval included zero (</ns0:t>
      </ns0:r>
      <ns1:oMath>
        <ns1:r>
          <ns1:rPr>
            <ns1:sty ns1:val="p"/>
          </ns1:rPr>
          <ns1:t>−</ns1:t>
        </ns1:r>
        <ns1:r>
          <ns1:t>0.0012</ns1:t>
        </ns1:r>
      </ns1:oMath>
      <ns0:r>
        <ns0:t xml:space="preserve"> </ns0:t>
      </ns0:r>
      <ns0:r>
        <ns0:t xml:space="preserve">to 0.0035 degrees). The other four rotation-gain intervals were positive. Across both endpoints, nine of ten pointwise gain intervals excluded zero; these intervals are conditional on the fixed predictor sets and fitted validation predictions, without multiplicity adjustment.</ns0:t>
      </ns0:r>
    </ns0:p>
    <ns0:p>
      <ns0:pPr>
        <ns0:pStyle ns0:val="BodyText"/>
      </ns0:pPr>
      <ns0:r>
        <ns0:t xml:space="preserve">Adding sex and its volume interaction to the triad produced no consistent further gain; its largest RMSE reduction was 2.1%. Replacing the triad with all eight available measures changed RMSE by reductions of</ns0:t>
      </ns0:r>
      <ns0:r>
        <ns0:t xml:space="preserve"> </ns0:t>
      </ns0:r>
      <ns1:oMath>
        <ns1:r>
          <ns1:rPr>
            <ns1:sty ns1:val="p"/>
          </ns1:rPr>
          <ns1:t>−</ns1:t>
        </ns1:r>
        <ns1:r>
          <ns1:t>0.9</ns1:t>
        </ns1:r>
      </ns1:oMath>
      <ns0:r>
        <ns0:t xml:space="preserve">% to +3.4%. No paired gain interval for either benchmark was wholly positive. Nineteen of twenty intervals included zero; the remaining interval favored the triad over the sex-augmented model for SP1leg rotation (Supplementary Table S10). The limited anatomical description therefore captured useful predictive information beyond size in this internal assessment, while leaving appreciable unexplained variation and showing its weakest performance for LAB2 translation and SP1leg/LAB2 rotation.</ns0:t>
      </ns0:r>
    </ns0:p>
    <ns0:bookmarkStart ns0:id="39" ns0:name="tab:prediction"/>
    <ns0:p>
      <ns0:pPr>
        <ns0:pStyle ns0:val="TableCaption"/>
      </ns0:pPr>
      <ns0:r>
        <ns0:t xml:space="preserve">Table 3. Subject-held-out prediction of FE motion. Size includes age and log pelvic volume; triad adds inlet AP diameter, interspinous width and subpubic angle. Metrics pool errors across ten repeats of ten-fold cross-validation. Reduction is the percentage decrease in RMSE relative to size. RMSE units are specified in the outcome column.</ns0:t>
      </ns0:r>
    </ns0:p>
    <ns0:tbl>
      <ns0:tblPr>
        <ns0:tblStyle ns0:val="Table"/>
        <ns0:tblW ns0:type="pct" ns0:w="5000"/>
        <ns0:tblLook ns0:firstRow="1" ns0:lastRow="0" ns0:firstColumn="0" ns0:lastColumn="0" ns0:noHBand="0" ns0:noVBand="0" ns0:val="0020"/>
        <ns0:tblCaption ns0:val="Table 3. Subject-held-out prediction of FE motion. Size includes age and log pelvic volume; triad adds inlet AP diameter, interspinous width and subpubic angle. Metrics pool errors across ten repeats of ten-fold cross-validation. Reduction is the percentage decrease in RMSE relative to size. RMSE units are specified in the outcome column."/>
      </ns0:tblPr>
      <ns0:tblGrid/>
      <ns0:tr>
        <ns0:tc>
          <ns0:p>
            <ns0:pPr>
              <ns0:pStyle ns0:val="Compact"/>
              <ns0:jc ns0:val="left"/>
            </ns0:pPr>
            <ns0:r>
              <ns0:t xml:space="preserve">Load</ns0:t>
              <ns0:rPr>
                <ns0:sz ns0:val="18"/>
              </ns0:rPr>
            </ns0:r>
          </ns0:p>
        </ns0:tc>
        <ns0:tc>
          <ns0:p>
            <ns0:pPr>
              <ns0:pStyle ns0:val="Compact"/>
              <ns0:jc ns0:val="left"/>
            </ns0:pPr>
            <ns0:r>
              <ns0:t xml:space="preserve">Outcome</ns0:t>
              <ns0:rPr>
                <ns0:sz ns0:val="18"/>
              </ns0:rPr>
            </ns0:r>
          </ns0:p>
        </ns0:tc>
        <ns0:tc>
          <ns0:p>
            <ns0:pPr>
              <ns0:pStyle ns0:val="Compact"/>
              <ns0:jc ns0:val="left"/>
            </ns0:pPr>
            <ns1:oMath>
              <ns1:sSubSup>
                <ns1:e>
                  <ns1:r>
                    <ns1:t>R</ns1:t>
                  </ns1:r>
                </ns1:e>
                <ns1:sub>
                  <ns1:r>
                    <ns1:t>s</ns1:t>
                  </ns1:r>
                  <ns1:r>
                    <ns1:t>i</ns1:t>
                  </ns1:r>
                  <ns1:r>
                    <ns1:t>z</ns1:t>
                  </ns1:r>
                  <ns1:r>
                    <ns1:t>e</ns1:t>
                  </ns1:r>
                </ns1:sub>
                <ns1:sup>
                  <ns1:r>
                    <ns1:t>2</ns1:t>
                  </ns1:r>
                </ns1:sup>
              </ns1:sSubSup>
            </ns1:oMath>
          </ns0:p>
        </ns0:tc>
        <ns0:tc>
          <ns0:p>
            <ns0:pPr>
              <ns0:pStyle ns0:val="Compact"/>
              <ns0:jc ns0:val="left"/>
            </ns0:pPr>
            <ns1:oMath>
              <ns1:sSubSup>
                <ns1:e>
                  <ns1:r>
                    <ns1:t>R</ns1:t>
                  </ns1:r>
                </ns1:e>
                <ns1:sub>
                  <ns1:r>
                    <ns1:t>t</ns1:t>
                  </ns1:r>
                  <ns1:r>
                    <ns1:t>r</ns1:t>
                  </ns1:r>
                  <ns1:r>
                    <ns1:t>i</ns1:t>
                  </ns1:r>
                  <ns1:r>
                    <ns1:t>a</ns1:t>
                  </ns1:r>
                  <ns1:r>
                    <ns1:t>d</ns1:t>
                  </ns1:r>
                </ns1:sub>
                <ns1:sup>
                  <ns1:r>
                    <ns1:t>2</ns1:t>
                  </ns1:r>
                </ns1:sup>
              </ns1:sSubSup>
            </ns1:oMath>
          </ns0:p>
        </ns0:tc>
        <ns0:tc>
          <ns0:p>
            <ns0:pPr>
              <ns0:pStyle ns0:val="Compact"/>
              <ns0:jc ns0:val="left"/>
            </ns0:pPr>
            <ns0:r>
              <ns0:t xml:space="preserve">RMSE size</ns0:t>
              <ns0:rPr>
                <ns0:sz ns0:val="18"/>
              </ns0:rPr>
            </ns0:r>
          </ns0:p>
        </ns0:tc>
        <ns0:tc>
          <ns0:p>
            <ns0:pPr>
              <ns0:pStyle ns0:val="Compact"/>
              <ns0:jc ns0:val="left"/>
            </ns0:pPr>
            <ns0:r>
              <ns0:t xml:space="preserve">RMSE triad</ns0:t>
              <ns0:rPr>
                <ns0:sz ns0:val="18"/>
              </ns0:rPr>
            </ns0:r>
          </ns0:p>
        </ns0:tc>
        <ns0:tc>
          <ns0:p>
            <ns0:pPr>
              <ns0:pStyle ns0:val="Compact"/>
              <ns0:jc ns0:val="left"/>
            </ns0:pPr>
            <ns0:r>
              <ns0:t xml:space="preserve">Reduction (%)</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0.481</ns0:t>
              <ns0:rPr>
                <ns0:sz ns0:val="18"/>
              </ns0:rPr>
            </ns0:r>
          </ns0:p>
        </ns0:tc>
        <ns0:tc>
          <ns0:p>
            <ns0:pPr>
              <ns0:pStyle ns0:val="Compact"/>
              <ns0:jc ns0:val="left"/>
            </ns0:pPr>
            <ns0:r>
              <ns0:t xml:space="preserve">0.611</ns0:t>
              <ns0:rPr>
                <ns0:sz ns0:val="18"/>
              </ns0:rPr>
            </ns0:r>
          </ns0:p>
        </ns0:tc>
        <ns0:tc>
          <ns0:p>
            <ns0:pPr>
              <ns0:pStyle ns0:val="Compact"/>
              <ns0:jc ns0:val="left"/>
            </ns0:pPr>
            <ns0:r>
              <ns0:t xml:space="preserve">0.1594</ns0:t>
              <ns0:rPr>
                <ns0:sz ns0:val="18"/>
              </ns0:rPr>
            </ns0:r>
          </ns0:p>
        </ns0:tc>
        <ns0:tc>
          <ns0:p>
            <ns0:pPr>
              <ns0:pStyle ns0:val="Compact"/>
              <ns0:jc ns0:val="left"/>
            </ns0:pPr>
            <ns0:r>
              <ns0:t xml:space="preserve">0.1381</ns0:t>
              <ns0:rPr>
                <ns0:sz ns0:val="18"/>
              </ns0:rPr>
            </ns0:r>
          </ns0:p>
        </ns0:tc>
        <ns0:tc>
          <ns0:p>
            <ns0:pPr>
              <ns0:pStyle ns0:val="Compact"/>
              <ns0:jc ns0:val="left"/>
            </ns0:pPr>
            <ns0:r>
              <ns0:t xml:space="preserve">13.4</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0.405</ns0:t>
              <ns0:rPr>
                <ns0:sz ns0:val="18"/>
              </ns0:rPr>
            </ns0:r>
          </ns0:p>
        </ns0:tc>
        <ns0:tc>
          <ns0:p>
            <ns0:pPr>
              <ns0:pStyle ns0:val="Compact"/>
              <ns0:jc ns0:val="left"/>
            </ns0:pPr>
            <ns0:r>
              <ns0:t xml:space="preserve">0.717</ns0:t>
              <ns0:rPr>
                <ns0:sz ns0:val="18"/>
              </ns0:rPr>
            </ns0:r>
          </ns0:p>
        </ns0:tc>
        <ns0:tc>
          <ns0:p>
            <ns0:pPr>
              <ns0:pStyle ns0:val="Compact"/>
              <ns0:jc ns0:val="left"/>
            </ns0:pPr>
            <ns0:r>
              <ns0:t xml:space="preserve">0.1753</ns0:t>
              <ns0:rPr>
                <ns0:sz ns0:val="18"/>
              </ns0:rPr>
            </ns0:r>
          </ns0:p>
        </ns0:tc>
        <ns0:tc>
          <ns0:p>
            <ns0:pPr>
              <ns0:pStyle ns0:val="Compact"/>
              <ns0:jc ns0:val="left"/>
            </ns0:pPr>
            <ns0:r>
              <ns0:t xml:space="preserve">0.1210</ns0:t>
              <ns0:rPr>
                <ns0:sz ns0:val="18"/>
              </ns0:rPr>
            </ns0:r>
          </ns0:p>
        </ns0:tc>
        <ns0:tc>
          <ns0:p>
            <ns0:pPr>
              <ns0:pStyle ns0:val="Compact"/>
              <ns0:jc ns0:val="left"/>
            </ns0:pPr>
            <ns0:r>
              <ns0:t xml:space="preserve">31.0</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0.374</ns0:t>
              <ns0:rPr>
                <ns0:sz ns0:val="18"/>
              </ns0:rPr>
            </ns0:r>
          </ns0:p>
        </ns0:tc>
        <ns0:tc>
          <ns0:p>
            <ns0:pPr>
              <ns0:pStyle ns0:val="Compact"/>
              <ns0:jc ns0:val="left"/>
            </ns0:pPr>
            <ns0:r>
              <ns0:t xml:space="preserve">0.413</ns0:t>
              <ns0:rPr>
                <ns0:sz ns0:val="18"/>
              </ns0:rPr>
            </ns0:r>
          </ns0:p>
        </ns0:tc>
        <ns0:tc>
          <ns0:p>
            <ns0:pPr>
              <ns0:pStyle ns0:val="Compact"/>
              <ns0:jc ns0:val="left"/>
            </ns0:pPr>
            <ns0:r>
              <ns0:t xml:space="preserve">0.3454</ns0:t>
              <ns0:rPr>
                <ns0:sz ns0:val="18"/>
              </ns0:rPr>
            </ns0:r>
          </ns0:p>
        </ns0:tc>
        <ns0:tc>
          <ns0:p>
            <ns0:pPr>
              <ns0:pStyle ns0:val="Compact"/>
              <ns0:jc ns0:val="left"/>
            </ns0:pPr>
            <ns0:r>
              <ns0:t xml:space="preserve">0.3345</ns0:t>
              <ns0:rPr>
                <ns0:sz ns0:val="18"/>
              </ns0:rPr>
            </ns0:r>
          </ns0:p>
        </ns0:tc>
        <ns0:tc>
          <ns0:p>
            <ns0:pPr>
              <ns0:pStyle ns0:val="Compact"/>
              <ns0:jc ns0:val="left"/>
            </ns0:pPr>
            <ns0:r>
              <ns0:t xml:space="preserve">3.2</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0.319</ns0:t>
              <ns0:rPr>
                <ns0:sz ns0:val="18"/>
              </ns0:rPr>
            </ns0:r>
          </ns0:p>
        </ns0:tc>
        <ns0:tc>
          <ns0:p>
            <ns0:pPr>
              <ns0:pStyle ns0:val="Compact"/>
              <ns0:jc ns0:val="left"/>
            </ns0:pPr>
            <ns0:r>
              <ns0:t xml:space="preserve">0.521</ns0:t>
              <ns0:rPr>
                <ns0:sz ns0:val="18"/>
              </ns0:rPr>
            </ns0:r>
          </ns0:p>
        </ns0:tc>
        <ns0:tc>
          <ns0:p>
            <ns0:pPr>
              <ns0:pStyle ns0:val="Compact"/>
              <ns0:jc ns0:val="left"/>
            </ns0:pPr>
            <ns0:r>
              <ns0:t xml:space="preserve">0.3029</ns0:t>
              <ns0:rPr>
                <ns0:sz ns0:val="18"/>
              </ns0:rPr>
            </ns0:r>
          </ns0:p>
        </ns0:tc>
        <ns0:tc>
          <ns0:p>
            <ns0:pPr>
              <ns0:pStyle ns0:val="Compact"/>
              <ns0:jc ns0:val="left"/>
            </ns0:pPr>
            <ns0:r>
              <ns0:t xml:space="preserve">0.2539</ns0:t>
              <ns0:rPr>
                <ns0:sz ns0:val="18"/>
              </ns0:rPr>
            </ns0:r>
          </ns0:p>
        </ns0:tc>
        <ns0:tc>
          <ns0:p>
            <ns0:pPr>
              <ns0:pStyle ns0:val="Compact"/>
              <ns0:jc ns0:val="left"/>
            </ns0:pPr>
            <ns0:r>
              <ns0:t xml:space="preserve">16.2</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0.546</ns0:t>
              <ns0:rPr>
                <ns0:sz ns0:val="18"/>
              </ns0:rPr>
            </ns0:r>
          </ns0:p>
        </ns0:tc>
        <ns0:tc>
          <ns0:p>
            <ns0:pPr>
              <ns0:pStyle ns0:val="Compact"/>
              <ns0:jc ns0:val="left"/>
            </ns0:pPr>
            <ns0:r>
              <ns0:t xml:space="preserve">0.687</ns0:t>
              <ns0:rPr>
                <ns0:sz ns0:val="18"/>
              </ns0:rPr>
            </ns0:r>
          </ns0:p>
        </ns0:tc>
        <ns0:tc>
          <ns0:p>
            <ns0:pPr>
              <ns0:pStyle ns0:val="Compact"/>
              <ns0:jc ns0:val="left"/>
            </ns0:pPr>
            <ns0:r>
              <ns0:t xml:space="preserve">0.0385</ns0:t>
              <ns0:rPr>
                <ns0:sz ns0:val="18"/>
              </ns0:rPr>
            </ns0:r>
          </ns0:p>
        </ns0:tc>
        <ns0:tc>
          <ns0:p>
            <ns0:pPr>
              <ns0:pStyle ns0:val="Compact"/>
              <ns0:jc ns0:val="left"/>
            </ns0:pPr>
            <ns0:r>
              <ns0:t xml:space="preserve">0.0320</ns0:t>
              <ns0:rPr>
                <ns0:sz ns0:val="18"/>
              </ns0:rPr>
            </ns0:r>
          </ns0:p>
        </ns0:tc>
        <ns0:tc>
          <ns0:p>
            <ns0:pPr>
              <ns0:pStyle ns0:val="Compact"/>
              <ns0:jc ns0:val="left"/>
            </ns0:pPr>
            <ns0:r>
              <ns0:t xml:space="preserve">16.9</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0.231</ns0:t>
              <ns0:rPr>
                <ns0:sz ns0:val="18"/>
              </ns0:rPr>
            </ns0:r>
          </ns0:p>
        </ns0:tc>
        <ns0:tc>
          <ns0:p>
            <ns0:pPr>
              <ns0:pStyle ns0:val="Compact"/>
              <ns0:jc ns0:val="left"/>
            </ns0:pPr>
            <ns0:r>
              <ns0:t xml:space="preserve">0.488</ns0:t>
              <ns0:rPr>
                <ns0:sz ns0:val="18"/>
              </ns0:rPr>
            </ns0:r>
          </ns0:p>
        </ns0:tc>
        <ns0:tc>
          <ns0:p>
            <ns0:pPr>
              <ns0:pStyle ns0:val="Compact"/>
              <ns0:jc ns0:val="left"/>
            </ns0:pPr>
            <ns0:r>
              <ns0:t xml:space="preserve">0.0418</ns0:t>
              <ns0:rPr>
                <ns0:sz ns0:val="18"/>
              </ns0:rPr>
            </ns0:r>
          </ns0:p>
        </ns0:tc>
        <ns0:tc>
          <ns0:p>
            <ns0:pPr>
              <ns0:pStyle ns0:val="Compact"/>
              <ns0:jc ns0:val="left"/>
            </ns0:pPr>
            <ns0:r>
              <ns0:t xml:space="preserve">0.0341</ns0:t>
              <ns0:rPr>
                <ns0:sz ns0:val="18"/>
              </ns0:rPr>
            </ns0:r>
          </ns0:p>
        </ns0:tc>
        <ns0:tc>
          <ns0:p>
            <ns0:pPr>
              <ns0:pStyle ns0:val="Compact"/>
              <ns0:jc ns0:val="left"/>
            </ns0:pPr>
            <ns0:r>
              <ns0:t xml:space="preserve">18.4</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0.403</ns0:t>
              <ns0:rPr>
                <ns0:sz ns0:val="18"/>
              </ns0:rPr>
            </ns0:r>
          </ns0:p>
        </ns0:tc>
        <ns0:tc>
          <ns0:p>
            <ns0:pPr>
              <ns0:pStyle ns0:val="Compact"/>
              <ns0:jc ns0:val="left"/>
            </ns0:pPr>
            <ns0:r>
              <ns0:t xml:space="preserve">0.418</ns0:t>
              <ns0:rPr>
                <ns0:sz ns0:val="18"/>
              </ns0:rPr>
            </ns0:r>
          </ns0:p>
        </ns0:tc>
        <ns0:tc>
          <ns0:p>
            <ns0:pPr>
              <ns0:pStyle ns0:val="Compact"/>
              <ns0:jc ns0:val="left"/>
            </ns0:pPr>
            <ns0:r>
              <ns0:t xml:space="preserve">0.0886</ns0:t>
              <ns0:rPr>
                <ns0:sz ns0:val="18"/>
              </ns0:rPr>
            </ns0:r>
          </ns0:p>
        </ns0:tc>
        <ns0:tc>
          <ns0:p>
            <ns0:pPr>
              <ns0:pStyle ns0:val="Compact"/>
              <ns0:jc ns0:val="left"/>
            </ns0:pPr>
            <ns0:r>
              <ns0:t xml:space="preserve">0.0875</ns0:t>
              <ns0:rPr>
                <ns0:sz ns0:val="18"/>
              </ns0:rPr>
            </ns0:r>
          </ns0:p>
        </ns0:tc>
        <ns0:tc>
          <ns0:p>
            <ns0:pPr>
              <ns0:pStyle ns0:val="Compact"/>
              <ns0:jc ns0:val="left"/>
            </ns0:pPr>
            <ns0:r>
              <ns0:t xml:space="preserve">1.2</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0.180</ns0:t>
              <ns0:rPr>
                <ns0:sz ns0:val="18"/>
              </ns0:rPr>
            </ns0:r>
          </ns0:p>
        </ns0:tc>
        <ns0:tc>
          <ns0:p>
            <ns0:pPr>
              <ns0:pStyle ns0:val="Compact"/>
              <ns0:jc ns0:val="left"/>
            </ns0:pPr>
            <ns0:r>
              <ns0:t xml:space="preserve">0.309</ns0:t>
              <ns0:rPr>
                <ns0:sz ns0:val="18"/>
              </ns0:rPr>
            </ns0:r>
          </ns0:p>
        </ns0:tc>
        <ns0:tc>
          <ns0:p>
            <ns0:pPr>
              <ns0:pStyle ns0:val="Compact"/>
              <ns0:jc ns0:val="left"/>
            </ns0:pPr>
            <ns0:r>
              <ns0:t xml:space="preserve">0.0811</ns0:t>
              <ns0:rPr>
                <ns0:sz ns0:val="18"/>
              </ns0:rPr>
            </ns0:r>
          </ns0:p>
        </ns0:tc>
        <ns0:tc>
          <ns0:p>
            <ns0:pPr>
              <ns0:pStyle ns0:val="Compact"/>
              <ns0:jc ns0:val="left"/>
            </ns0:pPr>
            <ns0:r>
              <ns0:t xml:space="preserve">0.0745</ns0:t>
              <ns0:rPr>
                <ns0:sz ns0:val="18"/>
              </ns0:rPr>
            </ns0:r>
          </ns0:p>
        </ns0:tc>
        <ns0:tc>
          <ns0:p>
            <ns0:pPr>
              <ns0:pStyle ns0:val="Compact"/>
              <ns0:jc ns0:val="left"/>
            </ns0:pPr>
            <ns0:r>
              <ns0:t xml:space="preserve">8.2</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Rotation (deg)</ns0:t>
              <ns0:rPr>
                <ns0:sz ns0:val="18"/>
              </ns0:rPr>
            </ns0:r>
          </ns0:p>
        </ns0:tc>
        <ns0:tc>
          <ns0:p>
            <ns0:pPr>
              <ns0:pStyle ns0:val="Compact"/>
              <ns0:jc ns0:val="left"/>
            </ns0:pPr>
            <ns0:r>
              <ns0:t xml:space="preserve">0.451</ns0:t>
              <ns0:rPr>
                <ns0:sz ns0:val="18"/>
              </ns0:rPr>
            </ns0:r>
          </ns0:p>
        </ns0:tc>
        <ns0:tc>
          <ns0:p>
            <ns0:pPr>
              <ns0:pStyle ns0:val="Compact"/>
              <ns0:jc ns0:val="left"/>
            </ns0:pPr>
            <ns0:r>
              <ns0:t xml:space="preserve">0.691</ns0:t>
              <ns0:rPr>
                <ns0:sz ns0:val="18"/>
              </ns0:rPr>
            </ns0:r>
          </ns0:p>
        </ns0:tc>
        <ns0:tc>
          <ns0:p>
            <ns0:pPr>
              <ns0:pStyle ns0:val="Compact"/>
              <ns0:jc ns0:val="left"/>
            </ns0:pPr>
            <ns0:r>
              <ns0:t xml:space="preserve">0.1826</ns0:t>
              <ns0:rPr>
                <ns0:sz ns0:val="18"/>
              </ns0:rPr>
            </ns0:r>
          </ns0:p>
        </ns0:tc>
        <ns0:tc>
          <ns0:p>
            <ns0:pPr>
              <ns0:pStyle ns0:val="Compact"/>
              <ns0:jc ns0:val="left"/>
            </ns0:pPr>
            <ns0:r>
              <ns0:t xml:space="preserve">0.1371</ns0:t>
              <ns0:rPr>
                <ns0:sz ns0:val="18"/>
              </ns0:rPr>
            </ns0:r>
          </ns0:p>
        </ns0:tc>
        <ns0:tc>
          <ns0:p>
            <ns0:pPr>
              <ns0:pStyle ns0:val="Compact"/>
              <ns0:jc ns0:val="left"/>
            </ns0:pPr>
            <ns0:r>
              <ns0:t xml:space="preserve">25.0</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Translation (mm)</ns0:t>
              <ns0:rPr>
                <ns0:sz ns0:val="18"/>
              </ns0:rPr>
            </ns0:r>
          </ns0:p>
        </ns0:tc>
        <ns0:tc>
          <ns0:p>
            <ns0:pPr>
              <ns0:pStyle ns0:val="Compact"/>
              <ns0:jc ns0:val="left"/>
            </ns0:pPr>
            <ns0:r>
              <ns0:t xml:space="preserve">0.310</ns0:t>
              <ns0:rPr>
                <ns0:sz ns0:val="18"/>
              </ns0:rPr>
            </ns0:r>
          </ns0:p>
        </ns0:tc>
        <ns0:tc>
          <ns0:p>
            <ns0:pPr>
              <ns0:pStyle ns0:val="Compact"/>
              <ns0:jc ns0:val="left"/>
            </ns0:pPr>
            <ns0:r>
              <ns0:t xml:space="preserve">0.675</ns0:t>
              <ns0:rPr>
                <ns0:sz ns0:val="18"/>
              </ns0:rPr>
            </ns0:r>
          </ns0:p>
        </ns0:tc>
        <ns0:tc>
          <ns0:p>
            <ns0:pPr>
              <ns0:pStyle ns0:val="Compact"/>
              <ns0:jc ns0:val="left"/>
            </ns0:pPr>
            <ns0:r>
              <ns0:t xml:space="preserve">0.1475</ns0:t>
              <ns0:rPr>
                <ns0:sz ns0:val="18"/>
              </ns0:rPr>
            </ns0:r>
          </ns0:p>
        </ns0:tc>
        <ns0:tc>
          <ns0:p>
            <ns0:pPr>
              <ns0:pStyle ns0:val="Compact"/>
              <ns0:jc ns0:val="left"/>
            </ns0:pPr>
            <ns0:r>
              <ns0:t xml:space="preserve">0.1013</ns0:t>
              <ns0:rPr>
                <ns0:sz ns0:val="18"/>
              </ns0:rPr>
            </ns0:r>
          </ns0:p>
        </ns0:tc>
        <ns0:tc>
          <ns0:p>
            <ns0:pPr>
              <ns0:pStyle ns0:val="Compact"/>
              <ns0:jc ns0:val="left"/>
            </ns0:pPr>
            <ns0:r>
              <ns0:t xml:space="preserve">31.3</ns0:t>
              <ns0:rPr>
                <ns0:sz ns0:val="18"/>
              </ns0:rPr>
            </ns0:r>
          </ns0:p>
        </ns0:tc>
      </ns0:tr>
    </ns0:tbl>
    <ns0:bookmarkEnd ns0:id="39"/>
    <ns0:p>
      <ns0:pPr>
        <ns0:pStyle ns0:val="BodyText"/>
      </ns0:pPr>
      <ns0:r>
        <ns0:drawing>
          <ns2:inline>
            <ns2:extent cx="5334000" cy="1882457"/>
            <ns2:effectExtent b="0" l="0" r="0" t="0"/>
            <ns2:docPr descr="image" title="" id="1" name="Picture"/>
            <ns3:graphic>
              <ns3:graphicData uri="http://schemas.openxmlformats.org/drawingml/2006/picture">
                <ns4:pic>
                  <ns4:nvPicPr>
                    <ns4:cNvPr descr="/tmp/janat_docx_to7addts/Fig_prediction_subject_heldout.png" id="0" name="Picture"/>
                    <ns4:cNvPicPr>
                      <ns3:picLocks noChangeArrowheads="1" noChangeAspect="1"/>
                    </ns4:cNvPicPr>
                  </ns4:nvPicPr>
                  <ns4:blipFill>
                    <ns3:blip ns5:embed="rId40"/>
                    <ns3:stretch>
                      <ns3:fillRect/>
                    </ns3:stretch>
                  </ns4:blipFill>
                  <ns4:spPr bwMode="auto">
                    <ns3:xfrm>
                      <ns3:off x="0" y="0"/>
                      <ns3:ext cx="5334000" cy="1882457"/>
                    </ns3:xfrm>
                    <ns3:prstGeom prst="rect">
                      <ns3:avLst/>
                    </ns3:prstGeom>
                    <ns3:noFill/>
                    <ns3:ln w="9525">
                      <ns3:noFill/>
                      <ns3:headEnd/>
                      <ns3:tailEnd/>
                    </ns3:ln>
                  </ns4:spPr>
                </ns4:pic>
              </ns3:graphicData>
            </ns3:graphic>
          </ns2:inline>
        </ns0:drawing>
      </ns0:r>
    </ns0:p>
    <ns0:p>
      <ns0:pPr>
        <ns0:pStyle ns0:val="BodyText"/>
      </ns0:pPr>
      <ns0:r>
        <ns0:t xml:space="preserve">Figure 3.</ns0:t>
      </ns0:r>
      <ns0:r>
        <ns0:t xml:space="preserve"> </ns0:t>
      </ns0:r>
      <ns0:r>
        <ns0:rPr>
          <ns0:bCs/>
          <ns0:b/>
        </ns0:rPr>
        <ns0:t xml:space="preserve">Predictive information in the anatomical triad.</ns0:t>
      </ns0:r>
      <ns0:r>
        <ns0:t xml:space="preserve"> </ns0:t>
      </ns0:r>
      <ns0:r>
        <ns0:t xml:space="preserve">(A,B) Held-out prediction</ns0:t>
      </ns0:r>
      <ns0:r>
        <ns0:t xml:space="preserve"> </ns0:t>
      </ns0:r>
      <ns1:oMath>
        <ns1:sSup>
          <ns1:e>
            <ns1:r>
              <ns1:t>R</ns1:t>
            </ns1:r>
          </ns1:e>
          <ns1:sup>
            <ns1:r>
              <ns1:t>2</ns1:t>
            </ns1:r>
          </ns1:sup>
        </ns1:sSup>
      </ns1:oMath>
      <ns0:r>
        <ns0:t xml:space="preserve"> </ns0:t>
      </ns0:r>
      <ns0:r>
        <ns0:t xml:space="preserve">for size and triad models, separately by load and endpoint. Each subject is held out from training in all loads. (C) Triad-model translations versus archived FE endpoints; each plotted prediction is averaged over validation repeats for display. The reported metrics in panels A,B and Table 3 pool squared errors over repeats rather than using these averaged predictions. The dashed line is identity. Predictor selection was retrospective; these are internal validation results.</ns0:t>
      </ns0:r>
      <ns0:r>
        <ns0:t xml:space="preserve"> </ns0:t>
      </ns0:r>
      <ns0:bookmarkStart ns0:id="41" ns0:name="fig:prediction"/>
      <ns0:r>
        <ns0:t xml:space="preserve">[fig:prediction]</ns0:t>
      </ns0:r>
      <ns0:bookmarkEnd ns0:id="41"/>
    </ns0:p>
    <ns0:bookmarkEnd ns0:id="42"/>
    <ns0:bookmarkStart ns0:id="46" ns0:name="X60e4bfe7fd066eaa8c50b20ae2e763f316f64f9"/>
    <ns0:p>
      <ns0:pPr>
        <ns0:pStyle ns0:val="Heading2"/>
      </ns0:pPr>
      <ns0:r>
        <ns0:t xml:space="preserve">3.2. Unilateral support amplifies asymmetry at unchanged total force</ns0:t>
      </ns0:r>
    </ns0:p>
    <ns0:p>
      <ns0:pPr>
        <ns0:pStyle ns0:val="FirstParagraph"/>
      </ns0:pPr>
      <ns0:r>
        <ns0:t xml:space="preserve">Redistributing a fixed total acetabular force changed the SIJ response. Under SP2leg and SP1leg, median rotation norms were 0.956</ns0:t>
      </ns0:r>
      <ns1:oMath>
        <ns1:sSup>
          <ns1:e>
            <ns1:r>
              <ns1:t>​</ns1:t>
            </ns1:r>
          </ns1:e>
          <ns1:sup>
            <ns1:r>
              <ns1:rPr>
                <ns1:sty ns1:val="p"/>
              </ns1:rPr>
              <ns1:t>∘</ns1:t>
            </ns1:r>
          </ns1:sup>
        </ns1:sSup>
      </ns1:oMath>
      <ns0:r>
        <ns0:t xml:space="preserve"> </ns0:t>
      </ns0:r>
      <ns0:r>
        <ns0:t xml:space="preserve">and 2.040</ns0:t>
      </ns0:r>
      <ns1:oMath>
        <ns1:sSup>
          <ns1:e>
            <ns1:r>
              <ns1:t>​</ns1:t>
            </ns1:r>
          </ns1:e>
          <ns1:sup>
            <ns1:r>
              <ns1:rPr>
                <ns1:sty ns1:val="p"/>
              </ns1:rPr>
              <ns1:t>∘</ns1:t>
            </ns1:r>
          </ns1:sup>
        </ns1:sSup>
      </ns1:oMath>
      <ns0:r>
        <ns0:t xml:space="preserve">, and median translations were 1.058 and 1.627 mm, respectively. Median bilateral translation asymmetry was 0.065 mm in SP2leg and 1.602 mm in SP1leg (Fig. 4).</ns0:t>
      </ns0:r>
      <ns0:r>
        <ns0:t xml:space="preserve"> </ns0:t>
      </ns0:r>
      <ns0:r>
        <ns0:t xml:space="preserve">The paired SP1leg-minus-SP2leg median difference in rotation norm was</ns0:t>
      </ns0:r>
      <ns0:r>
        <ns0:t xml:space="preserve"> </ns0:t>
      </ns0:r>
      <ns1:oMath>
        <ns1:r>
          <ns1:rPr>
            <ns1:sty ns1:val="p"/>
          </ns1:rPr>
          <ns1:t>+</ns1:t>
        </ns1:r>
        <ns1:r>
          <ns1:t>1.048</ns1:t>
        </ns1:r>
      </ns1:oMath>
      <ns0:r>
        <ns0:t xml:space="preserve"> </ns0:t>
      </ns0:r>
      <ns0:r>
        <ns0:t xml:space="preserve">(95% CI +1.004 to +1.102) degrees,</ns0:t>
      </ns0:r>
      <ns0:r>
        <ns0:t xml:space="preserve"> </ns0:t>
      </ns0:r>
      <ns1:oMath>
        <ns1:r>
          <ns1:t>q</ns1:t>
        </ns1:r>
        <ns1:r>
          <ns1:rPr>
            <ns1:sty ns1:val="p"/>
          </ns1:rPr>
          <ns1:t>&lt;</ns1:t>
        </ns1:r>
        <ns1:r>
          <ns1:t>0.001</ns1:t>
        </ns1:r>
      </ns1:oMath>
      <ns0:r>
        <ns0:t xml:space="preserve">. The paired SP1leg-minus-SP2leg median difference in translation magnitude was</ns0:t>
      </ns0:r>
      <ns0:r>
        <ns0:t xml:space="preserve"> </ns0:t>
      </ns0:r>
      <ns1:oMath>
        <ns1:r>
          <ns1:rPr>
            <ns1:sty ns1:val="p"/>
          </ns1:rPr>
          <ns1:t>+</ns1:t>
        </ns1:r>
        <ns1:r>
          <ns1:t>0.582</ns1:t>
        </ns1:r>
      </ns1:oMath>
      <ns0:r>
        <ns0:t xml:space="preserve"> </ns0:t>
      </ns0:r>
      <ns0:r>
        <ns0:t xml:space="preserve">(95% CI +0.559 to +0.603) mm,</ns0:t>
      </ns0:r>
      <ns0:r>
        <ns0:t xml:space="preserve"> </ns0:t>
      </ns0:r>
      <ns1:oMath>
        <ns1:r>
          <ns1:t>q</ns1:t>
        </ns1:r>
        <ns1:r>
          <ns1:rPr>
            <ns1:sty ns1:val="p"/>
          </ns1:rPr>
          <ns1:t>&lt;</ns1:t>
        </ns1:r>
        <ns1:r>
          <ns1:t>0.001</ns1:t>
        </ns1:r>
      </ns1:oMath>
      <ns0:r>
        <ns0:t xml:space="preserve">. The paired SP1leg-minus-SP2leg median difference in translation asymmetry was</ns0:t>
      </ns0:r>
      <ns0:r>
        <ns0:t xml:space="preserve"> </ns0:t>
      </ns0:r>
      <ns1:oMath>
        <ns1:r>
          <ns1:rPr>
            <ns1:sty ns1:val="p"/>
          </ns1:rPr>
          <ns1:t>+</ns1:t>
        </ns1:r>
        <ns1:r>
          <ns1:t>1.509</ns1:t>
        </ns1:r>
      </ns1:oMath>
      <ns0:r>
        <ns0:t xml:space="preserve"> </ns0:t>
      </ns0:r>
      <ns0:r>
        <ns0:t xml:space="preserve">(95% CI +1.445 to +1.568) mm,</ns0:t>
      </ns0:r>
      <ns0:r>
        <ns0:t xml:space="preserve"> </ns0:t>
      </ns0:r>
      <ns1:oMath>
        <ns1:r>
          <ns1:t>q</ns1:t>
        </ns1:r>
        <ns1:r>
          <ns1:rPr>
            <ns1:sty ns1:val="p"/>
          </ns1:rPr>
          <ns1:t>&lt;</ns1:t>
        </ns1:r>
        <ns1:r>
          <ns1:t>0.001</ns1:t>
        </ns1:r>
      </ns1:oMath>
      <ns0:r>
        <ns0:t xml:space="preserve">. Redistributing the same 800 N total force therefore increased motion and, most prominently, bilateral asymmetry.</ns0:t>
      </ns0:r>
    </ns0:p>
    <ns0:bookmarkStart ns0:id="43" ns0:name="tab:microsummary"/>
    <ns0:p>
      <ns0:pPr>
        <ns0:pStyle ns0:val="TableCaption"/>
      </ns0:pPr>
      <ns0:r>
        <ns0:t xml:space="preserve">Table 4. SIJ motion summaries across 278 subjects. Values are median [interquartile range]; component columns are absolute magnitudes.</ns0:t>
      </ns0:r>
    </ns0:p>
    <ns0:tbl>
      <ns0:tblPr>
        <ns0:tblStyle ns0:val="Table"/>
        <ns0:tblW ns0:type="pct" ns0:w="5000"/>
        <ns0:tblLook ns0:firstRow="1" ns0:lastRow="0" ns0:firstColumn="0" ns0:lastColumn="0" ns0:noHBand="0" ns0:noVBand="0" ns0:val="0020"/>
        <ns0:tblCaption ns0:val="Table 4. SIJ motion summaries across 278 subjects. Values are median [interquartile range]; component columns are absolute magnitudes."/>
      </ns0:tblPr>
      <ns0:tblGrid/>
      <ns0:tr>
        <ns0:tc>
          <ns0:p>
            <ns0:pPr>
              <ns0:pStyle ns0:val="Compact"/>
              <ns0:jc ns0:val="left"/>
            </ns0:pPr>
            <ns0:r>
              <ns0:t xml:space="preserve">Load case</ns0:t>
              <ns0:rPr>
                <ns0:sz ns0:val="18"/>
              </ns0:rPr>
            </ns0:r>
          </ns0:p>
        </ns0:tc>
        <ns0:tc>
          <ns0:p>
            <ns0:pPr>
              <ns0:pStyle ns0:val="Compact"/>
              <ns0:jc ns0:val="left"/>
            </ns0:pPr>
            <ns0:r>
              <ns0:t xml:space="preserve">N</ns0:t>
              <ns0:rPr>
                <ns0:sz ns0:val="18"/>
              </ns0:rPr>
            </ns0:r>
          </ns0:p>
        </ns0:tc>
        <ns0:tc>
          <ns0:p>
            <ns0:pPr>
              <ns0:pStyle ns0:val="Compact"/>
              <ns0:jc ns0:val="left"/>
            </ns0:pPr>
            <ns0:r>
              <ns0:t xml:space="preserve">Rotation magnitude (deg)</ns0:t>
              <ns0:rPr>
                <ns0:sz ns0:val="18"/>
              </ns0:rPr>
            </ns0:r>
          </ns0:p>
        </ns0:tc>
        <ns0:tc>
          <ns0:p>
            <ns0:pPr>
              <ns0:pStyle ns0:val="Compact"/>
              <ns0:jc ns0:val="left"/>
            </ns0:pPr>
            <ns0:r>
              <ns0:t xml:space="preserve">Translation magnitude (mm)</ns0:t>
              <ns0:rPr>
                <ns0:sz ns0:val="18"/>
              </ns0:rPr>
            </ns0:r>
          </ns0:p>
        </ns0:tc>
        <ns0:tc>
          <ns0:p>
            <ns0:pPr>
              <ns0:pStyle ns0:val="Compact"/>
              <ns0:jc ns0:val="left"/>
            </ns0:pPr>
            <ns0:r>
              <ns0:t xml:space="preserve">AP translation component (mm)</ns0:t>
              <ns0:rPr>
                <ns0:sz ns0:val="18"/>
              </ns0:rPr>
            </ns0:r>
          </ns0:p>
        </ns0:tc>
        <ns0:tc>
          <ns0:p>
            <ns0:pPr>
              <ns0:pStyle ns0:val="Compact"/>
              <ns0:jc ns0:val="left"/>
            </ns0:pPr>
            <ns0:r>
              <ns0:t xml:space="preserve">ML translation component (mm)</ns0:t>
              <ns0:rPr>
                <ns0:sz ns0:val="18"/>
              </ns0:rPr>
            </ns0:r>
          </ns0:p>
        </ns0:tc>
        <ns0:tc>
          <ns0:p>
            <ns0:pPr>
              <ns0:pStyle ns0:val="Compact"/>
              <ns0:jc ns0:val="left"/>
            </ns0:pPr>
            <ns0:r>
              <ns0:t xml:space="preserve">CC translation component (mm)</ns0:t>
              <ns0:rPr>
                <ns0:sz ns0:val="18"/>
              </ns0:rPr>
            </ns0:r>
          </ns0:p>
        </ns0:tc>
      </ns0:tr>
      <ns0:tr>
        <ns0:tc>
          <ns0:p>
            <ns0:pPr>
              <ns0:pStyle ns0:val="Compact"/>
              <ns0:jc ns0:val="left"/>
            </ns0:pPr>
            <ns0:r>
              <ns0:t xml:space="preserve">SP2leg</ns0:t>
              <ns0:rPr>
                <ns0:sz ns0:val="18"/>
              </ns0:rPr>
            </ns0:r>
          </ns0:p>
        </ns0:tc>
        <ns0:tc>
          <ns0:p>
            <ns0:pPr>
              <ns0:pStyle ns0:val="Compact"/>
              <ns0:jc ns0:val="left"/>
            </ns0:pPr>
            <ns0:r>
              <ns0:t xml:space="preserve">278</ns0:t>
              <ns0:rPr>
                <ns0:sz ns0:val="18"/>
              </ns0:rPr>
            </ns0:r>
          </ns0:p>
        </ns0:tc>
        <ns0:tc>
          <ns0:p>
            <ns0:pPr>
              <ns0:pStyle ns0:val="Compact"/>
              <ns0:jc ns0:val="left"/>
            </ns0:pPr>
            <ns0:r>
              <ns0:t xml:space="preserve">0.956 [0.813, 1.109]</ns0:t>
              <ns0:rPr>
                <ns0:sz ns0:val="18"/>
              </ns0:rPr>
            </ns0:r>
          </ns0:p>
        </ns0:tc>
        <ns0:tc>
          <ns0:p>
            <ns0:pPr>
              <ns0:pStyle ns0:val="Compact"/>
              <ns0:jc ns0:val="left"/>
            </ns0:pPr>
            <ns0:r>
              <ns0:t xml:space="preserve">1.058 [0.871, 1.207]</ns0:t>
              <ns0:rPr>
                <ns0:sz ns0:val="18"/>
              </ns0:rPr>
            </ns0:r>
          </ns0:p>
        </ns0:tc>
        <ns0:tc>
          <ns0:p>
            <ns0:pPr>
              <ns0:pStyle ns0:val="Compact"/>
              <ns0:jc ns0:val="left"/>
            </ns0:pPr>
            <ns0:r>
              <ns0:t xml:space="preserve">0.366 [0.241, 0.482]</ns0:t>
              <ns0:rPr>
                <ns0:sz ns0:val="18"/>
              </ns0:rPr>
            </ns0:r>
          </ns0:p>
        </ns0:tc>
        <ns0:tc>
          <ns0:p>
            <ns0:pPr>
              <ns0:pStyle ns0:val="Compact"/>
              <ns0:jc ns0:val="left"/>
            </ns0:pPr>
            <ns0:r>
              <ns0:t xml:space="preserve">0.083 [0.054, 0.123]</ns0:t>
              <ns0:rPr>
                <ns0:sz ns0:val="18"/>
              </ns0:rPr>
            </ns0:r>
          </ns0:p>
        </ns0:tc>
        <ns0:tc>
          <ns0:p>
            <ns0:pPr>
              <ns0:pStyle ns0:val="Compact"/>
              <ns0:jc ns0:val="left"/>
            </ns0:pPr>
            <ns0:r>
              <ns0:t xml:space="preserve">0.952 [0.818, 1.112]</ns0:t>
              <ns0:rPr>
                <ns0:sz ns0:val="18"/>
              </ns0:rPr>
            </ns0:r>
          </ns0:p>
        </ns0:tc>
      </ns0:tr>
      <ns0:tr>
        <ns0:tc>
          <ns0:p>
            <ns0:pPr>
              <ns0:pStyle ns0:val="Compact"/>
              <ns0:jc ns0:val="left"/>
            </ns0:pPr>
            <ns0:r>
              <ns0:t xml:space="preserve">SP1leg</ns0:t>
              <ns0:rPr>
                <ns0:sz ns0:val="18"/>
              </ns0:rPr>
            </ns0:r>
          </ns0:p>
        </ns0:tc>
        <ns0:tc>
          <ns0:p>
            <ns0:pPr>
              <ns0:pStyle ns0:val="Compact"/>
              <ns0:jc ns0:val="left"/>
            </ns0:pPr>
            <ns0:r>
              <ns0:t xml:space="preserve">278</ns0:t>
              <ns0:rPr>
                <ns0:sz ns0:val="18"/>
              </ns0:rPr>
            </ns0:r>
          </ns0:p>
        </ns0:tc>
        <ns0:tc>
          <ns0:p>
            <ns0:pPr>
              <ns0:pStyle ns0:val="Compact"/>
              <ns0:jc ns0:val="left"/>
            </ns0:pPr>
            <ns0:r>
              <ns0:t xml:space="preserve">2.040 [1.765, 2.289]</ns0:t>
              <ns0:rPr>
                <ns0:sz ns0:val="18"/>
              </ns0:rPr>
            </ns0:r>
          </ns0:p>
        </ns0:tc>
        <ns0:tc>
          <ns0:p>
            <ns0:pPr>
              <ns0:pStyle ns0:val="Compact"/>
              <ns0:jc ns0:val="left"/>
            </ns0:pPr>
            <ns0:r>
              <ns0:t xml:space="preserve">1.627 [1.430, 1.869]</ns0:t>
              <ns0:rPr>
                <ns0:sz ns0:val="18"/>
              </ns0:rPr>
            </ns0:r>
          </ns0:p>
        </ns0:tc>
        <ns0:tc>
          <ns0:p>
            <ns0:pPr>
              <ns0:pStyle ns0:val="Compact"/>
              <ns0:jc ns0:val="left"/>
            </ns0:pPr>
            <ns0:r>
              <ns0:t xml:space="preserve">0.440 [0.357, 0.520]</ns0:t>
              <ns0:rPr>
                <ns0:sz ns0:val="18"/>
              </ns0:rPr>
            </ns0:r>
          </ns0:p>
        </ns0:tc>
        <ns0:tc>
          <ns0:p>
            <ns0:pPr>
              <ns0:pStyle ns0:val="Compact"/>
              <ns0:jc ns0:val="left"/>
            </ns0:pPr>
            <ns0:r>
              <ns0:t xml:space="preserve">0.235 [0.164, 0.345]</ns0:t>
              <ns0:rPr>
                <ns0:sz ns0:val="18"/>
              </ns0:rPr>
            </ns0:r>
          </ns0:p>
        </ns0:tc>
        <ns0:tc>
          <ns0:p>
            <ns0:pPr>
              <ns0:pStyle ns0:val="Compact"/>
              <ns0:jc ns0:val="left"/>
            </ns0:pPr>
            <ns0:r>
              <ns0:t xml:space="preserve">1.428 [1.213, 1.644]</ns0:t>
              <ns0:rPr>
                <ns0:sz ns0:val="18"/>
              </ns0:rPr>
            </ns0:r>
          </ns0:p>
        </ns0:tc>
      </ns0:tr>
      <ns0:tr>
        <ns0:tc>
          <ns0:p>
            <ns0:pPr>
              <ns0:pStyle ns0:val="Compact"/>
              <ns0:jc ns0:val="left"/>
            </ns0:pPr>
            <ns0:r>
              <ns0:t xml:space="preserve">LAB1</ns0:t>
              <ns0:rPr>
                <ns0:sz ns0:val="18"/>
              </ns0:rPr>
            </ns0:r>
          </ns0:p>
        </ns0:tc>
        <ns0:tc>
          <ns0:p>
            <ns0:pPr>
              <ns0:pStyle ns0:val="Compact"/>
              <ns0:jc ns0:val="left"/>
            </ns0:pPr>
            <ns0:r>
              <ns0:t xml:space="preserve">278</ns0:t>
              <ns0:rPr>
                <ns0:sz ns0:val="18"/>
              </ns0:rPr>
            </ns0:r>
          </ns0:p>
        </ns0:tc>
        <ns0:tc>
          <ns0:p>
            <ns0:pPr>
              <ns0:pStyle ns0:val="Compact"/>
              <ns0:jc ns0:val="left"/>
            </ns0:pPr>
            <ns0:r>
              <ns0:t xml:space="preserve">0.221 [0.188, 0.268]</ns0:t>
              <ns0:rPr>
                <ns0:sz ns0:val="18"/>
              </ns0:rPr>
            </ns0:r>
          </ns0:p>
        </ns0:tc>
        <ns0:tc>
          <ns0:p>
            <ns0:pPr>
              <ns0:pStyle ns0:val="Compact"/>
              <ns0:jc ns0:val="left"/>
            </ns0:pPr>
            <ns0:r>
              <ns0:t xml:space="preserve">0.154 [0.121, 0.190]</ns0:t>
              <ns0:rPr>
                <ns0:sz ns0:val="18"/>
              </ns0:rPr>
            </ns0:r>
          </ns0:p>
        </ns0:tc>
        <ns0:tc>
          <ns0:p>
            <ns0:pPr>
              <ns0:pStyle ns0:val="Compact"/>
              <ns0:jc ns0:val="left"/>
            </ns0:pPr>
            <ns0:r>
              <ns0:t xml:space="preserve">0.060 [0.044, 0.079]</ns0:t>
              <ns0:rPr>
                <ns0:sz ns0:val="18"/>
              </ns0:rPr>
            </ns0:r>
          </ns0:p>
        </ns0:tc>
        <ns0:tc>
          <ns0:p>
            <ns0:pPr>
              <ns0:pStyle ns0:val="Compact"/>
              <ns0:jc ns0:val="left"/>
            </ns0:pPr>
            <ns0:r>
              <ns0:t xml:space="preserve">0.077 [0.063, 0.092]</ns0:t>
              <ns0:rPr>
                <ns0:sz ns0:val="18"/>
              </ns0:rPr>
            </ns0:r>
          </ns0:p>
        </ns0:tc>
        <ns0:tc>
          <ns0:p>
            <ns0:pPr>
              <ns0:pStyle ns0:val="Compact"/>
              <ns0:jc ns0:val="left"/>
            </ns0:pPr>
            <ns0:r>
              <ns0:t xml:space="preserve">0.105 [0.073, 0.144]</ns0:t>
              <ns0:rPr>
                <ns0:sz ns0:val="18"/>
              </ns0:rPr>
            </ns0:r>
          </ns0:p>
        </ns0:tc>
      </ns0:tr>
      <ns0:tr>
        <ns0:tc>
          <ns0:p>
            <ns0:pPr>
              <ns0:pStyle ns0:val="Compact"/>
              <ns0:jc ns0:val="left"/>
            </ns0:pPr>
            <ns0:r>
              <ns0:t xml:space="preserve">LAB2</ns0:t>
              <ns0:rPr>
                <ns0:sz ns0:val="18"/>
              </ns0:rPr>
            </ns0:r>
          </ns0:p>
        </ns0:tc>
        <ns0:tc>
          <ns0:p>
            <ns0:pPr>
              <ns0:pStyle ns0:val="Compact"/>
              <ns0:jc ns0:val="left"/>
            </ns0:pPr>
            <ns0:r>
              <ns0:t xml:space="preserve">278</ns0:t>
              <ns0:rPr>
                <ns0:sz ns0:val="18"/>
              </ns0:rPr>
            </ns0:r>
          </ns0:p>
        </ns0:tc>
        <ns0:tc>
          <ns0:p>
            <ns0:pPr>
              <ns0:pStyle ns0:val="Compact"/>
              <ns0:jc ns0:val="left"/>
            </ns0:pPr>
            <ns0:r>
              <ns0:t xml:space="preserve">0.724 [0.649, 0.812]</ns0:t>
              <ns0:rPr>
                <ns0:sz ns0:val="18"/>
              </ns0:rPr>
            </ns0:r>
          </ns0:p>
        </ns0:tc>
        <ns0:tc>
          <ns0:p>
            <ns0:pPr>
              <ns0:pStyle ns0:val="Compact"/>
              <ns0:jc ns0:val="left"/>
            </ns0:pPr>
            <ns0:r>
              <ns0:t xml:space="preserve">0.255 [0.204, 0.328]</ns0:t>
              <ns0:rPr>
                <ns0:sz ns0:val="18"/>
              </ns0:rPr>
            </ns0:r>
          </ns0:p>
        </ns0:tc>
        <ns0:tc>
          <ns0:p>
            <ns0:pPr>
              <ns0:pStyle ns0:val="Compact"/>
              <ns0:jc ns0:val="left"/>
            </ns0:pPr>
            <ns0:r>
              <ns0:t xml:space="preserve">0.176 [0.099, 0.262]</ns0:t>
              <ns0:rPr>
                <ns0:sz ns0:val="18"/>
              </ns0:rPr>
            </ns0:r>
          </ns0:p>
        </ns0:tc>
        <ns0:tc>
          <ns0:p>
            <ns0:pPr>
              <ns0:pStyle ns0:val="Compact"/>
              <ns0:jc ns0:val="left"/>
            </ns0:pPr>
            <ns0:r>
              <ns0:t xml:space="preserve">0.134 [0.115, 0.154]</ns0:t>
              <ns0:rPr>
                <ns0:sz ns0:val="18"/>
              </ns0:rPr>
            </ns0:r>
          </ns0:p>
        </ns0:tc>
        <ns0:tc>
          <ns0:p>
            <ns0:pPr>
              <ns0:pStyle ns0:val="Compact"/>
              <ns0:jc ns0:val="left"/>
            </ns0:pPr>
            <ns0:r>
              <ns0:t xml:space="preserve">0.075 [0.049, 0.118]</ns0:t>
              <ns0:rPr>
                <ns0:sz ns0:val="18"/>
              </ns0:rPr>
            </ns0:r>
          </ns0:p>
        </ns0:tc>
      </ns0:tr>
      <ns0:tr>
        <ns0:tc>
          <ns0:p>
            <ns0:pPr>
              <ns0:pStyle ns0:val="Compact"/>
              <ns0:jc ns0:val="left"/>
            </ns0:pPr>
            <ns0:r>
              <ns0:t xml:space="preserve">LAB3</ns0:t>
              <ns0:rPr>
                <ns0:sz ns0:val="18"/>
              </ns0:rPr>
            </ns0:r>
          </ns0:p>
        </ns0:tc>
        <ns0:tc>
          <ns0:p>
            <ns0:pPr>
              <ns0:pStyle ns0:val="Compact"/>
              <ns0:jc ns0:val="left"/>
            </ns0:pPr>
            <ns0:r>
              <ns0:t xml:space="preserve">278</ns0:t>
              <ns0:rPr>
                <ns0:sz ns0:val="18"/>
              </ns0:rPr>
            </ns0:r>
          </ns0:p>
        </ns0:tc>
        <ns0:tc>
          <ns0:p>
            <ns0:pPr>
              <ns0:pStyle ns0:val="Compact"/>
              <ns0:jc ns0:val="left"/>
            </ns0:pPr>
            <ns0:r>
              <ns0:t xml:space="preserve">0.844 [0.672, 1.057]</ns0:t>
              <ns0:rPr>
                <ns0:sz ns0:val="18"/>
              </ns0:rPr>
            </ns0:r>
          </ns0:p>
        </ns0:tc>
        <ns0:tc>
          <ns0:p>
            <ns0:pPr>
              <ns0:pStyle ns0:val="Compact"/>
              <ns0:jc ns0:val="left"/>
            </ns0:pPr>
            <ns0:r>
              <ns0:t xml:space="preserve">0.574 [0.448, 0.707]</ns0:t>
              <ns0:rPr>
                <ns0:sz ns0:val="18"/>
              </ns0:rPr>
            </ns0:r>
          </ns0:p>
        </ns0:tc>
        <ns0:tc>
          <ns0:p>
            <ns0:pPr>
              <ns0:pStyle ns0:val="Compact"/>
              <ns0:jc ns0:val="left"/>
            </ns0:pPr>
            <ns0:r>
              <ns0:t xml:space="preserve">0.372 [0.260, 0.515]</ns0:t>
              <ns0:rPr>
                <ns0:sz ns0:val="18"/>
              </ns0:rPr>
            </ns0:r>
          </ns0:p>
        </ns0:tc>
        <ns0:tc>
          <ns0:p>
            <ns0:pPr>
              <ns0:pStyle ns0:val="Compact"/>
              <ns0:jc ns0:val="left"/>
            </ns0:pPr>
            <ns0:r>
              <ns0:t xml:space="preserve">0.092 [0.069, 0.115]</ns0:t>
              <ns0:rPr>
                <ns0:sz ns0:val="18"/>
              </ns0:rPr>
            </ns0:r>
          </ns0:p>
        </ns0:tc>
        <ns0:tc>
          <ns0:p>
            <ns0:pPr>
              <ns0:pStyle ns0:val="Compact"/>
              <ns0:jc ns0:val="left"/>
            </ns0:pPr>
            <ns0:r>
              <ns0:t xml:space="preserve">0.387 [0.326, 0.477]</ns0:t>
              <ns0:rPr>
                <ns0:sz ns0:val="18"/>
              </ns0:rPr>
            </ns0:r>
          </ns0:p>
        </ns0:tc>
      </ns0:tr>
    </ns0:tbl>
    <ns0:bookmarkEnd ns0:id="43"/>
    <ns0:p>
      <ns0:pPr>
        <ns0:pStyle ns0:val="BodyText"/>
      </ns0:pPr>
      <ns0:r>
        <ns0:drawing>
          <ns2:inline>
            <ns2:extent cx="5334000" cy="3782695"/>
            <ns2:effectExtent b="0" l="0" r="0" t="0"/>
            <ns2:docPr descr="image" title="" id="1" name="Picture"/>
            <ns3:graphic>
              <ns3:graphicData uri="http://schemas.openxmlformats.org/drawingml/2006/picture">
                <ns4:pic>
                  <ns4:nvPicPr>
                    <ns4:cNvPr descr="/tmp/janat_docx_to7addts/Fig2_primary_load_profiles.png" id="0" name="Picture"/>
                    <ns4:cNvPicPr>
                      <ns3:picLocks noChangeArrowheads="1" noChangeAspect="1"/>
                    </ns4:cNvPicPr>
                  </ns4:nvPicPr>
                  <ns4:blipFill>
                    <ns3:blip ns5:embed="rId44"/>
                    <ns3:stretch>
                      <ns3:fillRect/>
                    </ns3:stretch>
                  </ns4:blipFill>
                  <ns4:spPr bwMode="auto">
                    <ns3:xfrm>
                      <ns3:off x="0" y="0"/>
                      <ns3:ext cx="5334000" cy="3782695"/>
                    </ns3:xfrm>
                    <ns3:prstGeom prst="rect">
                      <ns3:avLst/>
                    </ns3:prstGeom>
                    <ns3:noFill/>
                    <ns3:ln w="9525">
                      <ns3:noFill/>
                      <ns3:headEnd/>
                      <ns3:tailEnd/>
                    </ns3:ln>
                  </ns4:spPr>
                </ns4:pic>
              </ns3:graphicData>
            </ns3:graphic>
          </ns2:inline>
        </ns0:drawing>
      </ns0:r>
    </ns0:p>
    <ns0:p>
      <ns0:pPr>
        <ns0:pStyle ns0:val="BodyText"/>
      </ns0:pPr>
      <ns0:r>
        <ns0:t xml:space="preserve">Figure 4.</ns0:t>
      </ns0:r>
      <ns0:r>
        <ns0:t xml:space="preserve"> </ns0:t>
      </ns0:r>
      <ns0:r>
        <ns0:rPr>
          <ns0:bCs/>
          <ns0:b/>
        </ns0:rPr>
        <ns0:t xml:space="preserve">Load-dependent motion and asymmetry.</ns0:t>
      </ns0:r>
      <ns0:r>
        <ns0:t xml:space="preserve"> </ns0:t>
      </ns0:r>
      <ns0:r>
        <ns0:t xml:space="preserve">Rotation-triplet norm, relative translation norm, absolute ML rotation and bilateral translation-magnitude asymmetry. Points are subjects; boxplots summarize each sex separately using medians and IQRs, with whiskers at 1.5 IQR. The numerical summaries in the text and Table 4 pool both sexes. Female and male groups use vermilion and blue. Jitter is deterministic. No signed nutation direction is inferred.</ns0:t>
      </ns0:r>
      <ns0:r>
        <ns0:t xml:space="preserve"> </ns0:t>
      </ns0:r>
      <ns0:bookmarkStart ns0:id="45" ns0:name="fig:loadprofiles"/>
      <ns0:r>
        <ns0:t xml:space="preserve">[fig:loadprofiles]</ns0:t>
      </ns0:r>
      <ns0:bookmarkEnd ns0:id="45"/>
    </ns0:p>
    <ns0:bookmarkEnd ns0:id="46"/>
    <ns0:bookmarkStart ns0:id="49" ns0:name="X6a30b579c157c0c1a540ffe79831406fee955bc"/>
    <ns0:p>
      <ns0:pPr>
        <ns0:pStyle ns0:val="Heading2"/>
      </ns0:pPr>
      <ns0:r>
        <ns0:t xml:space="preserve">3.3. Load application site selects distinct motion components</ns0:t>
      </ns0:r>
    </ns0:p>
    <ns0:p>
      <ns0:pPr>
        <ns0:pStyle ns0:val="FirstParagraph"/>
      </ns0:pPr>
      <ns0:r>
        <ns0:t xml:space="preserve">The localized force pairs separated the response into distinct component patterns (Fig. 5). Both transverse pairs reduced the absolute CC component relative to bilateral support, but the ML component increased only under LAB2: its paired median contrast was +0.052 mm (95% CI +0.047 to +0.061,</ns0:t>
      </ns0:r>
      <ns0:r>
        <ns0:t xml:space="preserve"> </ns0:t>
      </ns0:r>
      <ns1:oMath>
        <ns1:r>
          <ns1:t>q</ns1:t>
        </ns1:r>
        <ns1:r>
          <ns1:rPr>
            <ns1:sty ns1:val="p"/>
          </ns1:rPr>
          <ns1:t>&lt;</ns1:t>
        </ns1:r>
        <ns1:r>
          <ns1:t>0.001</ns1:t>
        </ns1:r>
      </ns1:oMath>
      <ns0:r>
        <ns0:t xml:space="preserve">), compared with</ns0:t>
      </ns0:r>
      <ns0:r>
        <ns0:t xml:space="preserve"> </ns0:t>
      </ns0:r>
      <ns1:oMath>
        <ns1:r>
          <ns1:rPr>
            <ns1:sty ns1:val="p"/>
          </ns1:rPr>
          <ns1:t>−</ns1:t>
        </ns1:r>
        <ns1:r>
          <ns1:t>0.007</ns1:t>
        </ns1:r>
      </ns1:oMath>
      <ns0:r>
        <ns0:t xml:space="preserve"> mm for LAB1 (95% CI</ns0:t>
      </ns0:r>
      <ns0:r>
        <ns0:t xml:space="preserve"> </ns0:t>
      </ns0:r>
      <ns1:oMath>
        <ns1:r>
          <ns1:rPr>
            <ns1:sty ns1:val="p"/>
          </ns1:rPr>
          <ns1:t>−</ns1:t>
        </ns1:r>
        <ns1:r>
          <ns1:t>0.018</ns1:t>
        </ns1:r>
      </ns1:oMath>
      <ns0:r>
        <ns0:t xml:space="preserve"> </ns0:t>
      </ns0:r>
      <ns0:r>
        <ns0:t xml:space="preserve">to +0.002,</ns0:t>
      </ns0:r>
      <ns0:r>
        <ns0:t xml:space="preserve"> </ns0:t>
      </ns0:r>
      <ns1:oMath>
        <ns1:r>
          <ns1:t>q</ns1:t>
        </ns1:r>
        <ns1:r>
          <ns1:rPr>
            <ns1:sty ns1:val="p"/>
          </ns1:rPr>
          <ns1:t>=</ns1:t>
        </ns1:r>
        <ns1:r>
          <ns1:t>0.254</ns1:t>
        </ns1:r>
      </ns1:oMath>
      <ns0:r>
        <ns0:t xml:space="preserve">). Both also reduced the AP component. LAB3 increased the ML and AP components while reducing the CC component. The direct LAB2-minus-LAB1 contrasts confirmed larger ML and AP magnitudes (+0.058 and +0.111 mm), and a smaller CC magnitude (</ns0:t>
      </ns0:r>
      <ns1:oMath>
        <ns1:r>
          <ns1:rPr>
            <ns1:sty ns1:val="p"/>
          </ns1:rPr>
          <ns1:t>−</ns1:t>
        </ns1:r>
        <ns1:r>
          <ns1:t>0.020</ns1:t>
        </ns1:r>
      </ns1:oMath>
      <ns0:r>
        <ns0:t xml:space="preserve"> mm), at the ischial application site; all three adjusted</ns0:t>
      </ns0:r>
      <ns0:r>
        <ns0:t xml:space="preserve"> </ns0:t>
      </ns0:r>
      <ns1:oMath>
        <ns1:r>
          <ns1:t>q</ns1:t>
        </ns1:r>
        <ns1:r>
          <ns1:rPr>
            <ns1:sty ns1:val="p"/>
          </ns1:rPr>
          <ns1:t>&lt;</ns1:t>
        </ns1:r>
        <ns1:r>
          <ns1:t>0.001</ns1:t>
        </ns1:r>
      </ns1:oMath>
      <ns0:r>
        <ns0:t xml:space="preserve"> </ns0:t>
      </ns0:r>
      <ns0:r>
        <ns0:t xml:space="preserve">(Supplementary Table S12). Supplementary Table S1 gives all paired contrasts and adjusted probabilities. Component magnitudes quantify motion along the reporting axes; the arrows connect componentwise median contrasts and are not physical trajectories.</ns0:t>
      </ns0:r>
    </ns0:p>
    <ns0:p>
      <ns0:pPr>
        <ns0:pStyle ns0:val="BodyText"/>
      </ns0:pPr>
      <ns0:r>
        <ns0:drawing>
          <ns2:inline>
            <ns2:extent cx="5334000" cy="2226945"/>
            <ns2:effectExtent b="0" l="0" r="0" t="0"/>
            <ns2:docPr descr="image" title="" id="1" name="Picture"/>
            <ns3:graphic>
              <ns3:graphicData uri="http://schemas.openxmlformats.org/drawingml/2006/picture">
                <ns4:pic>
                  <ns4:nvPicPr>
                    <ns4:cNvPr descr="/tmp/janat_docx_to7addts/Fig3_directional_rerouting.png" id="0" name="Picture"/>
                    <ns4:cNvPicPr>
                      <ns3:picLocks noChangeArrowheads="1" noChangeAspect="1"/>
                    </ns4:cNvPicPr>
                  </ns4:nvPicPr>
                  <ns4:blipFill>
                    <ns3:blip ns5:embed="rId47"/>
                    <ns3:stretch>
                      <ns3:fillRect/>
                    </ns3:stretch>
                  </ns4:blipFill>
                  <ns4:spPr bwMode="auto">
                    <ns3:xfrm>
                      <ns3:off x="0" y="0"/>
                      <ns3:ext cx="5334000" cy="2226945"/>
                    </ns3:xfrm>
                    <ns3:prstGeom prst="rect">
                      <ns3:avLst/>
                    </ns3:prstGeom>
                    <ns3:noFill/>
                    <ns3:ln w="9525">
                      <ns3:noFill/>
                      <ns3:headEnd/>
                      <ns3:tailEnd/>
                    </ns3:ln>
                  </ns4:spPr>
                </ns4:pic>
              </ns3:graphicData>
            </ns3:graphic>
          </ns2:inline>
        </ns0:drawing>
      </ns0:r>
    </ns0:p>
    <ns0:p>
      <ns0:pPr>
        <ns0:pStyle ns0:val="BodyText"/>
      </ns0:pPr>
      <ns0:r>
        <ns0:t xml:space="preserve">Figure 5.</ns0:t>
      </ns0:r>
      <ns0:r>
        <ns0:t xml:space="preserve"> </ns0:t>
      </ns0:r>
      <ns0:r>
        <ns0:rPr>
          <ns0:bCs/>
          <ns0:b/>
        </ns0:rPr>
        <ns0:t xml:space="preserve">Paired absolute-component contrasts.</ns0:t>
      </ns0:r>
      <ns0:r>
        <ns0:t xml:space="preserve"> </ns0:t>
      </ns0:r>
      <ns0:r>
        <ns0:t xml:space="preserve">(A) Median within-subject differences from SP2leg, with bootstrap 95% CIs. (B) Individual ML/CC contrast pairs and arrows to their componentwise medians. Positive values mean larger component magnitude, not outward joint motion. Corrected</ns0:t>
      </ns0:r>
      <ns0:r>
        <ns0:t xml:space="preserve"> </ns0:t>
      </ns0:r>
      <ns1:oMath>
        <ns1:r>
          <ns1:t>q</ns1:t>
        </ns1:r>
      </ns1:oMath>
      <ns0:r>
        <ns0:t xml:space="preserve"> </ns0:t>
      </ns0:r>
      <ns0:r>
        <ns0:t xml:space="preserve">values are reported in Supplementary Table S1; intervals are pointwise, not simultaneous.</ns0:t>
      </ns0:r>
      <ns0:r>
        <ns0:t xml:space="preserve"> </ns0:t>
      </ns0:r>
      <ns0:bookmarkStart ns0:id="48" ns0:name="fig:directional"/>
      <ns0:r>
        <ns0:t xml:space="preserve">[fig:directional]</ns0:t>
      </ns0:r>
      <ns0:bookmarkEnd ns0:id="48"/>
    </ns0:p>
    <ns0:bookmarkEnd ns0:id="49"/>
    <ns0:bookmarkStart ns0:id="53" ns0:name="X76f6080ef5ec95c7b555949c8025cfad7abbaf3"/>
    <ns0:p>
      <ns0:pPr>
        <ns0:pStyle ns0:val="Heading2"/>
      </ns0:pPr>
      <ns0:r>
        <ns0:t xml:space="preserve">3.4. Direction limits the combination of scalar endpoint responses</ns0:t>
      </ns0:r>
    </ns0:p>
    <ns0:p>
      <ns0:pPr>
        <ns0:pStyle ns0:val="FirstParagraph"/>
      </ns0:pPr>
      <ns0:r>
        <ns0:t xml:space="preserve">The controlled force redistribution isolated the information lost when endpoint motion is summarized only by magnitude (Fig. 6; Table 5). Both archived endpoint fields and their extracted kinematics were reproduced for all 278 subjects. Splitting each transverse force equally between the internal-ring and ischial patches (</ns0:t>
      </ns0:r>
      <ns1:oMath>
        <ns1:r>
          <ns1:t>w</ns1:t>
        </ns1:r>
        <ns1:r>
          <ns1:rPr>
            <ns1:sty ns1:val="p"/>
          </ns1:rPr>
          <ns1:t>=</ns1:t>
        </ns1:r>
        <ns1:r>
          <ns1:t>0.5</ns1:t>
        </ns1:r>
      </ns1:oMath>
      <ns0:r>
        <ns0:t xml:space="preserve">) gave a median translation of 0.1587 mm. The median within-subject reduction relative to the scalar endpoint combination was 21.9% (95% bootstrap CI 20.0–23.7%). At</ns0:t>
      </ns0:r>
      <ns0:r>
        <ns0:t xml:space="preserve"> </ns0:t>
      </ns0:r>
      <ns1:oMath>
        <ns1:r>
          <ns1:t>w</ns1:t>
        </ns1:r>
        <ns1:r>
          <ns1:rPr>
            <ns1:sty ns1:val="p"/>
          </ns1:rPr>
          <ns1:t>=</ns1:t>
        </ns1:r>
        <ns1:r>
          <ns1:t>0.25</ns1:t>
        </ns1:r>
      </ns1:oMath>
      <ns0:r>
        <ns0:t xml:space="preserve">, median translation was 0.1396 mm, below the endpoint medians of 0.1538 and 0.2549 mm, despite unchanged total force on each side.</ns0:t>
      </ns0:r>
    </ns0:p>
    <ns0:p>
      <ns0:pPr>
        <ns0:pStyle ns0:val="BodyText"/>
      </ns0:pPr>
      <ns0:r>
        <ns0:t xml:space="preserve">At equal redistribution, scalar endpoint combination had RMSE 0.0580 mm against the motion re-extracted from mixed FE fields. Retaining signed endpoint vectors reduced this to 0.00021 mm. Across the three interior weights, scalar RMSE ranged from 0.0353 to 0.0580 mm, whereas vector RMSE ranged from 0.00014 to 0.00021 mm; the largest individual vector error was 0.00096 mm. The median of subjects’ bilateral mean endpoint-vector cosines was 0.157, indicating substantial directional mismatch. These comparisons support directional cancellation as a mechanism limiting scalar load combination. They neither measure anatomy-only prediction on new subjects nor attribute the residual errors of the triad models to this mechanism.</ns0:t>
      </ns0:r>
    </ns0:p>
    <ns0:bookmarkStart ns0:id="50" ns0:name="tab:mixture"/>
    <ns0:p>
      <ns0:pPr>
        <ns0:pStyle ns0:val="TableCaption"/>
      </ns0:pPr>
      <ns0:r>
        <ns0:t xml:space="preserve">Table 5. Controlled transverse force redistribution. Translation is the cohort median after re-extraction from mixed fields. Directional reduction is the median within-subject percentage reduction relative to scalar endpoint combination; intervals are pointwise subject-bootstrap intervals. Scalar and vector estimates use individual FE endpoint information. RMSE is against the re-extracted mixed-field endpoint.</ns0:t>
      </ns0:r>
    </ns0:p>
    <ns0:tbl>
      <ns0:tblPr>
        <ns0:tblStyle ns0:val="Table"/>
        <ns0:tblW ns0:type="pct" ns0:w="5000"/>
        <ns0:tblLook ns0:firstRow="1" ns0:lastRow="0" ns0:firstColumn="0" ns0:lastColumn="0" ns0:noHBand="0" ns0:noVBand="0" ns0:val="0020"/>
        <ns0:tblCaption ns0:val="Table 5. Controlled transverse force redistribution. Translation is the cohort median after re-extraction from mixed fields. Directional reduction is the median within-subject percentage reduction relative to scalar endpoint combination; intervals are pointwise subject-bootstrap intervals. Scalar and vector estimates use individual FE endpoint information. RMSE is against the re-extracted mixed-field endpoint."/>
      </ns0:tblPr>
      <ns0:tblGrid/>
      <ns0:tr>
        <ns0:tc>
          <ns0:p>
            <ns0:pPr>
              <ns0:pStyle ns0:val="Compact"/>
              <ns0:jc ns0:val="left"/>
            </ns0:pPr>
            <ns0:r>
              <ns0:t xml:space="preserve">Ischial fraction</ns0:t>
              <ns0:rPr>
                <ns0:sz ns0:val="18"/>
              </ns0:rPr>
            </ns0:r>
            <ns0:r>
              <ns0:t xml:space="preserve"> </ns0:t>
              <ns0:rPr>
                <ns0:sz ns0:val="18"/>
              </ns0:rPr>
            </ns0:r>
            <ns1:oMath>
              <ns1:r>
                <ns1:t>w</ns1:t>
              </ns1:r>
            </ns1:oMath>
          </ns0:p>
        </ns0:tc>
        <ns0:tc>
          <ns0:p>
            <ns0:pPr>
              <ns0:pStyle ns0:val="Compact"/>
              <ns0:jc ns0:val="left"/>
            </ns0:pPr>
            <ns0:r>
              <ns0:t xml:space="preserve">Translation (mm)</ns0:t>
              <ns0:rPr>
                <ns0:sz ns0:val="18"/>
              </ns0:rPr>
            </ns0:r>
          </ns0:p>
        </ns0:tc>
        <ns0:tc>
          <ns0:p>
            <ns0:pPr>
              <ns0:pStyle ns0:val="Compact"/>
              <ns0:jc ns0:val="left"/>
            </ns0:pPr>
            <ns0:r>
              <ns0:t xml:space="preserve">Directional reduction (%) [95% CI]</ns0:t>
              <ns0:rPr>
                <ns0:sz ns0:val="18"/>
              </ns0:rPr>
            </ns0:r>
          </ns0:p>
        </ns0:tc>
        <ns0:tc>
          <ns0:p>
            <ns0:pPr>
              <ns0:pStyle ns0:val="Compact"/>
              <ns0:jc ns0:val="left"/>
            </ns0:pPr>
            <ns0:r>
              <ns0:t xml:space="preserve">Scalar RMSE (mm)</ns0:t>
              <ns0:rPr>
                <ns0:sz ns0:val="18"/>
              </ns0:rPr>
            </ns0:r>
          </ns0:p>
        </ns0:tc>
        <ns0:tc>
          <ns0:p>
            <ns0:pPr>
              <ns0:pStyle ns0:val="Compact"/>
              <ns0:jc ns0:val="left"/>
            </ns0:pPr>
            <ns0:r>
              <ns0:t xml:space="preserve">Vector RMSE (mm)</ns0:t>
              <ns0:rPr>
                <ns0:sz ns0:val="18"/>
              </ns0:rPr>
            </ns0:r>
          </ns0:p>
        </ns0:tc>
      </ns0:tr>
      <ns0:tr>
        <ns0:tc>
          <ns0:p>
            <ns0:pPr>
              <ns0:pStyle ns0:val="Compact"/>
              <ns0:jc ns0:val="left"/>
            </ns0:pPr>
            <ns0:r>
              <ns0:t xml:space="preserve">0.00</ns0:t>
              <ns0:rPr>
                <ns0:sz ns0:val="18"/>
              </ns0:rPr>
            </ns0:r>
          </ns0:p>
        </ns0:tc>
        <ns0:tc>
          <ns0:p>
            <ns0:pPr>
              <ns0:pStyle ns0:val="Compact"/>
              <ns0:jc ns0:val="left"/>
            </ns0:pPr>
            <ns0:r>
              <ns0:t xml:space="preserve">0.1538</ns0:t>
              <ns0:rPr>
                <ns0:sz ns0:val="18"/>
              </ns0:rPr>
            </ns0:r>
          </ns0:p>
        </ns0:tc>
        <ns0:tc>
          <ns0:p>
            <ns0:pPr>
              <ns0:pStyle ns0:val="Compact"/>
              <ns0:jc ns0:val="left"/>
            </ns0:pPr>
            <ns0:r>
              <ns0:t xml:space="preserve">0.0 [0.0, 0.0]</ns0:t>
              <ns0:rPr>
                <ns0:sz ns0:val="18"/>
              </ns0:rPr>
            </ns0:r>
          </ns0:p>
        </ns0:tc>
        <ns0:tc>
          <ns0:p>
            <ns0:pPr>
              <ns0:pStyle ns0:val="Compact"/>
              <ns0:jc ns0:val="left"/>
            </ns0:pPr>
            <ns0:r>
              <ns0:t xml:space="preserve">0.00000</ns0:t>
              <ns0:rPr>
                <ns0:sz ns0:val="18"/>
              </ns0:rPr>
            </ns0:r>
          </ns0:p>
        </ns0:tc>
        <ns0:tc>
          <ns0:p>
            <ns0:pPr>
              <ns0:pStyle ns0:val="Compact"/>
              <ns0:jc ns0:val="left"/>
            </ns0:pPr>
            <ns0:r>
              <ns0:t xml:space="preserve">0.00000</ns0:t>
              <ns0:rPr>
                <ns0:sz ns0:val="18"/>
              </ns0:rPr>
            </ns0:r>
          </ns0:p>
        </ns0:tc>
      </ns0:tr>
      <ns0:tr>
        <ns0:tc>
          <ns0:p>
            <ns0:pPr>
              <ns0:pStyle ns0:val="Compact"/>
              <ns0:jc ns0:val="left"/>
            </ns0:pPr>
            <ns0:r>
              <ns0:t xml:space="preserve">0.25</ns0:t>
              <ns0:rPr>
                <ns0:sz ns0:val="18"/>
              </ns0:rPr>
            </ns0:r>
          </ns0:p>
        </ns0:tc>
        <ns0:tc>
          <ns0:p>
            <ns0:pPr>
              <ns0:pStyle ns0:val="Compact"/>
              <ns0:jc ns0:val="left"/>
            </ns0:pPr>
            <ns0:r>
              <ns0:t xml:space="preserve">0.1396</ns0:t>
              <ns0:rPr>
                <ns0:sz ns0:val="18"/>
              </ns0:rPr>
            </ns0:r>
          </ns0:p>
        </ns0:tc>
        <ns0:tc>
          <ns0:p>
            <ns0:pPr>
              <ns0:pStyle ns0:val="Compact"/>
              <ns0:jc ns0:val="left"/>
            </ns0:pPr>
            <ns0:r>
              <ns0:t xml:space="preserve">21.8 [20.3, 23.4]</ns0:t>
              <ns0:rPr>
                <ns0:sz ns0:val="18"/>
              </ns0:rPr>
            </ns0:r>
          </ns0:p>
        </ns0:tc>
        <ns0:tc>
          <ns0:p>
            <ns0:pPr>
              <ns0:pStyle ns0:val="Compact"/>
              <ns0:jc ns0:val="left"/>
            </ns0:pPr>
            <ns0:r>
              <ns0:t xml:space="preserve">0.05147</ns0:t>
              <ns0:rPr>
                <ns0:sz ns0:val="18"/>
              </ns0:rPr>
            </ns0:r>
          </ns0:p>
        </ns0:tc>
        <ns0:tc>
          <ns0:p>
            <ns0:pPr>
              <ns0:pStyle ns0:val="Compact"/>
              <ns0:jc ns0:val="left"/>
            </ns0:pPr>
            <ns0:r>
              <ns0:t xml:space="preserve">0.00021</ns0:t>
              <ns0:rPr>
                <ns0:sz ns0:val="18"/>
              </ns0:rPr>
            </ns0:r>
          </ns0:p>
        </ns0:tc>
      </ns0:tr>
      <ns0:tr>
        <ns0:tc>
          <ns0:p>
            <ns0:pPr>
              <ns0:pStyle ns0:val="Compact"/>
              <ns0:jc ns0:val="left"/>
            </ns0:pPr>
            <ns0:r>
              <ns0:t xml:space="preserve">0.50</ns0:t>
              <ns0:rPr>
                <ns0:sz ns0:val="18"/>
              </ns0:rPr>
            </ns0:r>
          </ns0:p>
        </ns0:tc>
        <ns0:tc>
          <ns0:p>
            <ns0:pPr>
              <ns0:pStyle ns0:val="Compact"/>
              <ns0:jc ns0:val="left"/>
            </ns0:pPr>
            <ns0:r>
              <ns0:t xml:space="preserve">0.1587</ns0:t>
              <ns0:rPr>
                <ns0:sz ns0:val="18"/>
              </ns0:rPr>
            </ns0:r>
          </ns0:p>
        </ns0:tc>
        <ns0:tc>
          <ns0:p>
            <ns0:pPr>
              <ns0:pStyle ns0:val="Compact"/>
              <ns0:jc ns0:val="left"/>
            </ns0:pPr>
            <ns0:r>
              <ns0:t xml:space="preserve">21.9 [20.0, 23.7]</ns0:t>
              <ns0:rPr>
                <ns0:sz ns0:val="18"/>
              </ns0:rPr>
            </ns0:r>
          </ns0:p>
        </ns0:tc>
        <ns0:tc>
          <ns0:p>
            <ns0:pPr>
              <ns0:pStyle ns0:val="Compact"/>
              <ns0:jc ns0:val="left"/>
            </ns0:pPr>
            <ns0:r>
              <ns0:t xml:space="preserve">0.05803</ns0:t>
              <ns0:rPr>
                <ns0:sz ns0:val="18"/>
              </ns0:rPr>
            </ns0:r>
          </ns0:p>
        </ns0:tc>
        <ns0:tc>
          <ns0:p>
            <ns0:pPr>
              <ns0:pStyle ns0:val="Compact"/>
              <ns0:jc ns0:val="left"/>
            </ns0:pPr>
            <ns0:r>
              <ns0:t xml:space="preserve">0.00021</ns0:t>
              <ns0:rPr>
                <ns0:sz ns0:val="18"/>
              </ns0:rPr>
            </ns0:r>
          </ns0:p>
        </ns0:tc>
      </ns0:tr>
      <ns0:tr>
        <ns0:tc>
          <ns0:p>
            <ns0:pPr>
              <ns0:pStyle ns0:val="Compact"/>
              <ns0:jc ns0:val="left"/>
            </ns0:pPr>
            <ns0:r>
              <ns0:t xml:space="preserve">0.75</ns0:t>
              <ns0:rPr>
                <ns0:sz ns0:val="18"/>
              </ns0:rPr>
            </ns0:r>
          </ns0:p>
        </ns0:tc>
        <ns0:tc>
          <ns0:p>
            <ns0:pPr>
              <ns0:pStyle ns0:val="Compact"/>
              <ns0:jc ns0:val="left"/>
            </ns0:pPr>
            <ns0:r>
              <ns0:t xml:space="preserve">0.2041</ns0:t>
              <ns0:rPr>
                <ns0:sz ns0:val="18"/>
              </ns0:rPr>
            </ns0:r>
          </ns0:p>
        </ns0:tc>
        <ns0:tc>
          <ns0:p>
            <ns0:pPr>
              <ns0:pStyle ns0:val="Compact"/>
              <ns0:jc ns0:val="left"/>
            </ns0:pPr>
            <ns0:r>
              <ns0:t xml:space="preserve">12.3 [11.3, 13.0]</ns0:t>
              <ns0:rPr>
                <ns0:sz ns0:val="18"/>
              </ns0:rPr>
            </ns0:r>
          </ns0:p>
        </ns0:tc>
        <ns0:tc>
          <ns0:p>
            <ns0:pPr>
              <ns0:pStyle ns0:val="Compact"/>
              <ns0:jc ns0:val="left"/>
            </ns0:pPr>
            <ns0:r>
              <ns0:t xml:space="preserve">0.03534</ns0:t>
              <ns0:rPr>
                <ns0:sz ns0:val="18"/>
              </ns0:rPr>
            </ns0:r>
          </ns0:p>
        </ns0:tc>
        <ns0:tc>
          <ns0:p>
            <ns0:pPr>
              <ns0:pStyle ns0:val="Compact"/>
              <ns0:jc ns0:val="left"/>
            </ns0:pPr>
            <ns0:r>
              <ns0:t xml:space="preserve">0.00014</ns0:t>
              <ns0:rPr>
                <ns0:sz ns0:val="18"/>
              </ns0:rPr>
            </ns0:r>
          </ns0:p>
        </ns0:tc>
      </ns0:tr>
      <ns0:tr>
        <ns0:tc>
          <ns0:p>
            <ns0:pPr>
              <ns0:pStyle ns0:val="Compact"/>
              <ns0:jc ns0:val="left"/>
            </ns0:pPr>
            <ns0:r>
              <ns0:t xml:space="preserve">1.00</ns0:t>
              <ns0:rPr>
                <ns0:sz ns0:val="18"/>
              </ns0:rPr>
            </ns0:r>
          </ns0:p>
        </ns0:tc>
        <ns0:tc>
          <ns0:p>
            <ns0:pPr>
              <ns0:pStyle ns0:val="Compact"/>
              <ns0:jc ns0:val="left"/>
            </ns0:pPr>
            <ns0:r>
              <ns0:t xml:space="preserve">0.2549</ns0:t>
              <ns0:rPr>
                <ns0:sz ns0:val="18"/>
              </ns0:rPr>
            </ns0:r>
          </ns0:p>
        </ns0:tc>
        <ns0:tc>
          <ns0:p>
            <ns0:pPr>
              <ns0:pStyle ns0:val="Compact"/>
              <ns0:jc ns0:val="left"/>
            </ns0:pPr>
            <ns0:r>
              <ns0:t xml:space="preserve">0.0 [0.0, 0.0]</ns0:t>
              <ns0:rPr>
                <ns0:sz ns0:val="18"/>
              </ns0:rPr>
            </ns0:r>
          </ns0:p>
        </ns0:tc>
        <ns0:tc>
          <ns0:p>
            <ns0:pPr>
              <ns0:pStyle ns0:val="Compact"/>
              <ns0:jc ns0:val="left"/>
            </ns0:pPr>
            <ns0:r>
              <ns0:t xml:space="preserve">0.00000</ns0:t>
              <ns0:rPr>
                <ns0:sz ns0:val="18"/>
              </ns0:rPr>
            </ns0:r>
          </ns0:p>
        </ns0:tc>
        <ns0:tc>
          <ns0:p>
            <ns0:pPr>
              <ns0:pStyle ns0:val="Compact"/>
              <ns0:jc ns0:val="left"/>
            </ns0:pPr>
            <ns0:r>
              <ns0:t xml:space="preserve">0.00000</ns0:t>
              <ns0:rPr>
                <ns0:sz ns0:val="18"/>
              </ns0:rPr>
            </ns0:r>
          </ns0:p>
        </ns0:tc>
      </ns0:tr>
    </ns0:tbl>
    <ns0:bookmarkEnd ns0:id="50"/>
    <ns0:p>
      <ns0:pPr>
        <ns0:pStyle ns0:val="BodyText"/>
      </ns0:pPr>
      <ns0:r>
        <ns0:drawing>
          <ns2:inline>
            <ns2:extent cx="5334000" cy="1740217"/>
            <ns2:effectExtent b="0" l="0" r="0" t="0"/>
            <ns2:docPr descr="image" title="" id="1" name="Picture"/>
            <ns3:graphic>
              <ns3:graphicData uri="http://schemas.openxmlformats.org/drawingml/2006/picture">
                <ns4:pic>
                  <ns4:nvPicPr>
                    <ns4:cNvPr descr="/tmp/janat_docx_to7addts/Fig_load_mixture_mechanism.png" id="0" name="Picture"/>
                    <ns4:cNvPicPr>
                      <ns3:picLocks noChangeArrowheads="1" noChangeAspect="1"/>
                    </ns4:cNvPicPr>
                  </ns4:nvPicPr>
                  <ns4:blipFill>
                    <ns3:blip ns5:embed="rId51"/>
                    <ns3:stretch>
                      <ns3:fillRect/>
                    </ns3:stretch>
                  </ns4:blipFill>
                  <ns4:spPr bwMode="auto">
                    <ns3:xfrm>
                      <ns3:off x="0" y="0"/>
                      <ns3:ext cx="5334000" cy="1740217"/>
                    </ns3:xfrm>
                    <ns3:prstGeom prst="rect">
                      <ns3:avLst/>
                    </ns3:prstGeom>
                    <ns3:noFill/>
                    <ns3:ln w="9525">
                      <ns3:noFill/>
                      <ns3:headEnd/>
                      <ns3:tailEnd/>
                    </ns3:ln>
                  </ns4:spPr>
                </ns4:pic>
              </ns3:graphicData>
            </ns3:graphic>
          </ns2:inline>
        </ns0:drawing>
      </ns0:r>
    </ns0:p>
    <ns0:p>
      <ns0:pPr>
        <ns0:pStyle ns0:val="BodyText"/>
      </ns0:pPr>
      <ns0:r>
        <ns0:t xml:space="preserve">Figure 6.</ns0:t>
      </ns0:r>
      <ns0:r>
        <ns0:t xml:space="preserve"> </ns0:t>
      </ns0:r>
      <ns0:r>
        <ns0:rPr>
          <ns0:bCs/>
          <ns0:b/>
        </ns0:rPr>
        <ns0:t xml:space="preserve">A directional limit to scalar response reduction.</ns0:t>
      </ns0:r>
      <ns0:r>
        <ns0:t xml:space="preserve"> </ns0:t>
      </ns0:r>
      <ns0:r>
        <ns0:t xml:space="preserve">Each 400 N transverse side force is progressively transferred from internal-ring to ischial patches, holding anatomy, tissues and total side force fixed. (A) Thin curves show subject translations re-extracted from exact mixtures of the FE displacement fields; thick curves show cohort medians for these translations and the two endpoint estimates. (B) Endpoint-vector alignment versus within-subject reduction at equal force redistribution. The cosine is averaged over the two sides; it is a directional diagnostic, not an independent predictor. (C) Scalar and signed-vector endpoint-combination errors. Field superposition is exact in the implemented linear system; combining extracted kinematic vectors is approximate, with its residual error measured.</ns0:t>
      </ns0:r>
      <ns0:r>
        <ns0:t xml:space="preserve"> </ns0:t>
      </ns0:r>
      <ns0:bookmarkStart ns0:id="52" ns0:name="fig:mixture"/>
      <ns0:r>
        <ns0:t xml:space="preserve">[fig:mixture]</ns0:t>
      </ns0:r>
      <ns0:bookmarkEnd ns0:id="52"/>
    </ns0:p>
    <ns0:bookmarkEnd ns0:id="53"/>
    <ns0:bookmarkStart ns0:id="56" ns0:name="X8808ce64cb618634f81a4c68b38695f3e6d8a7a"/>
    <ns0:p>
      <ns0:pPr>
        <ns0:pStyle ns0:val="Heading2"/>
      </ns0:pPr>
      <ns0:r>
        <ns0:t xml:space="preserve">3.5. Selected morphometric adjustment attenuates sex-associated translation differences</ns0:t>
      </ns0:r>
    </ns0:p>
    <ns0:p>
      <ns0:pPr>
        <ns0:pStyle ns0:val="FirstParagraph"/>
      </ns0:pPr>
      <ns0:r>
        <ns0:t xml:space="preserve">Adjustment for pelvic volume and the selected morphometric triad substantially attenuated the age-adjusted sex contrast under all three localized loads (Fig. 7). LAB1 female-minus-male translation coefficients were</ns0:t>
      </ns0:r>
      <ns0:r>
        <ns0:t xml:space="preserve"> </ns0:t>
      </ns0:r>
      <ns1:oMath>
        <ns1:r>
          <ns1:rPr>
            <ns1:sty ns1:val="p"/>
          </ns1:rPr>
          <ns1:t>+</ns1:t>
        </ns1:r>
        <ns1:r>
          <ns1:t>0.055</ns1:t>
        </ns1:r>
      </ns1:oMath>
      <ns0:r>
        <ns0:t xml:space="preserve">,</ns0:t>
      </ns0:r>
      <ns0:r>
        <ns0:t xml:space="preserve"> </ns0:t>
      </ns0:r>
      <ns1:oMath>
        <ns1:r>
          <ns1:rPr>
            <ns1:sty ns1:val="p"/>
          </ns1:rPr>
          <ns1:t>+</ns1:t>
        </ns1:r>
        <ns1:r>
          <ns1:t>0.040</ns1:t>
        </ns1:r>
      </ns1:oMath>
      <ns0:r>
        <ns0:t xml:space="preserve"> </ns0:t>
      </ns0:r>
      <ns0:r>
        <ns0:t xml:space="preserve">and</ns0:t>
      </ns0:r>
      <ns0:r>
        <ns0:t xml:space="preserve"> </ns0:t>
      </ns0:r>
      <ns1:oMath>
        <ns1:r>
          <ns1:rPr>
            <ns1:sty ns1:val="p"/>
          </ns1:rPr>
          <ns1:t>+</ns1:t>
        </ns1:r>
        <ns1:r>
          <ns1:t>0.013</ns1:t>
        </ns1:r>
      </ns1:oMath>
      <ns0:r>
        <ns0:t xml:space="preserve"> mm in M0, M1 and M2. The M2 interval was -0.005 to +0.031 mm (</ns0:t>
      </ns0:r>
      <ns1:oMath>
        <ns1:r>
          <ns1:t>p</ns1:t>
        </ns1:r>
        <ns1:r>
          <ns1:rPr>
            <ns1:sty ns1:val="p"/>
          </ns1:rPr>
          <ns1:t>=</ns1:t>
        </ns1:r>
        <ns1:r>
          <ns1:t>0.166</ns1:t>
        </ns1:r>
      </ns1:oMath>
      <ns0:r>
        <ns0:t xml:space="preserve">,</ns0:t>
      </ns0:r>
      <ns0:r>
        <ns0:t xml:space="preserve"> </ns0:t>
      </ns0:r>
      <ns1:oMath>
        <ns1:r>
          <ns1:t>q</ns1:t>
        </ns1:r>
        <ns1:r>
          <ns1:rPr>
            <ns1:sty ns1:val="p"/>
          </ns1:rPr>
          <ns1:t>=</ns1:t>
        </ns1:r>
        <ns1:r>
          <ns1:t>0.566</ns1:t>
        </ns1:r>
      </ns1:oMath>
      <ns0:r>
        <ns0:t xml:space="preserve">). LAB2 female-minus-male translation coefficients were</ns0:t>
      </ns0:r>
      <ns0:r>
        <ns0:t xml:space="preserve"> </ns0:t>
      </ns0:r>
      <ns1:oMath>
        <ns1:r>
          <ns1:rPr>
            <ns1:sty ns1:val="p"/>
          </ns1:rPr>
          <ns1:t>+</ns1:t>
        </ns1:r>
        <ns1:r>
          <ns1:t>0.071</ns1:t>
        </ns1:r>
      </ns1:oMath>
      <ns0:r>
        <ns0:t xml:space="preserve">,</ns0:t>
      </ns0:r>
      <ns0:r>
        <ns0:t xml:space="preserve"> </ns0:t>
      </ns0:r>
      <ns1:oMath>
        <ns1:r>
          <ns1:rPr>
            <ns1:sty ns1:val="p"/>
          </ns1:rPr>
          <ns1:t>+</ns1:t>
        </ns1:r>
        <ns1:r>
          <ns1:t>0.041</ns1:t>
        </ns1:r>
      </ns1:oMath>
      <ns0:r>
        <ns0:t xml:space="preserve"> </ns0:t>
      </ns0:r>
      <ns0:r>
        <ns0:t xml:space="preserve">and</ns0:t>
      </ns0:r>
      <ns0:r>
        <ns0:t xml:space="preserve"> </ns0:t>
      </ns0:r>
      <ns1:oMath>
        <ns1:r>
          <ns1:rPr>
            <ns1:sty ns1:val="p"/>
          </ns1:rPr>
          <ns1:t>−</ns1:t>
        </ns1:r>
        <ns1:r>
          <ns1:t>0.031</ns1:t>
        </ns1:r>
      </ns1:oMath>
      <ns0:r>
        <ns0:t xml:space="preserve"> mm in M0, M1 and M2. The M2 interval was -0.078 to +0.016 mm (</ns0:t>
      </ns0:r>
      <ns1:oMath>
        <ns1:r>
          <ns1:t>p</ns1:t>
        </ns1:r>
        <ns1:r>
          <ns1:rPr>
            <ns1:sty ns1:val="p"/>
          </ns1:rPr>
          <ns1:t>=</ns1:t>
        </ns1:r>
        <ns1:r>
          <ns1:t>0.192</ns1:t>
        </ns1:r>
      </ns1:oMath>
      <ns0:r>
        <ns0:t xml:space="preserve">,</ns0:t>
      </ns0:r>
      <ns0:r>
        <ns0:t xml:space="preserve"> </ns0:t>
      </ns0:r>
      <ns1:oMath>
        <ns1:r>
          <ns1:t>q</ns1:t>
        </ns1:r>
        <ns1:r>
          <ns1:rPr>
            <ns1:sty ns1:val="p"/>
          </ns1:rPr>
          <ns1:t>=</ns1:t>
        </ns1:r>
        <ns1:r>
          <ns1:t>0.566</ns1:t>
        </ns1:r>
      </ns1:oMath>
      <ns0:r>
        <ns0:t xml:space="preserve">). LAB3 female-minus-male translation coefficients were</ns0:t>
      </ns0:r>
      <ns0:r>
        <ns0:t xml:space="preserve"> </ns0:t>
      </ns0:r>
      <ns1:oMath>
        <ns1:r>
          <ns1:rPr>
            <ns1:sty ns1:val="p"/>
          </ns1:rPr>
          <ns1:t>+</ns1:t>
        </ns1:r>
        <ns1:r>
          <ns1:t>0.258</ns1:t>
        </ns1:r>
      </ns1:oMath>
      <ns0:r>
        <ns0:t xml:space="preserve">,</ns0:t>
      </ns0:r>
      <ns0:r>
        <ns0:t xml:space="preserve"> </ns0:t>
      </ns0:r>
      <ns1:oMath>
        <ns1:r>
          <ns1:rPr>
            <ns1:sty ns1:val="p"/>
          </ns1:rPr>
          <ns1:t>+</ns1:t>
        </ns1:r>
        <ns1:r>
          <ns1:t>0.212</ns1:t>
        </ns1:r>
      </ns1:oMath>
      <ns0:r>
        <ns0:t xml:space="preserve"> </ns0:t>
      </ns0:r>
      <ns0:r>
        <ns0:t xml:space="preserve">and</ns0:t>
      </ns0:r>
      <ns0:r>
        <ns0:t xml:space="preserve"> </ns0:t>
      </ns0:r>
      <ns1:oMath>
        <ns1:r>
          <ns1:rPr>
            <ns1:sty ns1:val="p"/>
          </ns1:rPr>
          <ns1:t>+</ns1:t>
        </ns1:r>
        <ns1:r>
          <ns1:t>0.002</ns1:t>
        </ns1:r>
      </ns1:oMath>
      <ns0:r>
        <ns0:t xml:space="preserve"> mm in M0, M1 and M2. The M2 interval was -0.060 to +0.064 mm (</ns0:t>
      </ns0:r>
      <ns1:oMath>
        <ns1:r>
          <ns1:t>p</ns1:t>
        </ns1:r>
        <ns1:r>
          <ns1:rPr>
            <ns1:sty ns1:val="p"/>
          </ns1:rPr>
          <ns1:t>=</ns1:t>
        </ns1:r>
        <ns1:r>
          <ns1:t>0.950</ns1:t>
        </ns1:r>
      </ns1:oMath>
      <ns0:r>
        <ns0:t xml:space="preserve">,</ns0:t>
      </ns0:r>
      <ns0:r>
        <ns0:t xml:space="preserve"> </ns0:t>
      </ns0:r>
      <ns1:oMath>
        <ns1:r>
          <ns1:t>q</ns1:t>
        </ns1:r>
        <ns1:r>
          <ns1:rPr>
            <ns1:sty ns1:val="p"/>
          </ns1:rPr>
          <ns1:t>=</ns1:t>
        </ns1:r>
        <ns1:r>
          <ns1:t>0.950</ns1:t>
        </ns1:r>
      </ns1:oMath>
      <ns0:r>
        <ns0:t xml:space="preserve">). All three fully adjusted translation intervals spanned zero. The maximum non-intercept VIF in M2 was 5.55. Fully adjusted rotation intervals also spanned zero under all three loads (Supplementary Table S3).</ns0:t>
      </ns0:r>
      <ns0:r>
        <ns0:t xml:space="preserve"> </ns0:t>
      </ns0:r>
      <ns0:r>
        <ns0:t xml:space="preserve">The exploratory subpubic-angle comparison distinguished the pooled association from those within sex groups. For LAB1, the pooled Spearman correlation between subpubic angle and translation magnitude was</ns0:t>
      </ns0:r>
      <ns0:r>
        <ns0:t xml:space="preserve"> </ns0:t>
      </ns0:r>
      <ns1:oMath>
        <ns1:sSub>
          <ns1:e>
            <ns1:r>
              <ns1:t>r</ns1:t>
            </ns1:r>
          </ns1:e>
          <ns1:sub>
            <ns1:r>
              <ns1:t>s</ns1:t>
            </ns1:r>
          </ns1:sub>
        </ns1:sSub>
        <ns1:r>
          <ns1:rPr>
            <ns1:sty ns1:val="p"/>
          </ns1:rPr>
          <ns1:t>=</ns1:t>
        </ns1:r>
        <ns1:r>
          <ns1:t>0.444</ns1:t>
        </ns1:r>
      </ns1:oMath>
      <ns0:r>
        <ns0:t xml:space="preserve"> </ns0:t>
      </ns0:r>
      <ns0:r>
        <ns0:t xml:space="preserve">(</ns0:t>
      </ns0:r>
      <ns1:oMath>
        <ns1:r>
          <ns1:t>p</ns1:t>
        </ns1:r>
        <ns1:r>
          <ns1:rPr>
            <ns1:sty ns1:val="p"/>
          </ns1:rPr>
          <ns1:t>&lt;</ns1:t>
        </ns1:r>
        <ns1:r>
          <ns1:t>0.001</ns1:t>
        </ns1:r>
      </ns1:oMath>
      <ns0:r>
        <ns0:t xml:space="preserve">). The male-only correlation was</ns0:t>
      </ns0:r>
      <ns0:r>
        <ns0:t xml:space="preserve"> </ns0:t>
      </ns0:r>
      <ns1:oMath>
        <ns1:sSub>
          <ns1:e>
            <ns1:r>
              <ns1:t>r</ns1:t>
            </ns1:r>
          </ns1:e>
          <ns1:sub>
            <ns1:r>
              <ns1:t>s</ns1:t>
            </ns1:r>
          </ns1:sub>
        </ns1:sSub>
        <ns1:r>
          <ns1:rPr>
            <ns1:sty ns1:val="p"/>
          </ns1:rPr>
          <ns1:t>=</ns1:t>
        </ns1:r>
        <ns1:r>
          <ns1:rPr>
            <ns1:sty ns1:val="p"/>
          </ns1:rPr>
          <ns1:t>−</ns1:t>
        </ns1:r>
        <ns1:r>
          <ns1:t>0.063</ns1:t>
        </ns1:r>
      </ns1:oMath>
      <ns0:r>
        <ns0:t xml:space="preserve"> </ns0:t>
      </ns0:r>
      <ns0:r>
        <ns0:t xml:space="preserve">(</ns0:t>
      </ns0:r>
      <ns1:oMath>
        <ns1:r>
          <ns1:t>p</ns1:t>
        </ns1:r>
        <ns1:r>
          <ns1:rPr>
            <ns1:sty ns1:val="p"/>
          </ns1:rPr>
          <ns1:t>=</ns1:t>
        </ns1:r>
        <ns1:r>
          <ns1:t>0.480</ns1:t>
        </ns1:r>
      </ns1:oMath>
      <ns0:r>
        <ns0:t xml:space="preserve">). The female-only correlation was</ns0:t>
      </ns0:r>
      <ns0:r>
        <ns0:t xml:space="preserve"> </ns0:t>
      </ns0:r>
      <ns1:oMath>
        <ns1:sSub>
          <ns1:e>
            <ns1:r>
              <ns1:t>r</ns1:t>
            </ns1:r>
          </ns1:e>
          <ns1:sub>
            <ns1:r>
              <ns1:t>s</ns1:t>
            </ns1:r>
          </ns1:sub>
        </ns1:sSub>
        <ns1:r>
          <ns1:rPr>
            <ns1:sty ns1:val="p"/>
          </ns1:rPr>
          <ns1:t>=</ns1:t>
        </ns1:r>
        <ns1:r>
          <ns1:rPr>
            <ns1:sty ns1:val="p"/>
          </ns1:rPr>
          <ns1:t>−</ns1:t>
        </ns1:r>
        <ns1:r>
          <ns1:t>0.145</ns1:t>
        </ns1:r>
      </ns1:oMath>
      <ns0:r>
        <ns0:t xml:space="preserve"> </ns0:t>
      </ns0:r>
      <ns0:r>
        <ns0:t xml:space="preserve">(</ns0:t>
      </ns0:r>
      <ns1:oMath>
        <ns1:r>
          <ns1:t>p</ns1:t>
        </ns1:r>
        <ns1:r>
          <ns1:rPr>
            <ns1:sty ns1:val="p"/>
          </ns1:rPr>
          <ns1:t>=</ns1:t>
        </ns1:r>
        <ns1:r>
          <ns1:t>0.077</ns1:t>
        </ns1:r>
      </ns1:oMath>
      <ns0:r>
        <ns0:t xml:space="preserve">). These exploratory correlations are uncorrected for multiplicity. Figure 7 and Supplementary Table S3 report M2 estimates for both outcomes.</ns0:t>
      </ns0:r>
    </ns0:p>
    <ns0:p>
      <ns0:pPr>
        <ns0:pStyle ns0:val="BodyText"/>
      </ns0:pPr>
      <ns0:r>
        <ns0:drawing>
          <ns2:inline>
            <ns2:extent cx="5334000" cy="3455987"/>
            <ns2:effectExtent b="0" l="0" r="0" t="0"/>
            <ns2:docPr descr="image" title="" id="1" name="Picture"/>
            <ns3:graphic>
              <ns3:graphicData uri="http://schemas.openxmlformats.org/drawingml/2006/picture">
                <ns4:pic>
                  <ns4:nvPicPr>
                    <ns4:cNvPr descr="/tmp/janat_docx_to7addts/Fig4_sex_effects_lab.png" id="0" name="Picture"/>
                    <ns4:cNvPicPr>
                      <ns3:picLocks noChangeArrowheads="1" noChangeAspect="1"/>
                    </ns4:cNvPicPr>
                  </ns4:nvPicPr>
                  <ns4:blipFill>
                    <ns3:blip ns5:embed="rId54"/>
                    <ns3:stretch>
                      <ns3:fillRect/>
                    </ns3:stretch>
                  </ns4:blipFill>
                  <ns4:spPr bwMode="auto">
                    <ns3:xfrm>
                      <ns3:off x="0" y="0"/>
                      <ns3:ext cx="5334000" cy="3455987"/>
                    </ns3:xfrm>
                    <ns3:prstGeom prst="rect">
                      <ns3:avLst/>
                    </ns3:prstGeom>
                    <ns3:noFill/>
                    <ns3:ln w="9525">
                      <ns3:noFill/>
                      <ns3:headEnd/>
                      <ns3:tailEnd/>
                    </ns3:ln>
                  </ns4:spPr>
                </ns4:pic>
              </ns3:graphicData>
            </ns3:graphic>
          </ns2:inline>
        </ns0:drawing>
      </ns0:r>
    </ns0:p>
    <ns0:p>
      <ns0:pPr>
        <ns0:pStyle ns0:val="BodyText"/>
      </ns0:pPr>
      <ns0:r>
        <ns0:t xml:space="preserve">Figure 7.</ns0:t>
      </ns0:r>
      <ns0:r>
        <ns0:t xml:space="preserve"> </ns0:t>
      </ns0:r>
      <ns0:r>
        <ns0:rPr>
          <ns0:bCs/>
          <ns0:b/>
        </ns0:rPr>
        <ns0:t xml:space="preserve">Adjustment for volume and selected dimensions attenuates sex-associated translation differences.</ns0:t>
      </ns0:r>
      <ns0:r>
        <ns0:t xml:space="preserve"> </ns0:t>
      </ns0:r>
      <ns0:r>
        <ns0:t xml:space="preserve">(A,B) M2 female-minus-male coefficients with HC3 95% CIs, shown on separate translation and rotation axes. Labels give BH-adjusted</ns0:t>
      </ns0:r>
      <ns0:r>
        <ns0:t xml:space="preserve"> </ns0:t>
      </ns0:r>
      <ns1:oMath>
        <ns1:r>
          <ns1:t>q</ns1:t>
        </ns1:r>
      </ns1:oMath>
      <ns0:r>
        <ns0:t xml:space="preserve"> </ns0:t>
      </ns0:r>
      <ns0:r>
        <ns0:t xml:space="preserve">values across six tests. (C) Translation coefficients attenuate as pelvic volume and the selected triad enter the model; connecting lines compare specifications and are not causal pathways. (D) The positive pooled LAB1 subpubic-angle association is not reproduced within either sex. All M2 intervals span zero; this does not establish equivalence. M0 adjusts for age, M1 adds volume, and M2 adds the morphometric triad.</ns0:t>
      </ns0:r>
      <ns0:r>
        <ns0:t xml:space="preserve"> </ns0:t>
      </ns0:r>
      <ns0:bookmarkStart ns0:id="55" ns0:name="fig:sexeffects"/>
      <ns0:r>
        <ns0:t xml:space="preserve">[fig:sexeffects]</ns0:t>
      </ns0:r>
      <ns0:bookmarkEnd ns0:id="55"/>
    </ns0:p>
    <ns0:bookmarkEnd ns0:id="56"/>
    <ns0:bookmarkStart ns0:id="59" ns0:name="Xc4b14b4d797b62934992b719317702f93687050"/>
    <ns0:p>
      <ns0:pPr>
        <ns0:pStyle ns0:val="Heading2"/>
      </ns0:pPr>
      <ns0:r>
        <ns0:t xml:space="preserve">3.6. Individual geometry preserves responses under standardized bone density</ns0:t>
      </ns0:r>
    </ns0:p>
    <ns0:p>
      <ns0:pPr>
        <ns0:pStyle ns0:val="FirstParagraph"/>
      </ns0:pPr>
      <ns0:r>
        <ns0:t xml:space="preserve">Preserving individual geometry while standardizing the bone-density field retained individual motion closely. Across loads, translation had a minimum geometry-preserved/full identity-line</ns0:t>
      </ns0:r>
      <ns0:r>
        <ns0:t xml:space="preserve"> </ns0:t>
      </ns0:r>
      <ns1:oMath>
        <ns1:sSup>
          <ns1:e>
            <ns1:r>
              <ns1:t>R</ns1:t>
            </ns1:r>
          </ns1:e>
          <ns1:sup>
            <ns1:r>
              <ns1:t>2</ns1:t>
            </ns1:r>
          </ns1:sup>
        </ns1:sSup>
      </ns1:oMath>
      <ns0:r>
        <ns0:t xml:space="preserve"> </ns0:t>
      </ns0:r>
      <ns0:r>
        <ns0:t xml:space="preserve">of 0.9457 and maximum RMSE of 0.0280 mm. For rotation, the corresponding values were 0.8777 and 0.0318 degrees. Across five loads and five endpoints, geometry-preserved/full variance ratios ranged from 96.43% to 120.61% (median 100.68%), compared with 0.014% to 5.789% (median 0.244%) for density-preserved/full ratios. These are model-variant comparisons, not an additive variance decomposition (Fig. 8; Supplementary Table S2). Small cohort-average errors do not bound individual errors: under SP2leg, translation absolute error had a 95th percentile of 0.0486 mm and a maximum of 0.2195 mm (Supplementary Table S11).</ns0:t>
      </ns0:r>
    </ns0:p>
    <ns0:p>
      <ns0:pPr>
        <ns0:pStyle ns0:val="BodyText"/>
      </ns0:pPr>
      <ns0:r>
        <ns0:drawing>
          <ns2:inline>
            <ns2:extent cx="5334000" cy="2222500"/>
            <ns2:effectExtent b="0" l="0" r="0" t="0"/>
            <ns2:docPr descr="image" title="" id="1" name="Picture"/>
            <ns3:graphic>
              <ns3:graphicData uri="http://schemas.openxmlformats.org/drawingml/2006/picture">
                <ns4:pic>
                  <ns4:nvPicPr>
                    <ns4:cNvPr descr="/tmp/janat_docx_to7addts/Fig5_variance_channels.png" id="0" name="Picture"/>
                    <ns4:cNvPicPr>
                      <ns3:picLocks noChangeArrowheads="1" noChangeAspect="1"/>
                    </ns4:cNvPicPr>
                  </ns4:nvPicPr>
                  <ns4:blipFill>
                    <ns3:blip ns5:embed="rId57"/>
                    <ns3:stretch>
                      <ns3:fillRect/>
                    </ns3:stretch>
                  </ns4:blipFill>
                  <ns4:spPr bwMode="auto">
                    <ns3:xfrm>
                      <ns3:off x="0" y="0"/>
                      <ns3:ext cx="5334000" cy="2222500"/>
                    </ns3:xfrm>
                    <ns3:prstGeom prst="rect">
                      <ns3:avLst/>
                    </ns3:prstGeom>
                    <ns3:noFill/>
                    <ns3:ln w="9525">
                      <ns3:noFill/>
                      <ns3:headEnd/>
                      <ns3:tailEnd/>
                    </ns3:ln>
                  </ns4:spPr>
                </ns4:pic>
              </ns3:graphicData>
            </ns3:graphic>
          </ns2:inline>
        </ns0:drawing>
      </ns0:r>
    </ns0:p>
    <ns0:p>
      <ns0:pPr>
        <ns0:pStyle ns0:val="BodyText"/>
      </ns0:pPr>
      <ns0:r>
        <ns0:t xml:space="preserve">Figure 8.</ns0:t>
      </ns0:r>
      <ns0:r>
        <ns0:t xml:space="preserve"> </ns0:t>
      </ns0:r>
      <ns0:r>
        <ns0:rPr>
          <ns0:bCs/>
          <ns0:b/>
        </ns0:rPr>
        <ns0:t xml:space="preserve">Retaining individual geometry preserves between-subject variation.</ns0:t>
      </ns0:r>
      <ns0:r>
        <ns0:t xml:space="preserve"> </ns0:t>
      </ns0:r>
      <ns0:r>
        <ns0:t xml:space="preserve">(A) Geometry-preserved / standardized-density and (B) density-preserved / template-geometry sample variances, each divided by the full-model variance, in percent. Five endpoints are shown. Color scales differ between panels and follow their actual data ranges. Values above 100% are allowed. Subject-level agreement complements these variance summaries (translation RMSE</ns0:t>
      </ns0:r>
      <ns0:r>
        <ns0:t xml:space="preserve"> </ns0:t>
      </ns0:r>
      <ns1:oMath>
        <ns1:r>
          <ns1:rPr>
            <ns1:sty ns1:val="p"/>
          </ns1:rPr>
          <ns1:t>≤</ns1:t>
        </ns1:r>
        <ns1:r>
          <ns1:t>0.0280</ns1:t>
        </ns1:r>
      </ns1:oMath>
      <ns0:r>
        <ns0:t xml:space="preserve"> mm; minimum identity-line</ns0:t>
      </ns0:r>
      <ns0:r>
        <ns0:t xml:space="preserve"> </ns0:t>
      </ns0:r>
      <ns1:oMath>
        <ns1:sSup>
          <ns1:e>
            <ns1:r>
              <ns1:t>R</ns1:t>
            </ns1:r>
          </ns1:e>
          <ns1:sup>
            <ns1:r>
              <ns1:t>2</ns1:t>
            </ns1:r>
          </ns1:sup>
        </ns1:sSup>
        <ns1:r>
          <ns1:rPr>
            <ns1:sty ns1:val="p"/>
          </ns1:rPr>
          <ns1:t>=</ns1:t>
        </ns1:r>
        <ns1:r>
          <ns1:t>0.9457</ns1:t>
        </ns1:r>
      </ns1:oMath>
      <ns0:r>
        <ns0:t xml:space="preserve">). Bootstrap intervals and agreement diagnostics are provided in Supplementary Table S2; neither panel represents variance explained by an independent causal factor.</ns0:t>
      </ns0:r>
      <ns0:r>
        <ns0:t xml:space="preserve"> </ns0:t>
      </ns0:r>
      <ns0:bookmarkStart ns0:id="58" ns0:name="fig:variance"/>
      <ns0:r>
        <ns0:t xml:space="preserve">[fig:variance]</ns0:t>
      </ns0:r>
      <ns0:bookmarkEnd ns0:id="58"/>
    </ns0:p>
    <ns0:bookmarkEnd ns0:id="59"/>
    <ns0:bookmarkStart ns0:id="60" ns0:name="Xc5d40f280b7ca09a21f77eb8fe99feb838174e1"/>
    <ns0:p>
      <ns0:pPr>
        <ns0:pStyle ns0:val="Heading2"/>
      </ns0:pPr>
      <ns0:r>
        <ns0:t xml:space="preserve">3.7. Exploratory size associations depend on anatomical adjustment</ns0:t>
      </ns0:r>
    </ns0:p>
    <ns0:p>
      <ns0:pPr>
        <ns0:pStyle ns0:val="FirstParagraph"/>
      </ns0:pPr>
      <ns0:r>
        <ns0:t xml:space="preserve">All 20 sex-specific conditional log-volume slopes were negative after adjustment for age and the triad (range</ns0:t>
      </ns0:r>
      <ns0:r>
        <ns0:t xml:space="preserve"> </ns0:t>
      </ns0:r>
      <ns1:oMath>
        <ns1:r>
          <ns1:rPr>
            <ns1:sty ns1:val="p"/>
          </ns1:rPr>
          <ns1:t>−</ns1:t>
        </ns1:r>
        <ns1:r>
          <ns1:t>1.062</ns1:t>
        </ns1:r>
      </ns1:oMath>
      <ns0:r>
        <ns0:t xml:space="preserve"> </ns0:t>
      </ns0:r>
      <ns0:r>
        <ns0:t xml:space="preserve">to</ns0:t>
      </ns0:r>
      <ns0:r>
        <ns0:t xml:space="preserve"> </ns0:t>
      </ns0:r>
      <ns1:oMath>
        <ns1:r>
          <ns1:rPr>
            <ns1:sty ns1:val="p"/>
          </ns1:rPr>
          <ns1:t>−</ns1:t>
        </ns1:r>
        <ns1:r>
          <ns1:t>0.366</ns1:t>
        </ns1:r>
      </ns1:oMath>
      <ns0:r>
        <ns0:t xml:space="preserve">, maximum slope</ns0:t>
      </ns0:r>
      <ns0:r>
        <ns0:t xml:space="preserve"> </ns0:t>
      </ns0:r>
      <ns1:oMath>
        <ns1:r>
          <ns1:t>q</ns1:t>
        </ns1:r>
        <ns1:r>
          <ns1:rPr>
            <ns1:sty ns1:val="p"/>
          </ns1:rPr>
          <ns1:t>=</ns1:t>
        </ns1:r>
        <ns1:r>
          <ns1:t>0.002</ns1:t>
        </ns1:r>
      </ns1:oMath>
      <ns0:r>
        <ns0:t xml:space="preserve">). Sex–volume interaction</ns0:t>
      </ns0:r>
      <ns0:r>
        <ns0:t xml:space="preserve"> </ns0:t>
      </ns0:r>
      <ns1:oMath>
        <ns1:r>
          <ns1:t>q</ns1:t>
        </ns1:r>
      </ns1:oMath>
      <ns0:r>
        <ns0:t xml:space="preserve"> </ns0:t>
      </ns0:r>
      <ns0:r>
        <ns0:t xml:space="preserve">values ranged from 0.343 to 0.699. In matched models omitting the triad, all slope estimates remained negative, but the maximum adjusted slope</ns0:t>
      </ns0:r>
      <ns0:r>
        <ns0:t xml:space="preserve"> </ns0:t>
      </ns0:r>
      <ns1:oMath>
        <ns1:r>
          <ns1:t>q</ns1:t>
        </ns1:r>
      </ns1:oMath>
      <ns0:r>
        <ns0:t xml:space="preserve"> </ns0:t>
      </ns0:r>
      <ns0:r>
        <ns0:t xml:space="preserve">increased to 0.291; for example, the LAB1 female translation slope changed from</ns0:t>
      </ns0:r>
      <ns0:r>
        <ns0:t xml:space="preserve"> </ns0:t>
      </ns0:r>
      <ns1:oMath>
        <ns1:r>
          <ns1:rPr>
            <ns1:sty ns1:val="p"/>
          </ns1:rPr>
          <ns1:t>−</ns1:t>
        </ns1:r>
        <ns1:r>
          <ns1:t>1.003</ns1:t>
        </ns1:r>
      </ns1:oMath>
      <ns0:r>
        <ns0:t xml:space="preserve"> </ns0:t>
      </ns0:r>
      <ns0:r>
        <ns0:t xml:space="preserve">to</ns0:t>
      </ns0:r>
      <ns0:r>
        <ns0:t xml:space="preserve"> </ns0:t>
      </ns0:r>
      <ns1:oMath>
        <ns1:r>
          <ns1:rPr>
            <ns1:sty ns1:val="p"/>
          </ns1:rPr>
          <ns1:t>−</ns1:t>
        </ns1:r>
        <ns1:r>
          <ns1:t>0.481</ns1:t>
        </ns1:r>
      </ns1:oMath>
      <ns0:r>
        <ns0:t xml:space="preserve">. These are conditional associations, not estimates from uniformly scaled geometries. The full coefficients, adjustment comparison and exploratory dimensional references are provided in Supporting Information (Tables S9 and S13; Figures S1 and S3). Pooled coefficients using subject-clustered covariance are in Table S5.</ns0:t>
      </ns0:r>
    </ns0:p>
    <ns0:bookmarkEnd ns0:id="60"/>
    <ns0:bookmarkStart ns0:id="61" ns0:name="sensitivity-of-motion-extraction"/>
    <ns0:p>
      <ns0:pPr>
        <ns0:pStyle ns0:val="Heading2"/>
      </ns0:pPr>
      <ns0:r>
        <ns0:t xml:space="preserve">3.8. Sensitivity of motion extraction</ns0:t>
      </ns0:r>
    </ns0:p>
    <ns0:p>
      <ns0:pPr>
        <ns0:pStyle ns0:val="FirstParagraph"/>
      </ns0:pPr>
      <ns0:r>
        <ns0:t xml:space="preserve">In six subjects selected at approximately evenly spaced cohort row indices (30 subject–load comparisons), replacing affine sacral correction with rigid-only correction changed bilateral rotation norms by at most 0.0229</ns0:t>
      </ns0:r>
      <ns1:oMath>
        <ns1:sSup>
          <ns1:e>
            <ns1:r>
              <ns1:t>​</ns1:t>
            </ns1:r>
          </ns1:e>
          <ns1:sup>
            <ns1:r>
              <ns1:rPr>
                <ns1:sty ns1:val="p"/>
              </ns1:rPr>
              <ns1:t>∘</ns1:t>
            </ns1:r>
          </ns1:sup>
        </ns1:sSup>
      </ns1:oMath>
      <ns0:r>
        <ns0:t xml:space="preserve"> </ns0:t>
      </ns0:r>
      <ns0:r>
        <ns0:t xml:space="preserve">and translation magnitudes by at most 0.0055 mm. This subset diagnostic does not bound errors in the remaining cohort (Supplementary Table S6).</ns0:t>
      </ns0:r>
    </ns0:p>
    <ns0:bookmarkEnd ns0:id="61"/>
    <ns0:bookmarkEnd ns0:id="62"/>
    <ns0:bookmarkStart ns0:id="68" ns0:name="discussion"/>
    <ns0:p>
      <ns0:pPr>
        <ns0:pStyle ns0:val="Heading1"/>
      </ns0:pPr>
      <ns0:r>
        <ns0:t xml:space="preserve">4. Discussion</ns0:t>
      </ns0:r>
    </ns0:p>
    <ns0:p>
      <ns0:pPr>
        <ns0:pStyle ns0:val="FirstParagraph"/>
      </ns0:pPr>
      <ns0:r>
        <ns0:t xml:space="preserve">A small anatomical description predicted a substantial part of the modeled variation in SIJ motion, but its usefulness depended on loading and on what was being predicted. Adding inlet AP diameter, interspinous width and subpubic angle to pelvic volume and age reduced held-out translation RMSE by 8–31% across five loads. Rotation gains were less uniform, with little additional information for the ischial force pair. A separate controlled redistribution experiment identified a mechanism limiting the combination of scalar responses: direction was lost when endpoint displacement vectors were reduced to magnitudes. Keeping that direction nearly recovered the re-extracted mixed-load motion. These findings distinguish prediction in new subjects under a specified load from transfer to a new combination of force application sites.</ns0:t>
      </ns0:r>
    </ns0:p>
    <ns0:bookmarkStart ns0:id="63" ns0:name="X392935db3d173c027186b1109eb4c08e2abf5e9"/>
    <ns0:p>
      <ns0:pPr>
        <ns0:pStyle ns0:val="Heading2"/>
      </ns0:pPr>
      <ns0:r>
        <ns0:t xml:space="preserve">Predictive information beyond pelvic size</ns0:t>
      </ns0:r>
    </ns0:p>
    <ns0:p>
      <ns0:pPr>
        <ns0:pStyle ns0:val="FirstParagraph"/>
      </ns0:pPr>
      <ns0:r>
        <ns0:t xml:space="preserve">The triad represents complementary aspects of the ring: inlet depth, midpelvic width and anterior arch geometry. Its improvement over an age-and-volume model shows that size alone does not capture the predictive information in these dimensions. Internal prediction</ns0:t>
      </ns0:r>
      <ns0:r>
        <ns0:t xml:space="preserve"> </ns0:t>
      </ns0:r>
      <ns1:oMath>
        <ns1:sSup>
          <ns1:e>
            <ns1:r>
              <ns1:t>R</ns1:t>
            </ns1:r>
          </ns1:e>
          <ns1:sup>
            <ns1:r>
              <ns1:t>2</ns1:t>
            </ns1:r>
          </ns1:sup>
        </ns1:sSup>
      </ns1:oMath>
      <ns0:r>
        <ns0:t xml:space="preserve"> </ns0:t>
      </ns0:r>
      <ns0:r>
        <ns0:t xml:space="preserve">reached 0.717 for bilateral-support translation and 0.691 for AP-pair rotation, while remaining near 0.31 for ischial-pair translation. No single level of anatomical sufficiency therefore applies to all load–endpoint combinations. Separate models were trained for each load; performance across the five represented loads does not establish prediction in an unseen loading configuration.</ns0:t>
      </ns0:r>
    </ns0:p>
    <ns0:p>
      <ns0:pPr>
        <ns0:pStyle ns0:val="BodyText"/>
      </ns0:pPr>
      <ns0:r>
        <ns0:t xml:space="preserve">Adding all eight measures gave no clear further gain in the paired intervals, and sex terms did not consistently improve prediction after the triad. This suggests that a compact description may be useful within the represented cohort, but does not establish an optimal or universally sufficient set of measurements. All eight variables are broad dimensions; additional local auricular geometry, joint orientation or ligament attachment measures could carry information that these benchmarks do not contain. Such extensions require independent validation. The present error estimates also condition on a retrospectively selected triad: although each regression was fitted without its held-out subjects, validation did not repeat the original anatomical selection. Performance may therefore be optimistic relative to selecting predictors anew or applying them externally.</ns0:t>
      </ns0:r>
    </ns0:p>
    <ns0:p>
      <ns0:pPr>
        <ns0:pStyle ns0:val="BodyText"/>
      </ns0:pPr>
      <ns0:r>
        <ns0:t xml:space="preserve">The contribution extends a previous population morphology study rather than introducing a new anatomical cohort. The current subjects are a subset of the CT collection used by</ns0:t>
      </ns0:r>
      <ns0:r>
        <ns0:t xml:space="preserve"> </ns0:t>
      </ns0:r>
      <ns0:r>
        <ns0:t xml:space="preserve">Henyš and Hammer (2025)</ns0:t>
      </ns0:r>
      <ns0:r>
        <ns0:t xml:space="preserve"> </ns0:t>
      </ns0:r>
      <ns0:r>
        <ns0:t xml:space="preserve">to study auricular morphology, cartilage and mechanical response. Here relative joint-motion endpoints, paired held-out prediction gains and a controlled load-mixture test quantify the information retained and lost in a reduced description of function. The theoretical contribution lies in this biologically specified test of response reduction; the underlying linear-superposition and vector-norm identities are established mechanics.</ns0:t>
      </ns0:r>
    </ns0:p>
    <ns0:bookmarkEnd ns0:id="63"/>
    <ns0:bookmarkStart ns0:id="64" ns0:name="X2f12c9785e89dac8b989b83e93ba506640f79ac"/>
    <ns0:p>
      <ns0:pPr>
        <ns0:pStyle ns0:val="Heading2"/>
      </ns0:pPr>
      <ns0:r>
        <ns0:t xml:space="preserve">A directional boundary to scalar load transfer</ns0:t>
      </ns0:r>
    </ns0:p>
    <ns0:p>
      <ns0:pPr>
        <ns0:pStyle ns0:val="FirstParagraph"/>
      </ns0:pPr>
      <ns0:r>
        <ns0:t xml:space="preserve">The controlled experiment held individual geometry and tissue properties constant while moving the same transverse force between two sites. Exact superposition of the displacement fields provided the corresponding mixed-force solution, including the common pretension once. At equal force redistribution, a scalar combination overestimated translation sufficiently to give a median within-subject reduction of 21.9% relative to that combination. A signed-vector combination had approximately 270-fold smaller RMSE. The residual vector error reflects the nonlinear extraction steps, including affine correction and fitted rigid motion, rather than a failure of FE field superposition.</ns0:t>
      </ns0:r>
    </ns0:p>
    <ns0:p>
      <ns0:pPr>
        <ns0:pStyle ns0:val="BodyText"/>
      </ns0:pPr>
      <ns0:r>
        <ns0:t xml:space="preserve">This result has a specific interpretation. Under linear mechanics, responses from different sites remain composable at the field level, but endpoint magnitudes are not sufficient statistics for that composition. Their vectors need not align; the cross-term depends on alignment and cannot be recovered from their norms alone. Thus even perfect subject-specific scalar endpoint estimates cannot generally specify the magnitude under redistributed loading. A transferable reduced model should retain directional response information or explicitly represent the load distribution. This applies the known norm identity to the mechanically constrained pelvic ring and quantifies its consequence for this SIJ endpoint.</ns0:t>
      </ns0:r>
    </ns0:p>
    <ns0:p>
      <ns0:pPr>
        <ns0:pStyle ns0:val="BodyText"/>
      </ns0:pPr>
      <ns0:r>
        <ns0:t xml:space="preserve">The test does not show that directional mismatch causes the held-out errors of the anatomical triad. Those errors concern variation among subjects under each fixed load, whereas the intervention concerns variation in loading within each subject. Nor does it identify which anatomical features determine the endpoint-vector orientations. Linking local anatomy to those directions is a further mechanistic question. Directional endpoint information is supplied by the individual FE models here, so the small vector error is an information diagnostic rather than the performance of an anatomy-only surrogate.</ns0:t>
      </ns0:r>
    </ns0:p>
    <ns0:bookmarkEnd ns0:id="64"/>
    <ns0:bookmarkStart ns0:id="65" ns0:name="Xb4ec7985c9036293fc1fc729e3de87f5041d199"/>
    <ns0:p>
      <ns0:pPr>
        <ns0:pStyle ns0:val="Heading2"/>
      </ns0:pPr>
      <ns0:r>
        <ns0:t xml:space="preserve">Sex-associated response and anatomical adjustment</ns0:t>
      </ns0:r>
    </ns0:p>
    <ns0:p>
      <ns0:pPr>
        <ns0:pStyle ns0:val="FirstParagraph"/>
      </ns0:pPr>
      <ns0:r>
        <ns0:t xml:space="preserve">Sex groups differed in both size and proportions (Table 1), consistent with anatomical evidence separating allometric proportions from pubic-arch dimorphism</ns0:t>
      </ns0:r>
      <ns0:r>
        <ns0:t xml:space="preserve"> </ns0:t>
      </ns0:r>
      <ns0:r>
        <ns0:t xml:space="preserve">(Fischer and Mitteroecker 2017)</ns0:t>
      </ns0:r>
      <ns0:r>
        <ns0:t xml:space="preserve"> </ns0:t>
      </ns0:r>
      <ns0:r>
        <ns0:t xml:space="preserve">and local auricular differences</ns0:t>
      </ns0:r>
      <ns0:r>
        <ns0:t xml:space="preserve"> </ns0:t>
      </ns0:r>
      <ns0:r>
        <ns0:t xml:space="preserve">(Nishi et al. 2020)</ns0:t>
      </ns0:r>
      <ns0:r>
        <ns0:t xml:space="preserve">. In the present model, sex is not a separate constitutive input: individualized geometry and density carry the group variation, while soft-tissue properties are shared. Attenuation of the sex coefficient after anatomical adjustment is therefore expected to some degree. The useful additional evidence is the improvement of held-out prediction when the triad is added to size, and the lack of consistent further gain from the group label.</ns0:t>
      </ns0:r>
    </ns0:p>
    <ns0:p>
      <ns0:pPr>
        <ns0:pStyle ns0:val="BodyText"/>
      </ns0:pPr>
      <ns0:r>
        <ns0:t xml:space="preserve">All fully adjusted localized-load sex intervals included zero; this does not demonstrate equivalence, mediation or the absence of biological sex effects. Pooled association models use different specifications and can retain small sex-related coefficients (Supplementary Table S5), without establishing an incremental predictive benefit. The pooled positive subpubic-angle association was also not reproduced within either sex. Group covariance, collinearity and model specification must therefore be considered when interpreting anatomical coefficients. Pregnancy-associated soft-tissue variation and other unrepresented differences cannot be inferred from these simulations.</ns0:t>
      </ns0:r>
    </ns0:p>
    <ns0:bookmarkEnd ns0:id="65"/>
    <ns0:bookmarkStart ns0:id="66" ns0:name="geometry-density-and-the-loading-context"/>
    <ns0:p>
      <ns0:pPr>
        <ns0:pStyle ns0:val="Heading2"/>
      </ns0:pPr>
      <ns0:r>
        <ns0:t xml:space="preserve">Geometry, density and the loading context</ns0:t>
      </ns0:r>
    </ns0:p>
    <ns0:p>
      <ns0:pPr>
        <ns0:pStyle ns0:val="FirstParagraph"/>
      </ns0:pPr>
      <ns0:r>
        <ns0:t xml:space="preserve">Preserving individual geometry with a standardized spatial density field retained the full-model motion much more closely than a limited set of dimensions did. Translation RMSE was at most 0.0280 mm, but individual error reached 0.2195 mm under bilateral support. Geometry-preserving simplification can therefore be useful for these endpoints at a specified error tolerance. It retains both size and complete modeled shape; the comparison does not isolate architecture independently of scale. The variance ratios are non-additive and cannot be interpreted as causal fractions attributable to geometry or density.</ns0:t>
      </ns0:r>
    </ns0:p>
    <ns0:p>
      <ns0:pPr>
        <ns0:pStyle ns0:val="BodyText"/>
      </ns0:pPr>
      <ns0:r>
        <ns0:t xml:space="preserve">This result depends on the implemented density–modulus law, including its low-density floor, and on fixed cartilage, ligament and pretension properties. Subchondral mineralization studies provide anatomical context</ns0:t>
      </ns0:r>
      <ns0:r>
        <ns0:t xml:space="preserve"> </ns0:t>
      </ns0:r>
      <ns0:r>
        <ns0:t xml:space="preserve">(Poilliot et al. 2023)</ns0:t>
      </ns0:r>
      <ns0:r>
        <ns0:t xml:space="preserve">, while the sensitivity of SIJ models to pretension</ns0:t>
      </ns0:r>
      <ns0:r>
        <ns0:t xml:space="preserve"> </ns0:t>
      </ns0:r>
      <ns0:r>
        <ns0:t xml:space="preserve">(Heyland et al. 2025)</ns0:t>
      </ns0:r>
      <ns0:r>
        <ns0:t xml:space="preserve"> </ns0:t>
      </ns0:r>
      <ns0:r>
        <ns0:t xml:space="preserve">indicates why individualized soft tissues could alter the comparison. The hierarchy observed here is specific to the modeled population and motion endpoints.</ns0:t>
      </ns0:r>
    </ns0:p>
    <ns0:p>
      <ns0:pPr>
        <ns0:pStyle ns0:val="BodyText"/>
      </ns0:pPr>
      <ns0:r>
        <ns0:t xml:space="preserve">Force distribution likewise matters beyond total force. Unilateral acetabular support amplified motion and bilateral asymmetry, and direct internal-ring versus ischial comparisons showed distinct component patterns. These results connect population variation to established accounts of SIJ load transfer</ns0:t>
      </ns0:r>
      <ns0:r>
        <ns0:t xml:space="preserve"> </ns0:t>
      </ns0:r>
      <ns0:r>
        <ns0:t xml:space="preserve">(Snijders, Vleeming, and Stoeckart 1993; Vleeming et al. 2012)</ns0:t>
      </ns0:r>
      <ns0:r>
        <ns0:t xml:space="preserve">. Exploratory negative volume coefficients support size as a useful covariate, but change with adjustment for the triad. Comparative FE interpretation requires explicit control of size and loading</ns0:t>
      </ns0:r>
      <ns0:r>
        <ns0:t xml:space="preserve"> </ns0:t>
      </ns0:r>
      <ns0:r>
        <ns0:t xml:space="preserve">(Dumont, Grosse, and Slater 2009)</ns0:t>
      </ns0:r>
      <ns0:r>
        <ns0:t xml:space="preserve">; conditional regression at fixed anatomical dimensions is not uniform geometric scaling. The dimensional reference exponents are retained only as supplementary context.</ns0:t>
      </ns0:r>
    </ns0:p>
    <ns0:bookmarkEnd ns0:id="66"/>
    <ns0:bookmarkStart ns0:id="67" ns0:name="scope-and-further-tests"/>
    <ns0:p>
      <ns0:pPr>
        <ns0:pStyle ns0:val="Heading2"/>
      </ns0:pPr>
      <ns0:r>
        <ns0:t xml:space="preserve">Scope and further tests</ns0:t>
      </ns0:r>
    </ns0:p>
    <ns0:p>
      <ns0:pPr>
        <ns0:pStyle ns0:val="FirstParagraph"/>
      </ns0:pPr>
      <ns0:r>
        <ns0:t xml:space="preserve">The analyses concern passive static mechanics with a constrained sacrum, nominal soft-tissue properties, linearized ligaments and no muscle activation or frictional contact. Absolute endpoints use the anatomical zero-displacement reference, so they include prescribed pretension. The cohort spans ages 16–91 and does not specifically represent pregnant or laboring women. SIJ point displacement is not articular gapping or birth-canal expansion; childbirth questions require signed surface separation, canal measurements and maternal–fetal contact mechanics</ns0:t>
      </ns0:r>
      <ns0:r>
        <ns0:t xml:space="preserve"> </ns0:t>
      </ns0:r>
      <ns0:r>
        <ns0:t xml:space="preserve">(Chen and Grimm 2021)</ns0:t>
      </ns0:r>
      <ns0:r>
        <ns0:t xml:space="preserve">.</ns0:t>
      </ns0:r>
    </ns0:p>
    <ns0:p>
      <ns0:pPr>
        <ns0:pStyle ns0:val="BodyText"/>
      </ns0:pPr>
      <ns0:r>
        <ns0:t xml:space="preserve">Internal statistical validation is distinct from validation against physical SIJ motion. Sampling intervals omit constitutive, interpolation and boundary-condition uncertainty. The affine correction removes sacral strain as well as drift; a rigid-only check showed small differences in six subjects, with limited cohort coverage. Earlier pelvic FE work validated cortical strains</ns0:t>
      </ns0:r>
      <ns0:r>
        <ns0:t xml:space="preserve"> </ns0:t>
      </ns0:r>
      <ns0:r>
        <ns0:t xml:space="preserve">(Anderson et al. 2005)</ns0:t>
      </ns0:r>
      <ns0:r>
        <ns0:t xml:space="preserve">, while small SIJ motions remain difficult to measure</ns0:t>
      </ns0:r>
      <ns0:r>
        <ns0:t xml:space="preserve"> </ns0:t>
      </ns0:r>
      <ns0:r>
        <ns0:t xml:space="preserve">(Goode et al. 2008)</ns0:t>
      </ns0:r>
      <ns0:r>
        <ns0:t xml:space="preserve">; the present cohort has no matched experimental kinematic validation.</ns0:t>
      </ns0:r>
    </ns0:p>
    <ns0:p>
      <ns0:pPr>
        <ns0:pStyle ns0:val="BodyText"/>
      </ns0:pPr>
      <ns0:r>
        <ns0:t xml:space="preserve">The next tests follow directly from the reduction question. An independent cohort should evaluate the fixed size and triad models under matched loads and assess the calibration of individual predictions. Matched specimens should test whether redistributing transverse forces changes signed joint-displacement directions and produces the predicted reduction relative to scalar endpoint combination. A reduced model predicting those directions from anatomy would then test whether the mechanism can be incorporated into transferable anatomical prediction. Measured cartilage, ligament and pretension variation would establish how far the current simplification survives beyond its fixed tissue assumptions.</ns0:t>
      </ns0:r>
    </ns0:p>
    <ns0:bookmarkEnd ns0:id="67"/>
    <ns0:bookmarkEnd ns0:id="68"/>
    <ns0:bookmarkStart ns0:id="69" ns0:name="conclusion"/>
    <ns0:p>
      <ns0:pPr>
        <ns0:pStyle ns0:val="Heading1"/>
      </ns0:pPr>
      <ns0:r>
        <ns0:t xml:space="preserve">5. Conclusion</ns0:t>
      </ns0:r>
    </ns0:p>
    <ns0:p>
      <ns0:pPr>
        <ns0:pStyle ns0:val="FirstParagraph"/>
      </ns0:pPr>
      <ns0:r>
        <ns0:t xml:space="preserve">Pelvic volume, age and three anatomical measures predicted a useful but load-dependent part of population SIJ motion in internal subject-held-out validation. The triad improved translation prediction beyond size in all five loads, while its contribution to rotation varied. A controlled within-subject experiment identified a separate limit: scalar endpoint magnitudes lost directional information needed to combine responses when the same forces were redistributed between application sites. Retaining signed vectors nearly recovered the mixed-load response. These findings support compact anatomical prediction under specified loads and motivate directional response models for load transfer. Generalization requires independent anatomy and experimental kinematic validation, including variation in soft-tissue properties.</ns0:t>
      </ns0:r>
    </ns0:p>
    <ns0:bookmarkEnd ns0:id="69"/>
    <ns0:bookmarkStart ns0:id="78" ns0:name="app:mathematical_formulation"/>
    <ns0:p>
      <ns0:pPr>
        <ns0:pStyle ns0:val="Heading1"/>
      </ns0:pPr>
      <ns0:r>
        <ns0:t xml:space="preserve">Appendix A. Mathematical formulation and verification</ns0:t>
      </ns0:r>
    </ns0:p>
    <ns0:bookmarkStart ns0:id="70" ns0:name="app:implementation_checks"/>
    <ns0:p>
      <ns0:pPr>
        <ns0:pStyle ns0:val="Heading2"/>
      </ns0:pPr>
      <ns0:r>
        <ns0:t xml:space="preserve">A.1. Implementation and correspondence checks</ns0:t>
      </ns0:r>
    </ns0:p>
    <ns0:p>
      <ns0:pPr>
        <ns0:pStyle ns0:val="FirstParagraph"/>
      </ns0:pPr>
      <ns0:r>
        <ns0:t xml:space="preserve">Subject landmarks were obtained by thin-plate-spline RBF interpolation of template-to-subject displacements (10 neighbors; smoothing parameter 100). These morphometric interpolation settings differ from those used for the FE surface reconstruction. Repeated calculation of the eight measures for all 278 subjects agreed within</ns0:t>
      </ns0:r>
      <ns0:r>
        <ns0:t xml:space="preserve"> </ns0:t>
      </ns0:r>
      <ns1:oMath>
        <ns1:sSup>
          <ns1:e>
            <ns1:r>
              <ns1:t>10</ns1:t>
            </ns1:r>
          </ns1:e>
          <ns1:sup>
            <ns1:r>
              <ns1:rPr>
                <ns1:sty ns1:val="p"/>
              </ns1:rPr>
              <ns1:t>−</ns1:t>
            </ns1:r>
            <ns1:r>
              <ns1:t>8</ns1:t>
            </ns1:r>
          </ns1:sup>
        </ns1:sSup>
      </ns1:oMath>
      <ns0:r>
        <ns0:t xml:space="preserve"> mm or degrees.</ns0:t>
      </ns0:r>
    </ns0:p>
    <ns0:p>
      <ns0:pPr>
        <ns0:pStyle ns0:val="BodyText"/>
      </ns0:pPr>
      <ns0:r>
        <ns0:t xml:space="preserve">Reference-to-reference checks were below</ns0:t>
      </ns0:r>
      <ns0:r>
        <ns0:t xml:space="preserve"> </ns0:t>
      </ns0:r>
      <ns1:oMath>
        <ns1:sSup>
          <ns1:e>
            <ns1:r>
              <ns1:t>10</ns1:t>
            </ns1:r>
          </ns1:e>
          <ns1:sup>
            <ns1:r>
              <ns1:rPr>
                <ns1:sty ns1:val="p"/>
              </ns1:rPr>
              <ns1:t>−</ns1:t>
            </ns1:r>
            <ns1:r>
              <ns1:t>8</ns1:t>
            </ns1:r>
          </ns1:sup>
        </ns1:sSup>
      </ns1:oMath>
      <ns0:r>
        <ns0:t xml:space="preserve"> </ns0:t>
      </ns0:r>
      <ns0:r>
        <ns0:t xml:space="preserve">in degrees and mm for every subject. Node ordering was checked against the reference displacement fields for all five load cases. Geometry and displacement were evaluated with the same RBF parameters used for surface reconstruction. Subject pairing across the three variants follows the common row indices of the geometry and density inputs. This pairing was checked for consistency of row ordering; an independent identifier-based check was not available.</ns0:t>
      </ns0:r>
    </ns0:p>
    <ns0:p>
      <ns0:pPr>
        <ns0:pStyle ns0:val="BodyText"/>
      </ns0:pPr>
      <ns0:r>
        <ns0:t xml:space="preserve">The FE displacement and geometry spaces were continuous vector P1 on linear tetrahedra, with DG0 material fields and integration degree 6. The linear system used PETSc</ns0:t>
      </ns0:r>
      <ns0:r>
        <ns0:t xml:space="preserve"> </ns0:t>
      </ns0:r>
      <ns0:r>
        <ns0:rPr>
          <ns0:rStyle ns0:val="VerbatimChar"/>
        </ns0:rPr>
        <ns0:t xml:space="preserve">KSPPREONLY</ns0:t>
      </ns0:r>
      <ns0:r>
        <ns0:t xml:space="preserve">,</ns0:t>
      </ns0:r>
      <ns0:r>
        <ns0:t xml:space="preserve"> </ns0:t>
      </ns0:r>
      <ns0:r>
        <ns0:rPr>
          <ns0:rStyle ns0:val="VerbatimChar"/>
        </ns0:rPr>
        <ns0:t xml:space="preserve">PCLU</ns0:t>
      </ns0:r>
      <ns0:r>
        <ns0:t xml:space="preserve"> </ns0:t>
      </ns0:r>
      <ns0:r>
        <ns0:t xml:space="preserve">and MUMPS, with option prefix</ns0:t>
      </ns0:r>
      <ns0:r>
        <ns0:t xml:space="preserve"> </ns0:t>
      </ns0:r>
      <ns0:r>
        <ns0:rPr>
          <ns0:rStyle ns0:val="VerbatimChar"/>
        </ns0:rPr>
        <ns0:t xml:space="preserve">elas_</ns0:t>
      </ns0:r>
      <ns0:r>
        <ns0:t xml:space="preserve">. Configured relative and absolute tolerances were</ns0:t>
      </ns0:r>
      <ns0:r>
        <ns0:t xml:space="preserve"> </ns0:t>
      </ns0:r>
      <ns1:oMath>
        <ns1:sSup>
          <ns1:e>
            <ns1:r>
              <ns1:t>10</ns1:t>
            </ns1:r>
          </ns1:e>
          <ns1:sup>
            <ns1:r>
              <ns1:rPr>
                <ns1:sty ns1:val="p"/>
              </ns1:rPr>
              <ns1:t>−</ns1:t>
            </ns1:r>
            <ns1:r>
              <ns1:t>10</ns1:t>
            </ns1:r>
          </ns1:sup>
        </ns1:sSup>
      </ns1:oMath>
      <ns0:r>
        <ns0:t xml:space="preserve"> </ns0:t>
      </ns0:r>
      <ns0:r>
        <ns0:t xml:space="preserve">and</ns0:t>
      </ns0:r>
      <ns0:r>
        <ns0:t xml:space="preserve"> </ns0:t>
      </ns0:r>
      <ns1:oMath>
        <ns1:sSup>
          <ns1:e>
            <ns1:r>
              <ns1:t>10</ns1:t>
            </ns1:r>
          </ns1:e>
          <ns1:sup>
            <ns1:r>
              <ns1:rPr>
                <ns1:sty ns1:val="p"/>
              </ns1:rPr>
              <ns1:t>−</ns1:t>
            </ns1:r>
            <ns1:r>
              <ns1:t>12</ns1:t>
            </ns1:r>
          </ns1:sup>
        </ns1:sSup>
      </ns1:oMath>
      <ns0:r>
        <ns0:t xml:space="preserve">, with an iteration limit of 1000; the selected direct factorization does not use an iterative residual stopping test. The implementation records PETSc’s convergence reason. RBF transfer of the geometry displacement to FE nodes used 10 neighbors and smoothing 50; transfer from FE nodes to the measurement geometry used 10 neighbors and zero smoothing.</ns0:t>
      </ns0:r>
    </ns0:p>
    <ns0:bookmarkEnd ns0:id="70"/>
    <ns0:bookmarkStart ns0:id="71" ns0:name="a.2.-reference-mapping-and-equilibrium"/>
    <ns0:p>
      <ns0:pPr>
        <ns0:pStyle ns0:val="Heading2"/>
      </ns0:pPr>
      <ns0:r>
        <ns0:t xml:space="preserve">A.2. Reference mapping and equilibrium</ns0:t>
      </ns0:r>
    </ns0:p>
    <ns0:p>
      <ns0:pPr>
        <ns0:pStyle ns0:val="FirstParagraph"/>
      </ns0:pPr>
      <ns0:r>
        <ns0:t xml:space="preserve">Let</ns0:t>
      </ns0:r>
      <ns0:r>
        <ns0:t xml:space="preserve"> </ns0:t>
      </ns0:r>
      <ns1:oMath>
        <ns1:sSub>
          <ns1:e>
            <ns1:r>
              <ns1:t>Ω</ns1:t>
            </ns1:r>
          </ns1:e>
          <ns1:sub>
            <ns1:r>
              <ns1:t>0</ns1:t>
            </ns1:r>
          </ns1:sub>
        </ns1:sSub>
      </ns1:oMath>
      <ns0:r>
        <ns0:t xml:space="preserve"> </ns0:t>
      </ns0:r>
      <ns0:r>
        <ns0:t xml:space="preserve">be the FE template and</ns0:t>
      </ns0:r>
      <ns0:r>
        <ns0:t xml:space="preserve"> </ns0:t>
      </ns0:r>
      <ns1:oMath>
        <ns1:sSub>
          <ns1:e>
            <ns1:r>
              <ns1:rPr>
                <ns1:sty ns1:val="b"/>
              </ns1:rPr>
              <ns1:t>χ</ns1:t>
            </ns1:r>
          </ns1:e>
          <ns1:sub>
            <ns1:r>
              <ns1:t>i</ns1:t>
            </ns1:r>
          </ns1:sub>
        </ns1:sSub>
        <ns1:r>
          <ns1:rPr>
            <ns1:sty ns1:val="p"/>
          </ns1:rPr>
          <ns1:t>(</ns1:t>
        </ns1:r>
        <ns1:r>
          <ns1:rPr>
            <ns1:sty ns1:val="b"/>
          </ns1:rPr>
          <ns1:t>X</ns1:t>
        </ns1:r>
        <ns1:r>
          <ns1:rPr>
            <ns1:sty ns1:val="p"/>
          </ns1:rPr>
          <ns1:t>)</ns1:t>
        </ns1:r>
        <ns1:r>
          <ns1:rPr>
            <ns1:sty ns1:val="p"/>
          </ns1:rPr>
          <ns1:t>=</ns1:t>
        </ns1:r>
        <ns1:r>
          <ns1:rPr>
            <ns1:sty ns1:val="b"/>
          </ns1:rPr>
          <ns1:t>X</ns1:t>
        </ns1:r>
        <ns1:r>
          <ns1:rPr>
            <ns1:sty ns1:val="p"/>
          </ns1:rPr>
          <ns1:t>+</ns1:t>
        </ns1:r>
        <ns1:sSub>
          <ns1:e>
            <ns1:r>
              <ns1:rPr>
                <ns1:sty ns1:val="b"/>
              </ns1:rPr>
              <ns1:t>ϕ</ns1:t>
            </ns1:r>
          </ns1:e>
          <ns1:sub>
            <ns1:r>
              <ns1:t>i</ns1:t>
            </ns1:r>
          </ns1:sub>
        </ns1:sSub>
        <ns1:r>
          <ns1:rPr>
            <ns1:sty ns1:val="p"/>
          </ns1:rPr>
          <ns1:t>(</ns1:t>
        </ns1:r>
        <ns1:r>
          <ns1:rPr>
            <ns1:sty ns1:val="b"/>
          </ns1:rPr>
          <ns1:t>X</ns1:t>
        </ns1:r>
        <ns1:r>
          <ns1:rPr>
            <ns1:sty ns1:val="p"/>
          </ns1:rPr>
          <ns1:t>)</ns1:t>
        </ns1:r>
      </ns1:oMath>
      <ns0:r>
        <ns0:t xml:space="preserve"> </ns0:t>
      </ns0:r>
      <ns0:r>
        <ns0:t xml:space="preserve">the unloaded subject geometry. The anatomical registration is bijective; RBF interpolation represents its established displacement map on the FE template. The anatomical mapping and the elastic displacement are different fields. With</ns0:t>
      </ns0:r>
      <ns0:r>
        <ns0:t xml:space="preserve"> </ns0:t>
      </ns0:r>
      <ns1:oMath>
        <ns1:sSub>
          <ns1:e>
            <ns1:r>
              <ns1:rPr>
                <ns1:sty ns1:val="b"/>
              </ns1:rPr>
              <ns1:t>F</ns1:t>
            </ns1:r>
          </ns1:e>
          <ns1:sub>
            <ns1:r>
              <ns1:t>i</ns1:t>
            </ns1:r>
          </ns1:sub>
        </ns1:sSub>
        <ns1:r>
          <ns1:rPr>
            <ns1:sty ns1:val="p"/>
          </ns1:rPr>
          <ns1:t>=</ns1:t>
        </ns1:r>
        <ns1:r>
          <ns1:rPr>
            <ns1:sty ns1:val="b"/>
          </ns1:rPr>
          <ns1:t>I</ns1:t>
        </ns1:r>
        <ns1:r>
          <ns1:rPr>
            <ns1:sty ns1:val="p"/>
          </ns1:rPr>
          <ns1:t>+</ns1:t>
        </ns1:r>
        <ns1:sSub>
          <ns1:e>
            <ns1:r>
              <ns1:rPr>
                <ns1:sty ns1:val="p"/>
              </ns1:rPr>
              <ns1:t>∇</ns1:t>
            </ns1:r>
          </ns1:e>
          <ns1:sub>
            <ns1:r>
              <ns1:t>X</ns1:t>
            </ns1:r>
          </ns1:sub>
        </ns1:sSub>
        <ns1:sSub>
          <ns1:e>
            <ns1:r>
              <ns1:rPr>
                <ns1:sty ns1:val="b"/>
              </ns1:rPr>
              <ns1:t>ϕ</ns1:t>
            </ns1:r>
          </ns1:e>
          <ns1:sub>
            <ns1:r>
              <ns1:t>i</ns1:t>
            </ns1:r>
          </ns1:sub>
        </ns1:sSub>
      </ns1:oMath>
      <ns0:r>
        <ns0:t xml:space="preserve"> </ns0:t>
      </ns0:r>
      <ns0:r>
        <ns0:t xml:space="preserve">and</ns0:t>
      </ns0:r>
      <ns0:r>
        <ns0:t xml:space="preserve"> </ns0:t>
      </ns0:r>
      <ns1:oMath>
        <ns1:sSub>
          <ns1:e>
            <ns1:r>
              <ns1:t>J</ns1:t>
            </ns1:r>
          </ns1:e>
          <ns1:sub>
            <ns1:r>
              <ns1:t>i</ns1:t>
            </ns1:r>
          </ns1:sub>
        </ns1:sSub>
        <ns1:r>
          <ns1:rPr>
            <ns1:sty ns1:val="p"/>
          </ns1:rPr>
          <ns1:t>=</ns1:t>
        </ns1:r>
        <ns1:r>
          <ns1:rPr>
            <ns1:nor/>
            <ns1:sty ns1:val="p"/>
          </ns1:rPr>
          <ns1:t>det</ns1:t>
        </ns1:r>
        <ns1:sSub>
          <ns1:e>
            <ns1:r>
              <ns1:rPr>
                <ns1:sty ns1:val="b"/>
              </ns1:rPr>
              <ns1:t>F</ns1:t>
            </ns1:r>
          </ns1:e>
          <ns1:sub>
            <ns1:r>
              <ns1:t>i</ns1:t>
            </ns1:r>
          </ns1:sub>
        </ns1:sSub>
      </ns1:oMath>
      <ns0:r>
        <ns0:t xml:space="preserve">, the physical small-strain tensor is</ns0:t>
      </ns0:r>
    </ns0:p>
    <ns0:p>
      <ns0:pPr>
        <ns0:pStyle ns0:val="BodyText"/>
      </ns0:pPr>
      <ns1:oMathPara>
        <ns1:oMathParaPr>
          <ns1:jc ns1:val="center"/>
        </ns1:oMathParaPr>
        <ns1:oMath>
          <ns1:sSub>
            <ns1:e>
              <ns1:r>
                <ns1:rPr>
                  <ns1:sty ns1:val="b"/>
                </ns1:rPr>
                <ns1:t>ε</ns1:t>
              </ns1:r>
            </ns1:e>
            <ns1:sub>
              <ns1:r>
                <ns1:t>i</ns1:t>
              </ns1:r>
            </ns1:sub>
          </ns1:sSub>
          <ns1:r>
            <ns1:rPr>
              <ns1:sty ns1:val="p"/>
            </ns1:rPr>
            <ns1:t>(</ns1:t>
          </ns1:r>
          <ns1:r>
            <ns1:rPr>
              <ns1:sty ns1:val="b"/>
            </ns1:rPr>
            <ns1:t>u</ns1:t>
          </ns1:r>
          <ns1:r>
            <ns1:rPr>
              <ns1:sty ns1:val="p"/>
            </ns1:rPr>
            <ns1:t>)</ns1:t>
          </ns1:r>
          <ns1:r>
            <ns1:rPr>
              <ns1:sty ns1:val="p"/>
            </ns1:rPr>
            <ns1:t>=</ns1:t>
          </ns1:r>
          <ns1:r>
            <ns1:rPr>
              <ns1:nor/>
              <ns1:sty ns1:val="p"/>
            </ns1:rPr>
            <ns1:t>sym</ns1:t>
          </ns1:r>
          <ns1:r>
            <ns1:rPr>
              <ns1:sty ns1:val="p"/>
            </ns1:rPr>
            <ns1:t>(</ns1:t>
          </ns1:r>
          <ns1:sSub>
            <ns1:e>
              <ns1:r>
                <ns1:rPr>
                  <ns1:sty ns1:val="p"/>
                </ns1:rPr>
                <ns1:t>∇</ns1:t>
              </ns1:r>
            </ns1:e>
            <ns1:sub>
              <ns1:r>
                <ns1:t>X</ns1:t>
              </ns1:r>
            </ns1:sub>
          </ns1:sSub>
          <ns1:r>
            <ns1:rPr>
              <ns1:sty ns1:val="b"/>
            </ns1:rPr>
            <ns1:t>u</ns1:t>
          </ns1:r>
          <ns1:r>
            <ns1:t> </ns1:t>
          </ns1:r>
          <ns1:sSubSup>
            <ns1:e>
              <ns1:r>
                <ns1:rPr>
                  <ns1:sty ns1:val="b"/>
                </ns1:rPr>
                <ns1:t>F</ns1:t>
              </ns1:r>
            </ns1:e>
            <ns1:sub>
              <ns1:r>
                <ns1:t>i</ns1:t>
              </ns1:r>
            </ns1:sub>
            <ns1:sup>
              <ns1:r>
                <ns1:rPr>
                  <ns1:sty ns1:val="p"/>
                </ns1:rPr>
                <ns1:t>−</ns1:t>
              </ns1:r>
              <ns1:r>
                <ns1:t>1</ns1:t>
              </ns1:r>
            </ns1:sup>
          </ns1:sSubSup>
          <ns1:r>
            <ns1:rPr>
              <ns1:sty ns1:val="p"/>
            </ns1:rPr>
            <ns1:t>)</ns1:t>
          </ns1:r>
          <ns1:r>
            <ns1:rPr>
              <ns1:sty ns1:val="p"/>
            </ns1:rPr>
            <ns1:t>.</ns1:t>
          </ns1:r>
        </ns1:oMath>
      </ns1:oMathPara>
    </ns0:p>
    <ns0:p>
      <ns0:pPr>
        <ns0:pStyle ns0:val="FirstParagraph"/>
      </ns0:pPr>
      <ns0:r>
        <ns0:t xml:space="preserve">Here</ns0:t>
      </ns0:r>
      <ns0:r>
        <ns0:t xml:space="preserve"> </ns0:t>
      </ns0:r>
      <ns1:oMath>
        <ns1:sSub>
          <ns1:e>
            <ns1:r>
              <ns1:rPr>
                <ns1:sty ns1:val="p"/>
              </ns1:rPr>
              <ns1:t>∇</ns1:t>
            </ns1:r>
          </ns1:e>
          <ns1:sub>
            <ns1:r>
              <ns1:t>X</ns1:t>
            </ns1:r>
          </ns1:sub>
        </ns1:sSub>
        <ns1:r>
          <ns1:rPr>
            <ns1:sty ns1:val="b"/>
          </ns1:rPr>
          <ns1:t>u</ns1:t>
        </ns1:r>
      </ns1:oMath>
      <ns0:r>
        <ns0:t xml:space="preserve"> </ns0:t>
      </ns0:r>
      <ns0:r>
        <ns0:t xml:space="preserve">differentiates the displacement represented on the template;</ns0:t>
      </ns0:r>
      <ns0:r>
        <ns0:t xml:space="preserve"> </ns0:t>
      </ns0:r>
      <ns1:oMath>
        <ns1:r>
          <ns1:rPr>
            <ns1:nor/>
            <ns1:sty ns1:val="p"/>
          </ns1:rPr>
          <ns1:t>sym</ns1:t>
        </ns1:r>
        <ns1:r>
          <ns1:rPr>
            <ns1:sty ns1:val="b"/>
          </ns1:rPr>
          <ns1:t>B</ns1:t>
        </ns1:r>
        <ns1:r>
          <ns1:rPr>
            <ns1:sty ns1:val="p"/>
          </ns1:rPr>
          <ns1:t>=</ns1:t>
        </ns1:r>
        <ns1:r>
          <ns1:rPr>
            <ns1:sty ns1:val="p"/>
          </ns1:rPr>
          <ns1:t>(</ns1:t>
        </ns1:r>
        <ns1:r>
          <ns1:rPr>
            <ns1:sty ns1:val="b"/>
          </ns1:rPr>
          <ns1:t>B</ns1:t>
        </ns1:r>
        <ns1:r>
          <ns1:rPr>
            <ns1:sty ns1:val="p"/>
          </ns1:rPr>
          <ns1:t>+</ns1:t>
        </ns1:r>
        <ns1:sSup>
          <ns1:e>
            <ns1:r>
              <ns1:rPr>
                <ns1:sty ns1:val="b"/>
              </ns1:rPr>
              <ns1:t>B</ns1:t>
            </ns1:r>
          </ns1:e>
          <ns1:sup>
            <ns1:r>
              <ns1:t>T</ns1:t>
            </ns1:r>
          </ns1:sup>
        </ns1:sSup>
        <ns1:r>
          <ns1:rPr>
            <ns1:sty ns1:val="p"/>
          </ns1:rPr>
          <ns1:t>)</ns1:t>
        </ns1:r>
        <ns1:r>
          <ns1:rPr>
            <ns1:sty ns1:val="p"/>
          </ns1:rPr>
          <ns1:t>/</ns1:t>
        </ns1:r>
        <ns1:r>
          <ns1:t>2</ns1:t>
        </ns1:r>
      </ns1:oMath>
      <ns0:r>
        <ns0:t xml:space="preserve">. Volume integration satisfies</ns0:t>
      </ns0:r>
      <ns0:r>
        <ns0:t xml:space="preserve"> </ns0:t>
      </ns0:r>
      <ns1:oMath>
        <ns1:r>
          <ns1:t>d</ns1:t>
        </ns1:r>
        <ns1:sSub>
          <ns1:e>
            <ns1:r>
              <ns1:t>V</ns1:t>
            </ns1:r>
          </ns1:e>
          <ns1:sub>
            <ns1:r>
              <ns1:t>i</ns1:t>
            </ns1:r>
          </ns1:sub>
        </ns1:sSub>
        <ns1:r>
          <ns1:rPr>
            <ns1:sty ns1:val="p"/>
          </ns1:rPr>
          <ns1:t>=</ns1:t>
        </ns1:r>
        <ns1:sSub>
          <ns1:e>
            <ns1:r>
              <ns1:t>J</ns1:t>
            </ns1:r>
          </ns1:e>
          <ns1:sub>
            <ns1:r>
              <ns1:t>i</ns1:t>
            </ns1:r>
          </ns1:sub>
        </ns1:sSub>
        <ns1:r>
          <ns1:t> </ns1:t>
        </ns1:r>
        <ns1:r>
          <ns1:t>d</ns1:t>
        </ns1:r>
        <ns1:sSub>
          <ns1:e>
            <ns1:r>
              <ns1:t>V</ns1:t>
            </ns1:r>
          </ns1:e>
          <ns1:sub>
            <ns1:r>
              <ns1:t>0</ns1:t>
            </ns1:r>
          </ns1:sub>
        </ns1:sSub>
      </ns1:oMath>
      <ns0:r>
        <ns0:t xml:space="preserve">. Thus, for example, the elastic term on the template is</ns0:t>
      </ns0:r>
      <ns0:r>
        <ns0:t xml:space="preserve"> </ns0:t>
      </ns0:r>
      <ns1:oMath>
        <ns1:nary>
          <ns1:naryPr>
            <ns1:chr ns1:val="∫"/>
            <ns1:limLoc ns1:val="subSup"/>
            <ns1:subHide ns1:val="0"/>
            <ns1:supHide ns1:val="1"/>
          </ns1:naryPr>
          <ns1:sub>
            <ns1:sSub>
              <ns1:e>
                <ns1:r>
                  <ns1:t>Ω</ns1:t>
                </ns1:r>
              </ns1:e>
              <ns1:sub>
                <ns1:r>
                  <ns1:t>0</ns1:t>
                </ns1:r>
              </ns1:sub>
            </ns1:sSub>
          </ns1:sub>
          <ns1:sup>
            <ns1:r>
              <ns1:t>​</ns1:t>
            </ns1:r>
          </ns1:sup>
          <ns1:e>
            <ns1:r>
              <ns1:rPr>
                <ns1:sty ns1:val="p"/>
              </ns1:rPr>
              <ns1:t>(</ns1:t>
            </ns1:r>
          </ns1:e>
        </ns1:nary>
        <ns1:sSub>
          <ns1:e>
            <ns1:r>
              <ns1:rPr>
                <ns1:sty ns1:val="b"/>
              </ns1:rPr>
              <ns1:t>C</ns1:t>
            </ns1:r>
          </ns1:e>
          <ns1:sub>
            <ns1:r>
              <ns1:t>i</ns1:t>
            </ns1:r>
          </ns1:sub>
        </ns1:sSub>
        <ns1:sSub>
          <ns1:e>
            <ns1:r>
              <ns1:rPr>
                <ns1:sty ns1:val="b"/>
              </ns1:rPr>
              <ns1:t>ε</ns1:t>
            </ns1:r>
          </ns1:e>
          <ns1:sub>
            <ns1:r>
              <ns1:t>i</ns1:t>
            </ns1:r>
          </ns1:sub>
        </ns1:sSub>
        <ns1:r>
          <ns1:rPr>
            <ns1:sty ns1:val="p"/>
          </ns1:rPr>
          <ns1:t>(</ns1:t>
        </ns1:r>
        <ns1:r>
          <ns1:rPr>
            <ns1:sty ns1:val="b"/>
          </ns1:rPr>
          <ns1:t>u</ns1:t>
        </ns1:r>
        <ns1:r>
          <ns1:rPr>
            <ns1:sty ns1:val="p"/>
          </ns1:rPr>
          <ns1:t>)</ns1:t>
        </ns1:r>
        <ns1:r>
          <ns1:rPr>
            <ns1:sty ns1:val="p"/>
          </ns1:rPr>
          <ns1:t>)</ns1:t>
        </ns1:r>
        <ns1:r>
          <ns1:rPr>
            <ns1:sty ns1:val="p"/>
          </ns1:rPr>
          <ns1:t>:</ns1:t>
        </ns1:r>
        <ns1:sSub>
          <ns1:e>
            <ns1:r>
              <ns1:rPr>
                <ns1:sty ns1:val="b"/>
              </ns1:rPr>
              <ns1:t>ε</ns1:t>
            </ns1:r>
          </ns1:e>
          <ns1:sub>
            <ns1:r>
              <ns1:t>i</ns1:t>
            </ns1:r>
          </ns1:sub>
        </ns1:sSub>
        <ns1:r>
          <ns1:rPr>
            <ns1:sty ns1:val="p"/>
          </ns1:rPr>
          <ns1:t>(</ns1:t>
        </ns1:r>
        <ns1:r>
          <ns1:rPr>
            <ns1:sty ns1:val="b"/>
          </ns1:rPr>
          <ns1:t>v</ns1:t>
        </ns1:r>
        <ns1:r>
          <ns1:rPr>
            <ns1:sty ns1:val="p"/>
          </ns1:rPr>
          <ns1:t>)</ns1:t>
        </ns1:r>
        <ns1:r>
          <ns1:t> </ns1:t>
        </ns1:r>
        <ns1:sSub>
          <ns1:e>
            <ns1:r>
              <ns1:t>J</ns1:t>
            </ns1:r>
          </ns1:e>
          <ns1:sub>
            <ns1:r>
              <ns1:t>i</ns1:t>
            </ns1:r>
          </ns1:sub>
        </ns1:sSub>
        <ns1:r>
          <ns1:t> </ns1:t>
        </ns1:r>
        <ns1:r>
          <ns1:t>d</ns1:t>
        </ns1:r>
        <ns1:sSub>
          <ns1:e>
            <ns1:r>
              <ns1:t>V</ns1:t>
            </ns1:r>
          </ns1:e>
          <ns1:sub>
            <ns1:r>
              <ns1:t>0</ns1:t>
            </ns1:r>
          </ns1:sub>
        </ns1:sSub>
      </ns1:oMath>
      <ns0:r>
        <ns0:t xml:space="preserve">. For physical coordinates in mm, find the discrete displacement</ns0:t>
      </ns0:r>
      <ns0:r>
        <ns0:t xml:space="preserve"> </ns0:t>
      </ns0:r>
      <ns1:oMath>
        <ns1:sSub>
          <ns1:e>
            <ns1:r>
              <ns1:rPr>
                <ns1:sty ns1:val="b"/>
              </ns1:rPr>
              <ns1:t>u</ns1:t>
            </ns1:r>
          </ns1:e>
          <ns1:sub>
            <ns1:r>
              <ns1:t>h</ns1:t>
            </ns1:r>
          </ns1:sub>
        </ns1:sSub>
      </ns1:oMath>
      <ns0:r>
        <ns0:t xml:space="preserve"> </ns0:t>
      </ns0:r>
      <ns0:r>
        <ns0:t xml:space="preserve">such that, for every test displacement</ns0:t>
      </ns0:r>
      <ns0:r>
        <ns0:t xml:space="preserve"> </ns0:t>
      </ns0:r>
      <ns1:oMath>
        <ns1:sSub>
          <ns1:e>
            <ns1:r>
              <ns1:rPr>
                <ns1:sty ns1:val="b"/>
              </ns1:rPr>
              <ns1:t>v</ns1:t>
            </ns1:r>
          </ns1:e>
          <ns1:sub>
            <ns1:r>
              <ns1:t>h</ns1:t>
            </ns1:r>
          </ns1:sub>
        </ns1:sSub>
      </ns1:oMath>
      <ns0:r>
        <ns0:t xml:space="preserve">, the weak problem is</ns0:t>
      </ns0:r>
    </ns0:p>
    <ns0:p>
      <ns0:pPr>
        <ns0:pStyle ns0:val="BodyText"/>
      </ns0:pPr>
      <ns1:oMathPara>
        <ns1:oMathParaPr>
          <ns1:jc ns1:val="center"/>
        </ns1:oMathParaPr>
        <ns1:oMath>
          <ns1:nary>
            <ns1:naryPr>
              <ns1:chr ns1:val="∫"/>
              <ns1:limLoc ns1:val="subSup"/>
              <ns1:subHide ns1:val="0"/>
              <ns1:supHide ns1:val="1"/>
            </ns1:naryPr>
            <ns1:sub>
              <ns1:sSub>
                <ns1:e>
                  <ns1:r>
                    <ns1:t>Ω</ns1:t>
                  </ns1:r>
                </ns1:e>
                <ns1:sub>
                  <ns1:r>
                    <ns1:t>i</ns1:t>
                  </ns1:r>
                </ns1:sub>
              </ns1:sSub>
            </ns1:sub>
            <ns1:sup>
              <ns1:r>
                <ns1:t>​</ns1:t>
              </ns1:r>
            </ns1:sup>
            <ns1:e>
              <ns1:sSub>
                <ns1:e>
                  <ns1:r>
                    <ns1:rPr>
                      <ns1:sty ns1:val="b"/>
                    </ns1:rPr>
                    <ns1:t>C</ns1:t>
                  </ns1:r>
                </ns1:e>
                <ns1:sub>
                  <ns1:r>
                    <ns1:t>i</ns1:t>
                  </ns1:r>
                </ns1:sub>
              </ns1:sSub>
            </ns1:e>
          </ns1:nary>
          <ns1:r>
            <ns1:rPr>
              <ns1:sty ns1:val="b"/>
            </ns1:rPr>
            <ns1:t>ε</ns1:t>
          </ns1:r>
          <ns1:r>
            <ns1:rPr>
              <ns1:sty ns1:val="p"/>
            </ns1:rPr>
            <ns1:t>(</ns1:t>
          </ns1:r>
          <ns1:r>
            <ns1:rPr>
              <ns1:sty ns1:val="b"/>
            </ns1:rPr>
            <ns1:t>u</ns1:t>
          </ns1:r>
          <ns1:r>
            <ns1:rPr>
              <ns1:sty ns1:val="p"/>
            </ns1:rPr>
            <ns1:t>)</ns1:t>
          </ns1:r>
          <ns1:r>
            <ns1:rPr>
              <ns1:sty ns1:val="p"/>
            </ns1:rPr>
            <ns1:t>:</ns1:t>
          </ns1:r>
          <ns1:r>
            <ns1:rPr>
              <ns1:sty ns1:val="b"/>
            </ns1:rPr>
            <ns1:t>ε</ns1:t>
          </ns1:r>
          <ns1:r>
            <ns1:rPr>
              <ns1:sty ns1:val="p"/>
            </ns1:rPr>
            <ns1:t>(</ns1:t>
          </ns1:r>
          <ns1:r>
            <ns1:rPr>
              <ns1:sty ns1:val="b"/>
            </ns1:rPr>
            <ns1:t>v</ns1:t>
          </ns1:r>
          <ns1:r>
            <ns1:rPr>
              <ns1:sty ns1:val="p"/>
            </ns1:rPr>
            <ns1:t>)</ns1:t>
          </ns1:r>
          <ns1:r>
            <ns1:t> </ns1:t>
          </ns1:r>
          <ns1:r>
            <ns1:t>d</ns1:t>
          </ns1:r>
          <ns1:r>
            <ns1:t>V</ns1:t>
          </ns1:r>
          <ns1:r>
            <ns1:rPr>
              <ns1:sty ns1:val="p"/>
            </ns1:rPr>
            <ns1:t>+</ns1:t>
          </ns1:r>
          <ns1:nary>
            <ns1:naryPr>
              <ns1:chr ns1:val="∫"/>
              <ns1:limLoc ns1:val="subSup"/>
              <ns1:subHide ns1:val="0"/>
              <ns1:supHide ns1:val="1"/>
            </ns1:naryPr>
            <ns1:sub>
              <ns1:sSub>
                <ns1:e>
                  <ns1:r>
                    <ns1:t>Γ</ns1:t>
                  </ns1:r>
                </ns1:e>
                <ns1:sub>
                  <ns1:r>
                    <ns1:t>S</ns1:t>
                  </ns1:r>
                  <ns1:r>
                    <ns1:t>1</ns1:t>
                  </ns1:r>
                  <ns1:r>
                    <ns1:rPr>
                      <ns1:sty ns1:val="p"/>
                    </ns1:rPr>
                    <ns1:t>,</ns1:t>
                  </ns1:r>
                  <ns1:r>
                    <ns1:t>i</ns1:t>
                  </ns1:r>
                </ns1:sub>
              </ns1:sSub>
            </ns1:sub>
            <ns1:sup>
              <ns1:r>
                <ns1:t>​</ns1:t>
              </ns1:r>
            </ns1:sup>
            <ns1:e>
              <ns1:r>
                <ns1:t>γ</ns1:t>
              </ns1:r>
            </ns1:e>
          </ns1:nary>
          <ns1:r>
            <ns1:t> </ns1:t>
          </ns1:r>
          <ns1:r>
            <ns1:rPr>
              <ns1:sty ns1:val="b"/>
            </ns1:rPr>
            <ns1:t>u</ns1:t>
          </ns1:r>
          <ns1:r>
            <ns1:rPr>
              <ns1:sty ns1:val="p"/>
            </ns1:rPr>
            <ns1:t>⋅</ns1:t>
          </ns1:r>
          <ns1:r>
            <ns1:rPr>
              <ns1:sty ns1:val="b"/>
            </ns1:rPr>
            <ns1:t>v</ns1:t>
          </ns1:r>
          <ns1:r>
            <ns1:t> </ns1:t>
          </ns1:r>
          <ns1:r>
            <ns1:t>d</ns1:t>
          </ns1:r>
          <ns1:r>
            <ns1:t>S</ns1:t>
          </ns1:r>
          <ns1:r>
            <ns1:rPr>
              <ns1:sty ns1:val="p"/>
            </ns1:rPr>
            <ns1:t>+</ns1:t>
          </ns1:r>
          <ns1:sSubSup>
            <ns1:e>
              <ns1:r>
                <ns1:rPr>
                  <ns1:sty ns1:val="b"/>
                </ns1:rPr>
                <ns1:t>v</ns1:t>
              </ns1:r>
            </ns1:e>
            <ns1:sub>
              <ns1:r>
                <ns1:t>h</ns1:t>
              </ns1:r>
            </ns1:sub>
            <ns1:sup>
              <ns1:r>
                <ns1:t>T</ns1:t>
              </ns1:r>
            </ns1:sup>
          </ns1:sSubSup>
          <ns1:sSub>
            <ns1:e>
              <ns1:r>
                <ns1:rPr>
                  <ns1:sty ns1:val="b"/>
                </ns1:rPr>
                <ns1:t>K</ns1:t>
              </ns1:r>
            </ns1:e>
            <ns1:sub>
              <ns1:r>
                <ns1:t>l</ns1:t>
              </ns1:r>
              <ns1:r>
                <ns1:t>i</ns1:t>
              </ns1:r>
              <ns1:r>
                <ns1:t>g</ns1:t>
              </ns1:r>
              <ns1:r>
                <ns1:rPr>
                  <ns1:sty ns1:val="p"/>
                </ns1:rPr>
                <ns1:t>,</ns1:t>
              </ns1:r>
              <ns1:r>
                <ns1:t>i</ns1:t>
              </ns1:r>
            </ns1:sub>
          </ns1:sSub>
          <ns1:sSub>
            <ns1:e>
              <ns1:r>
                <ns1:rPr>
                  <ns1:sty ns1:val="b"/>
                </ns1:rPr>
                <ns1:t>u</ns1:t>
              </ns1:r>
            </ns1:e>
            <ns1:sub>
              <ns1:r>
                <ns1:t>h</ns1:t>
              </ns1:r>
            </ns1:sub>
          </ns1:sSub>
          <ns1:r>
            <ns1:rPr>
              <ns1:sty ns1:val="p"/>
            </ns1:rPr>
            <ns1:t>=</ns1:t>
          </ns1:r>
          <ns1:nary>
            <ns1:naryPr>
              <ns1:chr ns1:val="∫"/>
              <ns1:limLoc ns1:val="subSup"/>
              <ns1:subHide ns1:val="0"/>
              <ns1:supHide ns1:val="1"/>
            </ns1:naryPr>
            <ns1:sub>
              <ns1:sSub>
                <ns1:e>
                  <ns1:r>
                    <ns1:t>Γ</ns1:t>
                  </ns1:r>
                </ns1:e>
                <ns1:sub>
                  <ns1:r>
                    <ns1:t>l</ns1:t>
                  </ns1:r>
                  <ns1:r>
                    <ns1:t>o</ns1:t>
                  </ns1:r>
                  <ns1:r>
                    <ns1:t>a</ns1:t>
                  </ns1:r>
                  <ns1:r>
                    <ns1:t>d</ns1:t>
                  </ns1:r>
                  <ns1:r>
                    <ns1:rPr>
                      <ns1:sty ns1:val="p"/>
                    </ns1:rPr>
                    <ns1:t>,</ns1:t>
                  </ns1:r>
                  <ns1:r>
                    <ns1:t>i</ns1:t>
                  </ns1:r>
                </ns1:sub>
              </ns1:sSub>
            </ns1:sub>
            <ns1:sup>
              <ns1:r>
                <ns1:t>​</ns1:t>
              </ns1:r>
            </ns1:sup>
            <ns1:e>
              <ns1:r>
                <ns1:rPr>
                  <ns1:sty ns1:val="b"/>
                </ns1:rPr>
                <ns1:t>t</ns1:t>
              </ns1:r>
            </ns1:e>
          </ns1:nary>
          <ns1:r>
            <ns1:rPr>
              <ns1:sty ns1:val="p"/>
            </ns1:rPr>
            <ns1:t>⋅</ns1:t>
          </ns1:r>
          <ns1:r>
            <ns1:rPr>
              <ns1:sty ns1:val="b"/>
            </ns1:rPr>
            <ns1:t>v</ns1:t>
          </ns1:r>
          <ns1:r>
            <ns1:t> </ns1:t>
          </ns1:r>
          <ns1:r>
            <ns1:t>d</ns1:t>
          </ns1:r>
          <ns1:r>
            <ns1:t>S</ns1:t>
          </ns1:r>
          <ns1:r>
            <ns1:rPr>
              <ns1:sty ns1:val="p"/>
            </ns1:rPr>
            <ns1:t>+</ns1:t>
          </ns1:r>
          <ns1:sSubSup>
            <ns1:e>
              <ns1:r>
                <ns1:rPr>
                  <ns1:sty ns1:val="b"/>
                </ns1:rPr>
                <ns1:t>v</ns1:t>
              </ns1:r>
            </ns1:e>
            <ns1:sub>
              <ns1:r>
                <ns1:t>h</ns1:t>
              </ns1:r>
            </ns1:sub>
            <ns1:sup>
              <ns1:r>
                <ns1:t>T</ns1:t>
              </ns1:r>
            </ns1:sup>
          </ns1:sSubSup>
          <ns1:sSub>
            <ns1:e>
              <ns1:r>
                <ns1:rPr>
                  <ns1:sty ns1:val="b"/>
                </ns1:rPr>
                <ns1:t>f</ns1:t>
              </ns1:r>
            </ns1:e>
            <ns1:sub>
              <ns1:r>
                <ns1:t>p</ns1:t>
              </ns1:r>
              <ns1:r>
                <ns1:t>r</ns1:t>
              </ns1:r>
              <ns1:r>
                <ns1:t>e</ns1:t>
              </ns1:r>
              <ns1:r>
                <ns1:rPr>
                  <ns1:sty ns1:val="p"/>
                </ns1:rPr>
                <ns1:t>,</ns1:t>
              </ns1:r>
              <ns1:r>
                <ns1:t>i</ns1:t>
              </ns1:r>
            </ns1:sub>
          </ns1:sSub>
          <ns1:r>
            <ns1:rPr>
              <ns1:sty ns1:val="p"/>
            </ns1:rPr>
            <ns1:t>.</ns1:t>
          </ns1:r>
        </ns1:oMath>
      </ns1:oMathPara>
    </ns0:p>
    <ns0:p>
      <ns0:pPr>
        <ns0:pStyle ns0:val="FirstParagraph"/>
      </ns0:pPr>
      <ns0:r>
        <ns0:t xml:space="preserve">Here</ns0:t>
      </ns0:r>
      <ns0:r>
        <ns0:t xml:space="preserve"> </ns0:t>
      </ns0:r>
      <ns1:oMath>
        <ns1:sSub>
          <ns1:e>
            <ns1:r>
              <ns1:rPr>
                <ns1:sty ns1:val="b"/>
              </ns1:rPr>
              <ns1:t>C</ns1:t>
            </ns1:r>
          </ns1:e>
          <ns1:sub>
            <ns1:r>
              <ns1:t>i</ns1:t>
            </ns1:r>
          </ns1:sub>
        </ns1:sSub>
      </ns1:oMath>
      <ns0:r>
        <ns0:t xml:space="preserve"> </ns0:t>
      </ns0:r>
      <ns0:r>
        <ns0:t xml:space="preserve">is the isotropic elasticity tensor,</ns0:t>
      </ns0:r>
      <ns0:r>
        <ns0:t xml:space="preserve"> </ns0:t>
      </ns0:r>
      <ns1:oMath>
        <ns1:r>
          <ns1:rPr>
            <ns1:sty ns1:val="b"/>
          </ns1:rPr>
          <ns1:t>t</ns1:t>
        </ns1:r>
      </ns1:oMath>
      <ns0:r>
        <ns0:t xml:space="preserve"> </ns0:t>
      </ns0:r>
      <ns0:r>
        <ns0:t xml:space="preserve">is the prescribed surface traction, and</ns0:t>
      </ns0:r>
      <ns0:r>
        <ns0:t xml:space="preserve"> </ns0:t>
      </ns0:r>
      <ns1:oMath>
        <ns1:sSub>
          <ns1:e>
            <ns1:r>
              <ns1:rPr>
                <ns1:sty ns1:val="b"/>
              </ns1:rPr>
              <ns1:t>u</ns1:t>
            </ns1:r>
          </ns1:e>
          <ns1:sub>
            <ns1:r>
              <ns1:t>h</ns1:t>
            </ns1:r>
          </ns1:sub>
        </ns1:sSub>
        <ns1:r>
          <ns1:rPr>
            <ns1:sty ns1:val="p"/>
          </ns1:rPr>
          <ns1:t>,</ns1:t>
        </ns1:r>
        <ns1:sSub>
          <ns1:e>
            <ns1:r>
              <ns1:rPr>
                <ns1:sty ns1:val="b"/>
              </ns1:rPr>
              <ns1:t>v</ns1:t>
            </ns1:r>
          </ns1:e>
          <ns1:sub>
            <ns1:r>
              <ns1:t>h</ns1:t>
            </ns1:r>
          </ns1:sub>
        </ns1:sSub>
      </ns1:oMath>
      <ns0:r>
        <ns0:t xml:space="preserve"> </ns0:t>
      </ns0:r>
      <ns0:r>
        <ns0:t xml:space="preserve">are nodal coefficient vectors in the spring terms. In each tissue,</ns0:t>
      </ns0:r>
      <ns0:r>
        <ns0:t xml:space="preserve"> </ns0:t>
      </ns0:r>
      <ns1:oMath>
        <ns1:r>
          <ns1:rPr>
            <ns1:sty ns1:val="b"/>
          </ns1:rPr>
          <ns1:t>σ</ns1:t>
        </ns1:r>
        <ns1:r>
          <ns1:rPr>
            <ns1:sty ns1:val="p"/>
          </ns1:rPr>
          <ns1:t>=</ns1:t>
        </ns1:r>
        <ns1:r>
          <ns1:t>2</ns1:t>
        </ns1:r>
        <ns1:r>
          <ns1:t>μ</ns1:t>
        </ns1:r>
        <ns1:r>
          <ns1:rPr>
            <ns1:sty ns1:val="b"/>
          </ns1:rPr>
          <ns1:t>ε</ns1:t>
        </ns1:r>
        <ns1:r>
          <ns1:rPr>
            <ns1:sty ns1:val="p"/>
          </ns1:rPr>
          <ns1:t>+</ns1:t>
        </ns1:r>
        <ns1:r>
          <ns1:t>λ</ns1:t>
        </ns1:r>
        <ns1:r>
          <ns1:rPr>
            <ns1:nor/>
            <ns1:sty ns1:val="p"/>
          </ns1:rPr>
          <ns1:t>tr</ns1:t>
        </ns1:r>
        <ns1:r>
          <ns1:rPr>
            <ns1:sty ns1:val="p"/>
          </ns1:rPr>
          <ns1:t>(</ns1:t>
        </ns1:r>
        <ns1:r>
          <ns1:rPr>
            <ns1:sty ns1:val="b"/>
          </ns1:rPr>
          <ns1:t>ε</ns1:t>
        </ns1:r>
        <ns1:r>
          <ns1:rPr>
            <ns1:sty ns1:val="p"/>
          </ns1:rPr>
          <ns1:t>)</ns1:t>
        </ns1:r>
        <ns1:r>
          <ns1:rPr>
            <ns1:sty ns1:val="b"/>
          </ns1:rPr>
          <ns1:t>I</ns1:t>
        </ns1:r>
      </ns1:oMath>
      <ns0:r>
        <ns0:t xml:space="preserve">, with</ns0:t>
      </ns0:r>
      <ns0:r>
        <ns0:t xml:space="preserve"> </ns0:t>
      </ns0:r>
      <ns1:oMath>
        <ns1:r>
          <ns1:t>μ</ns1:t>
        </ns1:r>
        <ns1:r>
          <ns1:rPr>
            <ns1:sty ns1:val="p"/>
          </ns1:rPr>
          <ns1:t>=</ns1:t>
        </ns1:r>
        <ns1:r>
          <ns1:t>E</ns1:t>
        </ns1:r>
        <ns1:r>
          <ns1:rPr>
            <ns1:sty ns1:val="p"/>
          </ns1:rPr>
          <ns1:t>/</ns1:t>
        </ns1:r>
        <ns1:r>
          <ns1:rPr>
            <ns1:sty ns1:val="p"/>
          </ns1:rPr>
          <ns1:t>[</ns1:t>
        </ns1:r>
        <ns1:r>
          <ns1:t>2</ns1:t>
        </ns1:r>
        <ns1:r>
          <ns1:rPr>
            <ns1:sty ns1:val="p"/>
          </ns1:rPr>
          <ns1:t>(</ns1:t>
        </ns1:r>
        <ns1:r>
          <ns1:t>1</ns1:t>
        </ns1:r>
        <ns1:r>
          <ns1:rPr>
            <ns1:sty ns1:val="p"/>
          </ns1:rPr>
          <ns1:t>+</ns1:t>
        </ns1:r>
        <ns1:r>
          <ns1:t>ν</ns1:t>
        </ns1:r>
        <ns1:r>
          <ns1:rPr>
            <ns1:sty ns1:val="p"/>
          </ns1:rPr>
          <ns1:t>)</ns1:t>
        </ns1:r>
        <ns1:r>
          <ns1:rPr>
            <ns1:sty ns1:val="p"/>
          </ns1:rPr>
          <ns1:t>]</ns1:t>
        </ns1:r>
      </ns1:oMath>
      <ns0:r>
        <ns0:t xml:space="preserve"> </ns0:t>
      </ns0:r>
      <ns0:r>
        <ns0:t xml:space="preserve">and</ns0:t>
      </ns0:r>
      <ns0:r>
        <ns0:t xml:space="preserve"> </ns0:t>
      </ns0:r>
      <ns1:oMath>
        <ns1:r>
          <ns1:t>λ</ns1:t>
        </ns1:r>
        <ns1:r>
          <ns1:rPr>
            <ns1:sty ns1:val="p"/>
          </ns1:rPr>
          <ns1:t>=</ns1:t>
        </ns1:r>
        <ns1:r>
          <ns1:t>E</ns1:t>
        </ns1:r>
        <ns1:r>
          <ns1:t>ν</ns1:t>
        </ns1:r>
        <ns1:r>
          <ns1:rPr>
            <ns1:sty ns1:val="p"/>
          </ns1:rPr>
          <ns1:t>/</ns1:t>
        </ns1:r>
        <ns1:r>
          <ns1:rPr>
            <ns1:sty ns1:val="p"/>
          </ns1:rPr>
          <ns1:t>[</ns1:t>
        </ns1:r>
        <ns1:r>
          <ns1:rPr>
            <ns1:sty ns1:val="p"/>
          </ns1:rPr>
          <ns1:t>(</ns1:t>
        </ns1:r>
        <ns1:r>
          <ns1:t>1</ns1:t>
        </ns1:r>
        <ns1:r>
          <ns1:rPr>
            <ns1:sty ns1:val="p"/>
          </ns1:rPr>
          <ns1:t>+</ns1:t>
        </ns1:r>
        <ns1:r>
          <ns1:t>ν</ns1:t>
        </ns1:r>
        <ns1:r>
          <ns1:rPr>
            <ns1:sty ns1:val="p"/>
          </ns1:rPr>
          <ns1:t>)</ns1:t>
        </ns1:r>
        <ns1:r>
          <ns1:rPr>
            <ns1:sty ns1:val="p"/>
          </ns1:rPr>
          <ns1:t>(</ns1:t>
        </ns1:r>
        <ns1:r>
          <ns1:t>1</ns1:t>
        </ns1:r>
        <ns1:r>
          <ns1:rPr>
            <ns1:sty ns1:val="p"/>
          </ns1:rPr>
          <ns1:t>−</ns1:t>
        </ns1:r>
        <ns1:r>
          <ns1:t>2</ns1:t>
        </ns1:r>
        <ns1:r>
          <ns1:t>ν</ns1:t>
        </ns1:r>
        <ns1:r>
          <ns1:rPr>
            <ns1:sty ns1:val="p"/>
          </ns1:rPr>
          <ns1:t>)</ns1:t>
        </ns1:r>
        <ns1:r>
          <ns1:rPr>
            <ns1:sty ns1:val="p"/>
          </ns1:rPr>
          <ns1:t>]</ns1:t>
        </ns1:r>
      </ns1:oMath>
      <ns0:r>
        <ns0:t xml:space="preserve">. The surface penalty has units N/mm</ns0:t>
      </ns0:r>
      <ns1:oMath>
        <ns1:sSup>
          <ns1:e>
            <ns1:r>
              <ns1:t>​</ns1:t>
            </ns1:r>
          </ns1:e>
          <ns1:sup>
            <ns1:r>
              <ns1:t>3</ns1:t>
            </ns1:r>
          </ns1:sup>
        </ns1:sSup>
      </ns1:oMath>
      <ns0:r>
        <ns0:t xml:space="preserve">, because its associated traction is</ns0:t>
      </ns0:r>
      <ns0:r>
        <ns0:t xml:space="preserve"> </ns0:t>
      </ns0:r>
      <ns1:oMath>
        <ns1:r>
          <ns1:t>γ</ns1:t>
        </ns1:r>
        <ns1:r>
          <ns1:rPr>
            <ns1:sty ns1:val="b"/>
          </ns1:rPr>
          <ns1:t>u</ns1:t>
        </ns1:r>
      </ns1:oMath>
      <ns0:r>
        <ns0:t xml:space="preserve"> </ns0:t>
      </ns0:r>
      <ns0:r>
        <ns0:t xml:space="preserve">in N/mm</ns0:t>
      </ns0:r>
      <ns1:oMath>
        <ns1:sSup>
          <ns1:e>
            <ns1:r>
              <ns1:t>​</ns1:t>
            </ns1:r>
          </ns1:e>
          <ns1:sup>
            <ns1:r>
              <ns1:t>2</ns1:t>
            </ns1:r>
          </ns1:sup>
        </ns1:sSup>
      </ns1:oMath>
      <ns0:r>
        <ns0:t xml:space="preserve">. It imposes an approximate fixed boundary, not exact</ns0:t>
      </ns0:r>
      <ns0:r>
        <ns0:t xml:space="preserve"> </ns0:t>
      </ns0:r>
      <ns1:oMath>
        <ns1:r>
          <ns1:rPr>
            <ns1:sty ns1:val="b"/>
          </ns1:rPr>
          <ns1:t>u</ns1:t>
        </ns1:r>
        <ns1:r>
          <ns1:rPr>
            <ns1:sty ns1:val="p"/>
          </ns1:rPr>
          <ns1:t>=</ns1:t>
        </ns1:r>
        <ns1:r>
          <ns1:t>0</ns1:t>
        </ns1:r>
      </ns1:oMath>
      <ns0:r>
        <ns0:t xml:space="preserve">. The ligament stiffness and pretension terms are required for consistency with the assembled solver. For one spring segment of length</ns0:t>
      </ns0:r>
      <ns0:r>
        <ns0:t xml:space="preserve"> </ns0:t>
      </ns0:r>
      <ns1:oMath>
        <ns1:r>
          <ns1:t>L</ns1:t>
        </ns1:r>
      </ns1:oMath>
      <ns0:r>
        <ns0:t xml:space="preserve">, direction</ns0:t>
      </ns0:r>
      <ns0:r>
        <ns0:t xml:space="preserve"> </ns0:t>
      </ns0:r>
      <ns1:oMath>
        <ns1:r>
          <ns1:rPr>
            <ns1:sty ns1:val="b"/>
          </ns1:rPr>
          <ns1:t>e</ns1:t>
        </ns1:r>
      </ns1:oMath>
      <ns0:r>
        <ns0:t xml:space="preserve">, assigned stiffness</ns0:t>
      </ns0:r>
      <ns0:r>
        <ns0:t xml:space="preserve"> </ns0:t>
      </ns0:r>
      <ns1:oMath>
        <ns1:r>
          <ns1:t>k</ns1:t>
        </ns1:r>
      </ns1:oMath>
      <ns0:r>
        <ns0:t xml:space="preserve"> </ns0:t>
      </ns0:r>
      <ns0:r>
        <ns0:t xml:space="preserve">and pretension</ns0:t>
      </ns0:r>
      <ns0:r>
        <ns0:t xml:space="preserve"> </ns0:t>
      </ns0:r>
      <ns1:oMath>
        <ns1:r>
          <ns1:t>T</ns1:t>
        </ns1:r>
      </ns1:oMath>
      <ns0:r>
        <ns0:t xml:space="preserve">, its directional stiffness is</ns0:t>
      </ns0:r>
    </ns0:p>
    <ns0:p>
      <ns0:pPr>
        <ns0:pStyle ns0:val="BodyText"/>
      </ns0:pPr>
      <ns1:oMathPara>
        <ns1:oMathParaPr>
          <ns1:jc ns1:val="center"/>
        </ns1:oMathParaPr>
        <ns1:oMath>
          <ns1:r>
            <ns1:rPr>
              <ns1:sty ns1:val="b"/>
            </ns1:rPr>
            <ns1:t>W</ns1:t>
          </ns1:r>
          <ns1:r>
            <ns1:rPr>
              <ns1:sty ns1:val="p"/>
            </ns1:rPr>
            <ns1:t>=</ns1:t>
          </ns1:r>
          <ns1:r>
            <ns1:t>k</ns1:t>
          </ns1:r>
          <ns1:r>
            <ns1:rPr>
              <ns1:sty ns1:val="b"/>
            </ns1:rPr>
            <ns1:t>e</ns1:t>
          </ns1:r>
          <ns1:sSup>
            <ns1:e>
              <ns1:r>
                <ns1:rPr>
                  <ns1:sty ns1:val="b"/>
                </ns1:rPr>
                <ns1:t>e</ns1:t>
              </ns1:r>
            </ns1:e>
            <ns1:sup>
              <ns1:r>
                <ns1:t>T</ns1:t>
              </ns1:r>
            </ns1:sup>
          </ns1:sSup>
          <ns1:r>
            <ns1:rPr>
              <ns1:sty ns1:val="p"/>
            </ns1:rPr>
            <ns1:t>+</ns1:t>
          </ns1:r>
          <ns1:r>
            <ns1:rPr>
              <ns1:sty ns1:val="p"/>
            </ns1:rPr>
            <ns1:t>(</ns1:t>
          </ns1:r>
          <ns1:r>
            <ns1:t>T</ns1:t>
          </ns1:r>
          <ns1:r>
            <ns1:rPr>
              <ns1:sty ns1:val="p"/>
            </ns1:rPr>
            <ns1:t>/</ns1:t>
          </ns1:r>
          <ns1:r>
            <ns1:t>L</ns1:t>
          </ns1:r>
          <ns1:r>
            <ns1:rPr>
              <ns1:sty ns1:val="p"/>
            </ns1:rPr>
            <ns1:t>)</ns1:t>
          </ns1:r>
          <ns1:r>
            <ns1:rPr>
              <ns1:sty ns1:val="p"/>
            </ns1:rPr>
            <ns1:t>(</ns1:t>
          </ns1:r>
          <ns1:r>
            <ns1:rPr>
              <ns1:sty ns1:val="b"/>
            </ns1:rPr>
            <ns1:t>I</ns1:t>
          </ns1:r>
          <ns1:r>
            <ns1:rPr>
              <ns1:sty ns1:val="p"/>
            </ns1:rPr>
            <ns1:t>−</ns1:t>
          </ns1:r>
          <ns1:r>
            <ns1:rPr>
              <ns1:sty ns1:val="b"/>
            </ns1:rPr>
            <ns1:t>e</ns1:t>
          </ns1:r>
          <ns1:sSup>
            <ns1:e>
              <ns1:r>
                <ns1:rPr>
                  <ns1:sty ns1:val="b"/>
                </ns1:rPr>
                <ns1:t>e</ns1:t>
              </ns1:r>
            </ns1:e>
            <ns1:sup>
              <ns1:r>
                <ns1:t>T</ns1:t>
              </ns1:r>
            </ns1:sup>
          </ns1:sSup>
          <ns1:r>
            <ns1:rPr>
              <ns1:sty ns1:val="p"/>
            </ns1:rPr>
            <ns1:t>)</ns1:t>
          </ns1:r>
          <ns1:r>
            <ns1:rPr>
              <ns1:sty ns1:val="p"/>
            </ns1:rPr>
            <ns1:t>.</ns1:t>
          </ns1:r>
        </ns1:oMath>
      </ns1:oMathPara>
    </ns0:p>
    <ns0:p>
      <ns0:pPr>
        <ns0:pStyle ns0:val="FirstParagraph"/>
      </ns0:pPr>
      <ns0:r>
        <ns0:t xml:space="preserve">This matrix is assembled with opposite off-diagonal blocks at its two endpoints. It is a linearized spring representation without tension-only switching.</ns0:t>
      </ns0:r>
    </ns0:p>
    <ns0:p>
      <ns0:pPr>
        <ns0:pStyle ns0:val="BodyText"/>
      </ns0:pPr>
      <ns0:r>
        <ns0:t xml:space="preserve">The surface measure obeys</ns0:t>
      </ns0:r>
      <ns0:r>
        <ns0:t xml:space="preserve"> </ns0:t>
      </ns0:r>
      <ns1:oMath>
        <ns1:r>
          <ns1:t>d</ns1:t>
        </ns1:r>
        <ns1:sSub>
          <ns1:e>
            <ns1:r>
              <ns1:t>S</ns1:t>
            </ns1:r>
          </ns1:e>
          <ns1:sub>
            <ns1:r>
              <ns1:t>i</ns1:t>
            </ns1:r>
          </ns1:sub>
        </ns1:sSub>
        <ns1:r>
          <ns1:rPr>
            <ns1:sty ns1:val="p"/>
          </ns1:rPr>
          <ns1:t>=</ns1:t>
        </ns1:r>
        <ns1:sSub>
          <ns1:e>
            <ns1:r>
              <ns1:t>J</ns1:t>
            </ns1:r>
          </ns1:e>
          <ns1:sub>
            <ns1:r>
              <ns1:t>s</ns1:t>
            </ns1:r>
            <ns1:r>
              <ns1:t>u</ns1:t>
            </ns1:r>
            <ns1:r>
              <ns1:t>r</ns1:t>
            </ns1:r>
            <ns1:r>
              <ns1:t>f</ns1:t>
            </ns1:r>
            <ns1:r>
              <ns1:rPr>
                <ns1:sty ns1:val="p"/>
              </ns1:rPr>
              <ns1:t>,</ns1:t>
            </ns1:r>
            <ns1:r>
              <ns1:t>i</ns1:t>
            </ns1:r>
          </ns1:sub>
        </ns1:sSub>
        <ns1:r>
          <ns1:t>d</ns1:t>
        </ns1:r>
        <ns1:sSub>
          <ns1:e>
            <ns1:r>
              <ns1:t>S</ns1:t>
            </ns1:r>
          </ns1:e>
          <ns1:sub>
            <ns1:r>
              <ns1:t>0</ns1:t>
            </ns1:r>
          </ns1:sub>
        </ns1:sSub>
      </ns1:oMath>
      <ns0:r>
        <ns0:t xml:space="preserve">, where</ns0:t>
      </ns0:r>
    </ns0:p>
    <ns0:p>
      <ns0:pPr>
        <ns0:pStyle ns0:val="BodyText"/>
      </ns0:pPr>
      <ns1:oMathPara>
        <ns1:oMathParaPr>
          <ns1:jc ns1:val="center"/>
        </ns1:oMathParaPr>
        <ns1:oMath>
          <ns1:sSub>
            <ns1:e>
              <ns1:r>
                <ns1:t>J</ns1:t>
              </ns1:r>
            </ns1:e>
            <ns1:sub>
              <ns1:r>
                <ns1:t>s</ns1:t>
              </ns1:r>
              <ns1:r>
                <ns1:t>u</ns1:t>
              </ns1:r>
              <ns1:r>
                <ns1:t>r</ns1:t>
              </ns1:r>
              <ns1:r>
                <ns1:t>f</ns1:t>
              </ns1:r>
              <ns1:r>
                <ns1:rPr>
                  <ns1:sty ns1:val="p"/>
                </ns1:rPr>
                <ns1:t>,</ns1:t>
              </ns1:r>
              <ns1:r>
                <ns1:t>i</ns1:t>
              </ns1:r>
            </ns1:sub>
          </ns1:sSub>
          <ns1:r>
            <ns1:rPr>
              <ns1:sty ns1:val="p"/>
            </ns1:rPr>
            <ns1:t>=</ns1:t>
          </ns1:r>
          <ns1:sSub>
            <ns1:e>
              <ns1:r>
                <ns1:t>J</ns1:t>
              </ns1:r>
            </ns1:e>
            <ns1:sub>
              <ns1:r>
                <ns1:t>i</ns1:t>
              </ns1:r>
            </ns1:sub>
          </ns1:sSub>
          <ns1:r>
            <ns1:rPr>
              <ns1:sty ns1:val="p"/>
            </ns1:rPr>
            <ns1:t>∥</ns1:t>
          </ns1:r>
          <ns1:sSubSup>
            <ns1:e>
              <ns1:r>
                <ns1:rPr>
                  <ns1:sty ns1:val="b"/>
                </ns1:rPr>
                <ns1:t>F</ns1:t>
              </ns1:r>
            </ns1:e>
            <ns1:sub>
              <ns1:r>
                <ns1:t>i</ns1:t>
              </ns1:r>
            </ns1:sub>
            <ns1:sup>
              <ns1:r>
                <ns1:rPr>
                  <ns1:sty ns1:val="p"/>
                </ns1:rPr>
                <ns1:t>−</ns1:t>
              </ns1:r>
              <ns1:r>
                <ns1:t>T</ns1:t>
              </ns1:r>
            </ns1:sup>
          </ns1:sSubSup>
          <ns1:sSub>
            <ns1:e>
              <ns1:r>
                <ns1:rPr>
                  <ns1:sty ns1:val="b"/>
                </ns1:rPr>
                <ns1:t>n</ns1:t>
              </ns1:r>
            </ns1:e>
            <ns1:sub>
              <ns1:r>
                <ns1:t>0</ns1:t>
              </ns1:r>
            </ns1:sub>
          </ns1:sSub>
          <ns1:r>
            <ns1:rPr>
              <ns1:sty ns1:val="p"/>
            </ns1:rPr>
            <ns1:t>∥</ns1:t>
          </ns1:r>
          <ns1:r>
            <ns1:rPr>
              <ns1:sty ns1:val="p"/>
            </ns1:rPr>
            <ns1:t>,</ns1:t>
          </ns1:r>
          <ns1:r>
            <ns1:t>  </ns1:t>
          </ns1:r>
          <ns1:r>
            <ns1:rPr>
              <ns1:sty ns1:val="b"/>
            </ns1:rPr>
            <ns1:t>t</ns1:t>
          </ns1:r>
          <ns1:r>
            <ns1:rPr>
              <ns1:sty ns1:val="p"/>
            </ns1:rPr>
            <ns1:t>=</ns1:t>
          </ns1:r>
          <ns1:f>
            <ns1:fPr>
              <ns1:type ns1:val="bar"/>
            </ns1:fPr>
            <ns1:num>
              <ns1:sSup>
                <ns1:e>
                  <ns1:r>
                    <ns1:rPr>
                      <ns1:sty ns1:val="b"/>
                    </ns1:rPr>
                    <ns1:t>F</ns1:t>
                  </ns1:r>
                </ns1:e>
                <ns1:sup>
                  <ns1:r>
                    <ns1:t>t</ns1:t>
                  </ns1:r>
                  <ns1:r>
                    <ns1:t>o</ns1:t>
                  </ns1:r>
                  <ns1:r>
                    <ns1:t>t</ns1:t>
                  </ns1:r>
                </ns1:sup>
              </ns1:sSup>
            </ns1:num>
            <ns1:den>
              <ns1:nary>
                <ns1:naryPr>
                  <ns1:chr ns1:val="∫"/>
                  <ns1:limLoc ns1:val="subSup"/>
                  <ns1:subHide ns1:val="0"/>
                  <ns1:supHide ns1:val="1"/>
                </ns1:naryPr>
                <ns1:sub>
                  <ns1:sSub>
                    <ns1:e>
                      <ns1:r>
                        <ns1:t>Γ</ns1:t>
                      </ns1:r>
                    </ns1:e>
                    <ns1:sub>
                      <ns1:r>
                        <ns1:t>l</ns1:t>
                      </ns1:r>
                      <ns1:r>
                        <ns1:t>o</ns1:t>
                      </ns1:r>
                      <ns1:r>
                        <ns1:t>a</ns1:t>
                      </ns1:r>
                      <ns1:r>
                        <ns1:t>d</ns1:t>
                      </ns1:r>
                      <ns1:r>
                        <ns1:rPr>
                          <ns1:sty ns1:val="p"/>
                        </ns1:rPr>
                        <ns1:t>,</ns1:t>
                      </ns1:r>
                      <ns1:r>
                        <ns1:t>0</ns1:t>
                      </ns1:r>
                    </ns1:sub>
                  </ns1:sSub>
                </ns1:sub>
                <ns1:sup>
                  <ns1:r>
                    <ns1:t>​</ns1:t>
                  </ns1:r>
                </ns1:sup>
                <ns1:e>
                  <ns1:sSub>
                    <ns1:e>
                      <ns1:r>
                        <ns1:t>J</ns1:t>
                      </ns1:r>
                    </ns1:e>
                    <ns1:sub>
                      <ns1:r>
                        <ns1:t>s</ns1:t>
                      </ns1:r>
                      <ns1:r>
                        <ns1:t>u</ns1:t>
                      </ns1:r>
                      <ns1:r>
                        <ns1:t>r</ns1:t>
                      </ns1:r>
                      <ns1:r>
                        <ns1:t>f</ns1:t>
                      </ns1:r>
                      <ns1:r>
                        <ns1:rPr>
                          <ns1:sty ns1:val="p"/>
                        </ns1:rPr>
                        <ns1:t>,</ns1:t>
                      </ns1:r>
                      <ns1:r>
                        <ns1:t>i</ns1:t>
                      </ns1:r>
                    </ns1:sub>
                  </ns1:sSub>
                </ns1:e>
              </ns1:nary>
              <ns1:r>
                <ns1:t> </ns1:t>
              </ns1:r>
              <ns1:r>
                <ns1:t>d</ns1:t>
              </ns1:r>
              <ns1:sSub>
                <ns1:e>
                  <ns1:r>
                    <ns1:t>S</ns1:t>
                  </ns1:r>
                </ns1:e>
                <ns1:sub>
                  <ns1:r>
                    <ns1:t>0</ns1:t>
                  </ns1:r>
                </ns1:sub>
              </ns1:sSub>
            </ns1:den>
          </ns1:f>
          <ns1:r>
            <ns1:rPr>
              <ns1:sty ns1:val="p"/>
            </ns1:rPr>
            <ns1:t>.</ns1:t>
          </ns1:r>
        </ns1:oMath>
      </ns1:oMathPara>
    </ns0:p>
    <ns0:p>
      <ns0:pPr>
        <ns0:pStyle ns0:val="FirstParagraph"/>
      </ns0:pPr>
      <ns0:r>
        <ns0:t xml:space="preserve">Thus the applied physical force integral equals</ns0:t>
      </ns0:r>
      <ns0:r>
        <ns0:t xml:space="preserve"> </ns0:t>
      </ns0:r>
      <ns1:oMath>
        <ns1:sSup>
          <ns1:e>
            <ns1:r>
              <ns1:rPr>
                <ns1:sty ns1:val="b"/>
              </ns1:rPr>
              <ns1:t>F</ns1:t>
            </ns1:r>
          </ns1:e>
          <ns1:sup>
            <ns1:r>
              <ns1:t>t</ns1:t>
            </ns1:r>
            <ns1:r>
              <ns1:t>o</ns1:t>
            </ns1:r>
            <ns1:r>
              <ns1:t>t</ns1:t>
            </ns1:r>
          </ns1:sup>
        </ns1:sSup>
      </ns1:oMath>
      <ns0:r>
        <ns0:t xml:space="preserve">. The penalty and load integrals use the corresponding mapped surface measures. The force vectors are listed in Table 2; their global axes are not assumed identical to the PCA reporting axes below.</ns0:t>
      </ns0:r>
    </ns0:p>
    <ns0:bookmarkEnd ns0:id="71"/>
    <ns0:bookmarkStart ns0:id="72" ns0:name="a.3.-unloaded-and-loaded-surfaces"/>
    <ns0:p>
      <ns0:pPr>
        <ns0:pStyle ns0:val="Heading2"/>
      </ns0:pPr>
      <ns0:r>
        <ns0:t xml:space="preserve">A.3. Unloaded and loaded surfaces</ns0:t>
      </ns0:r>
    </ns0:p>
    <ns0:p>
      <ns0:pPr>
        <ns0:pStyle ns0:val="FirstParagraph"/>
      </ns0:pPr>
      <ns0:r>
        <ns0:t xml:space="preserve">Let</ns0:t>
      </ns0:r>
      <ns0:r>
        <ns0:t xml:space="preserve"> </ns0:t>
      </ns0:r>
      <ns1:oMath>
        <ns1:sSub>
          <ns1:e>
            <ns1:r>
              <ns1:rPr>
                <ns1:sty ns1:val="b"/>
              </ns1:rPr>
              <ns1:t>X</ns1:t>
            </ns1:r>
          </ns1:e>
          <ns1:sub>
            <ns1:r>
              <ns1:t>j</ns1:t>
            </ns1:r>
          </ns1:sub>
        </ns1:sSub>
      </ns1:oMath>
      <ns0:r>
        <ns0:t xml:space="preserve"> </ns0:t>
      </ns0:r>
      <ns0:r>
        <ns0:t xml:space="preserve">be surface template nodes. The two point clouds used for kinematics are</ns0:t>
      </ns0:r>
    </ns0:p>
    <ns0:p>
      <ns0:pPr>
        <ns0:pStyle ns0:val="BodyText"/>
      </ns0:pPr>
      <ns1:oMathPara>
        <ns1:oMathParaPr>
          <ns1:jc ns1:val="center"/>
        </ns1:oMathParaPr>
        <ns1:oMath>
          <ns1:sSubSup>
            <ns1:e>
              <ns1:r>
                <ns1:rPr>
                  <ns1:sty ns1:val="b"/>
                </ns1:rPr>
                <ns1:t>p</ns1:t>
              </ns1:r>
            </ns1:e>
            <ns1:sub>
              <ns1:r>
                <ns1:t>i</ns1:t>
              </ns1:r>
              <ns1:r>
                <ns1:t>j</ns1:t>
              </ns1:r>
            </ns1:sub>
            <ns1:sup>
              <ns1:r>
                <ns1:t>0</ns1:t>
              </ns1:r>
            </ns1:sup>
          </ns1:sSubSup>
          <ns1:r>
            <ns1:rPr>
              <ns1:sty ns1:val="p"/>
            </ns1:rPr>
            <ns1:t>=</ns1:t>
          </ns1:r>
          <ns1:sSub>
            <ns1:e>
              <ns1:r>
                <ns1:rPr>
                  <ns1:sty ns1:val="b"/>
                </ns1:rPr>
                <ns1:t>X</ns1:t>
              </ns1:r>
            </ns1:e>
            <ns1:sub>
              <ns1:r>
                <ns1:t>j</ns1:t>
              </ns1:r>
            </ns1:sub>
          </ns1:sSub>
          <ns1:r>
            <ns1:rPr>
              <ns1:sty ns1:val="p"/>
            </ns1:rPr>
            <ns1:t>+</ns1:t>
          </ns1:r>
          <ns1:sSub>
            <ns1:e>
              <ns1:r>
                <ns1:rPr>
                  <ns1:sty ns1:val="b"/>
                </ns1:rPr>
                <ns1:t>ϕ</ns1:t>
              </ns1:r>
            </ns1:e>
            <ns1:sub>
              <ns1:r>
                <ns1:t>i</ns1:t>
              </ns1:r>
            </ns1:sub>
          </ns1:sSub>
          <ns1:r>
            <ns1:rPr>
              <ns1:sty ns1:val="p"/>
            </ns1:rPr>
            <ns1:t>(</ns1:t>
          </ns1:r>
          <ns1:sSub>
            <ns1:e>
              <ns1:r>
                <ns1:rPr>
                  <ns1:sty ns1:val="b"/>
                </ns1:rPr>
                <ns1:t>X</ns1:t>
              </ns1:r>
            </ns1:e>
            <ns1:sub>
              <ns1:r>
                <ns1:t>j</ns1:t>
              </ns1:r>
            </ns1:sub>
          </ns1:sSub>
          <ns1:r>
            <ns1:rPr>
              <ns1:sty ns1:val="p"/>
            </ns1:rPr>
            <ns1:t>)</ns1:t>
          </ns1:r>
          <ns1:r>
            <ns1:rPr>
              <ns1:sty ns1:val="p"/>
            </ns1:rPr>
            <ns1:t>,</ns1:t>
          </ns1:r>
          <ns1:r>
            <ns1:t>  </ns1:t>
          </ns1:r>
          <ns1:sSubSup>
            <ns1:e>
              <ns1:r>
                <ns1:rPr>
                  <ns1:sty ns1:val="b"/>
                </ns1:rPr>
                <ns1:t>p</ns1:t>
              </ns1:r>
            </ns1:e>
            <ns1:sub>
              <ns1:r>
                <ns1:t>i</ns1:t>
              </ns1:r>
              <ns1:r>
                <ns1:rPr>
                  <ns1:sty ns1:val="p"/>
                </ns1:rPr>
                <ns1:t>ℓ</ns1:t>
              </ns1:r>
              <ns1:r>
                <ns1:t>j</ns1:t>
              </ns1:r>
            </ns1:sub>
            <ns1:sup>
              <ns1:r>
                <ns1:t>1</ns1:t>
              </ns1:r>
            </ns1:sup>
          </ns1:sSubSup>
          <ns1:r>
            <ns1:rPr>
              <ns1:sty ns1:val="p"/>
            </ns1:rPr>
            <ns1:t>=</ns1:t>
          </ns1:r>
          <ns1:sSubSup>
            <ns1:e>
              <ns1:r>
                <ns1:rPr>
                  <ns1:sty ns1:val="b"/>
                </ns1:rPr>
                <ns1:t>p</ns1:t>
              </ns1:r>
            </ns1:e>
            <ns1:sub>
              <ns1:r>
                <ns1:t>i</ns1:t>
              </ns1:r>
              <ns1:r>
                <ns1:t>j</ns1:t>
              </ns1:r>
            </ns1:sub>
            <ns1:sup>
              <ns1:r>
                <ns1:t>0</ns1:t>
              </ns1:r>
            </ns1:sup>
          </ns1:sSubSup>
          <ns1:r>
            <ns1:rPr>
              <ns1:sty ns1:val="p"/>
            </ns1:rPr>
            <ns1:t>+</ns1:t>
          </ns1:r>
          <ns1:sSub>
            <ns1:e>
              <ns1:r>
                <ns1:rPr>
                  <ns1:sty ns1:val="b"/>
                </ns1:rPr>
                <ns1:t>u</ns1:t>
              </ns1:r>
            </ns1:e>
            <ns1:sub>
              <ns1:r>
                <ns1:t>i</ns1:t>
              </ns1:r>
              <ns1:r>
                <ns1:rPr>
                  <ns1:sty ns1:val="p"/>
                </ns1:rPr>
                <ns1:t>ℓ</ns1:t>
              </ns1:r>
            </ns1:sub>
          </ns1:sSub>
          <ns1:r>
            <ns1:rPr>
              <ns1:sty ns1:val="p"/>
            </ns1:rPr>
            <ns1:t>(</ns1:t>
          </ns1:r>
          <ns1:sSub>
            <ns1:e>
              <ns1:r>
                <ns1:rPr>
                  <ns1:sty ns1:val="b"/>
                </ns1:rPr>
                <ns1:t>X</ns1:t>
              </ns1:r>
            </ns1:e>
            <ns1:sub>
              <ns1:r>
                <ns1:t>j</ns1:t>
              </ns1:r>
            </ns1:sub>
          </ns1:sSub>
          <ns1:r>
            <ns1:rPr>
              <ns1:sty ns1:val="p"/>
            </ns1:rPr>
            <ns1:t>)</ns1:t>
          </ns1:r>
          <ns1:r>
            <ns1:rPr>
              <ns1:sty ns1:val="p"/>
            </ns1:rPr>
            <ns1:t>.</ns1:t>
          </ns1:r>
        </ns1:oMath>
      </ns1:oMathPara>
    </ns0:p>
    <ns0:p>
      <ns0:pPr>
        <ns0:pStyle ns0:val="FirstParagraph"/>
      </ns0:pPr>
      <ns0:r>
        <ns0:t xml:space="preserve">Both use identical topology and point correspondence. Here</ns0:t>
      </ns0:r>
      <ns0:r>
        <ns0:t xml:space="preserve"> </ns0:t>
      </ns0:r>
      <ns0:r>
        <ns0:t xml:space="preserve">“</ns0:t>
      </ns0:r>
      <ns0:r>
        <ns0:t xml:space="preserve">unloaded</ns0:t>
      </ns0:r>
      <ns0:r>
        <ns0:t xml:space="preserve">”</ns0:t>
      </ns0:r>
      <ns0:r>
        <ns0:t xml:space="preserve"> </ns0:t>
      </ns0:r>
      <ns0:r>
        <ns0:t xml:space="preserve">denotes the geometric reference with zero elastic displacement, not a separately equilibrated pretension-only state. The loaded field includes both the prescribed external load and the ligament pretension right-hand side. Comparing</ns0:t>
      </ns0:r>
      <ns0:r>
        <ns0:t xml:space="preserve"> </ns0:t>
      </ns0:r>
      <ns1:oMath>
        <ns1:sSub>
          <ns1:e>
            <ns1:r>
              <ns1:rPr>
                <ns1:sty ns1:val="b"/>
              </ns1:rPr>
              <ns1:t>X</ns1:t>
            </ns1:r>
          </ns1:e>
          <ns1:sub>
            <ns1:r>
              <ns1:t>j</ns1:t>
            </ns1:r>
          </ns1:sub>
        </ns1:sSub>
      </ns1:oMath>
      <ns0:r>
        <ns0:t xml:space="preserve"> </ns0:t>
      </ns0:r>
      <ns0:r>
        <ns0:t xml:space="preserve">with</ns0:t>
      </ns0:r>
      <ns0:r>
        <ns0:t xml:space="preserve"> </ns0:t>
      </ns0:r>
      <ns1:oMath>
        <ns1:sSubSup>
          <ns1:e>
            <ns1:r>
              <ns1:rPr>
                <ns1:sty ns1:val="b"/>
              </ns1:rPr>
              <ns1:t>p</ns1:t>
            </ns1:r>
          </ns1:e>
          <ns1:sub>
            <ns1:r>
              <ns1:t>i</ns1:t>
            </ns1:r>
            <ns1:r>
              <ns1:rPr>
                <ns1:sty ns1:val="p"/>
              </ns1:rPr>
              <ns1:t>ℓ</ns1:t>
            </ns1:r>
            <ns1:r>
              <ns1:t>j</ns1:t>
            </ns1:r>
          </ns1:sub>
          <ns1:sup>
            <ns1:r>
              <ns1:t>1</ns1:t>
            </ns1:r>
          </ns1:sup>
        </ns1:sSubSup>
      </ns1:oMath>
      <ns0:r>
        <ns0:t xml:space="preserve"> </ns0:t>
      </ns0:r>
      <ns0:r>
        <ns0:t xml:space="preserve">would incorrectly include subject morphology in the measured motion. Geometry was reconstructed with two-stage interpolation: template-to-FE mapping (10 neighbors, smoothing 50) followed by FE-to-surface mapping (10 neighbors, zero smoothing). Elastic displacement fields use the latter interpolation. Cached sparse interpolation weights implement the same linear RBF evaluation; numerical comparisons against direct RBF evaluation check this equivalence.</ns0:t>
      </ns0:r>
    </ns0:p>
    <ns0:bookmarkEnd ns0:id="72"/>
    <ns0:bookmarkStart ns0:id="73" ns0:name="a.4.-pelvis-aligned-reporting-frame"/>
    <ns0:p>
      <ns0:pPr>
        <ns0:pStyle ns0:val="Heading2"/>
      </ns0:pPr>
      <ns0:r>
        <ns0:t xml:space="preserve">A.4. Pelvis-aligned reporting frame</ns0:t>
      </ns0:r>
    </ns0:p>
    <ns0:p>
      <ns0:pPr>
        <ns0:pStyle ns0:val="FirstParagraph"/>
      </ns0:pPr>
      <ns0:r>
        <ns0:t xml:space="preserve">The origin</ns0:t>
      </ns0:r>
      <ns0:r>
        <ns0:t xml:space="preserve"> </ns0:t>
      </ns0:r>
      <ns1:oMath>
        <ns1:r>
          <ns1:rPr>
            <ns1:sty ns1:val="b"/>
          </ns1:rPr>
          <ns1:t>o</ns1:t>
        </ns1:r>
      </ns1:oMath>
      <ns0:r>
        <ns0:t xml:space="preserve"> </ns0:t>
      </ns0:r>
      <ns0:r>
        <ns0:t xml:space="preserve">is the centroid of the unloaded surface. The initial ML axis is the dominant eigenvector of the point-cloud covariance, with deterministic sign. The symmetry-plane routine uses this PCA approximation; it does not optimize reflection symmetry. Project the centered points onto its orthogonal plane and take the leading in-plane singular vector. Orthogonalization gives</ns0:t>
      </ns0:r>
      <ns0:r>
        <ns0:t xml:space="preserve"> </ns0:t>
      </ns0:r>
      <ns1:oMath>
        <ns1:acc>
          <ns1:accPr>
            <ns1:chr ns1:val="̂"/>
          </ns1:accPr>
          <ns1:e>
            <ns1:r>
              <ns1:rPr>
                <ns1:sty ns1:val="b"/>
              </ns1:rPr>
              <ns1:t>z</ns1:t>
            </ns1:r>
          </ns1:e>
        </ns1:acc>
      </ns1:oMath>
      <ns0:r>
        <ns0:t xml:space="preserve">, followed by</ns0:t>
      </ns0:r>
    </ns0:p>
    <ns0:p>
      <ns0:pPr>
        <ns0:pStyle ns0:val="BodyText"/>
      </ns0:pPr>
      <ns1:oMathPara>
        <ns1:oMathParaPr>
          <ns1:jc ns1:val="center"/>
        </ns1:oMathParaPr>
        <ns1:oMath>
          <ns1:acc>
            <ns1:accPr>
              <ns1:chr ns1:val="̂"/>
            </ns1:accPr>
            <ns1:e>
              <ns1:r>
                <ns1:rPr>
                  <ns1:sty ns1:val="b"/>
                </ns1:rPr>
                <ns1:t>y</ns1:t>
              </ns1:r>
            </ns1:e>
          </ns1:acc>
          <ns1:r>
            <ns1:rPr>
              <ns1:sty ns1:val="p"/>
            </ns1:rPr>
            <ns1:t>=</ns1:t>
          </ns1:r>
          <ns1:f>
            <ns1:fPr>
              <ns1:type ns1:val="bar"/>
            </ns1:fPr>
            <ns1:num>
              <ns1:acc>
                <ns1:accPr>
                  <ns1:chr ns1:val="̂"/>
                </ns1:accPr>
                <ns1:e>
                  <ns1:r>
                    <ns1:rPr>
                      <ns1:sty ns1:val="b"/>
                    </ns1:rPr>
                    <ns1:t>z</ns1:t>
                  </ns1:r>
                </ns1:e>
              </ns1:acc>
              <ns1:r>
                <ns1:rPr>
                  <ns1:sty ns1:val="p"/>
                </ns1:rPr>
                <ns1:t>×</ns1:t>
              </ns1:r>
              <ns1:acc>
                <ns1:accPr>
                  <ns1:chr ns1:val="̂"/>
                </ns1:accPr>
                <ns1:e>
                  <ns1:r>
                    <ns1:rPr>
                      <ns1:sty ns1:val="b"/>
                    </ns1:rPr>
                    <ns1:t>x</ns1:t>
                  </ns1:r>
                </ns1:e>
              </ns1:acc>
            </ns1:num>
            <ns1:den>
              <ns1:r>
                <ns1:rPr>
                  <ns1:sty ns1:val="p"/>
                </ns1:rPr>
                <ns1:t>∥</ns1:t>
              </ns1:r>
              <ns1:acc>
                <ns1:accPr>
                  <ns1:chr ns1:val="̂"/>
                </ns1:accPr>
                <ns1:e>
                  <ns1:r>
                    <ns1:rPr>
                      <ns1:sty ns1:val="b"/>
                    </ns1:rPr>
                    <ns1:t>z</ns1:t>
                  </ns1:r>
                </ns1:e>
              </ns1:acc>
              <ns1:r>
                <ns1:rPr>
                  <ns1:sty ns1:val="p"/>
                </ns1:rPr>
                <ns1:t>×</ns1:t>
              </ns1:r>
              <ns1:acc>
                <ns1:accPr>
                  <ns1:chr ns1:val="̂"/>
                </ns1:accPr>
                <ns1:e>
                  <ns1:r>
                    <ns1:rPr>
                      <ns1:sty ns1:val="b"/>
                    </ns1:rPr>
                    <ns1:t>x</ns1:t>
                  </ns1:r>
                </ns1:e>
              </ns1:acc>
              <ns1:r>
                <ns1:rPr>
                  <ns1:sty ns1:val="p"/>
                </ns1:rPr>
                <ns1:t>∥</ns1:t>
              </ns1:r>
            </ns1:den>
          </ns1:f>
          <ns1:r>
            <ns1:rPr>
              <ns1:sty ns1:val="p"/>
            </ns1:rPr>
            <ns1:t>,</ns1:t>
          </ns1:r>
          <ns1:r>
            <ns1:t>  </ns1:t>
          </ns1:r>
          <ns1:acc>
            <ns1:accPr>
              <ns1:chr ns1:val="̂"/>
            </ns1:accPr>
            <ns1:e>
              <ns1:r>
                <ns1:rPr>
                  <ns1:sty ns1:val="b"/>
                </ns1:rPr>
                <ns1:t>z</ns1:t>
              </ns1:r>
            </ns1:e>
          </ns1:acc>
          <ns1:r>
            <ns1:rPr>
              <ns1:sty ns1:val="p"/>
            </ns1:rPr>
            <ns1:t>=</ns1:t>
          </ns1:r>
          <ns1:acc>
            <ns1:accPr>
              <ns1:chr ns1:val="̂"/>
            </ns1:accPr>
            <ns1:e>
              <ns1:r>
                <ns1:rPr>
                  <ns1:sty ns1:val="b"/>
                </ns1:rPr>
                <ns1:t>x</ns1:t>
              </ns1:r>
            </ns1:e>
          </ns1:acc>
          <ns1:r>
            <ns1:rPr>
              <ns1:sty ns1:val="p"/>
            </ns1:rPr>
            <ns1:t>×</ns1:t>
          </ns1:r>
          <ns1:acc>
            <ns1:accPr>
              <ns1:chr ns1:val="̂"/>
            </ns1:accPr>
            <ns1:e>
              <ns1:r>
                <ns1:rPr>
                  <ns1:sty ns1:val="b"/>
                </ns1:rPr>
                <ns1:t>y</ns1:t>
              </ns1:r>
            </ns1:e>
          </ns1:acc>
          <ns1:r>
            <ns1:rPr>
              <ns1:sty ns1:val="p"/>
            </ns1:rPr>
            <ns1:t>,</ns1:t>
          </ns1:r>
          <ns1:r>
            <ns1:t>  </ns1:t>
          </ns1:r>
          <ns1:r>
            <ns1:rPr>
              <ns1:sty ns1:val="b"/>
            </ns1:rPr>
            <ns1:t>P</ns1:t>
          </ns1:r>
          <ns1:r>
            <ns1:rPr>
              <ns1:sty ns1:val="p"/>
            </ns1:rPr>
            <ns1:t>=</ns1:t>
          </ns1:r>
          <ns1:r>
            <ns1:rPr>
              <ns1:sty ns1:val="p"/>
            </ns1:rPr>
            <ns1:t>[</ns1:t>
          </ns1:r>
          <ns1:acc>
            <ns1:accPr>
              <ns1:chr ns1:val="̂"/>
            </ns1:accPr>
            <ns1:e>
              <ns1:r>
                <ns1:rPr>
                  <ns1:sty ns1:val="b"/>
                </ns1:rPr>
                <ns1:t>x</ns1:t>
              </ns1:r>
            </ns1:e>
          </ns1:acc>
          <ns1:r>
            <ns1:rPr>
              <ns1:sty ns1:val="p"/>
            </ns1:rPr>
            <ns1:t>,</ns1:t>
          </ns1:r>
          <ns1:acc>
            <ns1:accPr>
              <ns1:chr ns1:val="̂"/>
            </ns1:accPr>
            <ns1:e>
              <ns1:r>
                <ns1:rPr>
                  <ns1:sty ns1:val="b"/>
                </ns1:rPr>
                <ns1:t>y</ns1:t>
              </ns1:r>
            </ns1:e>
          </ns1:acc>
          <ns1:r>
            <ns1:rPr>
              <ns1:sty ns1:val="p"/>
            </ns1:rPr>
            <ns1:t>,</ns1:t>
          </ns1:r>
          <ns1:acc>
            <ns1:accPr>
              <ns1:chr ns1:val="̂"/>
            </ns1:accPr>
            <ns1:e>
              <ns1:r>
                <ns1:rPr>
                  <ns1:sty ns1:val="b"/>
                </ns1:rPr>
                <ns1:t>z</ns1:t>
              </ns1:r>
            </ns1:e>
          </ns1:acc>
          <ns1:r>
            <ns1:rPr>
              <ns1:sty ns1:val="p"/>
            </ns1:rPr>
            <ns1:t>]</ns1:t>
          </ns1:r>
          <ns1:r>
            <ns1:rPr>
              <ns1:sty ns1:val="p"/>
            </ns1:rPr>
            <ns1:t>.</ns1:t>
          </ns1:r>
        </ns1:oMath>
      </ns1:oMathPara>
    </ns0:p>
    <ns0:p>
      <ns0:pPr>
        <ns0:pStyle ns0:val="FirstParagraph"/>
      </ns0:pPr>
      <ns0:r>
        <ns0:t xml:space="preserve">The ML and AP axes are simultaneously reversed if needed so that ML points from the left to right ilium centroids. This construction is orthonormal and right-handed but does not independently anchor the AP/CC signs to anatomical landmarks. Absolute components are therefore used for comparisons. No clinical nutation sign is inferred from the stored</ns0:t>
      </ns0:r>
      <ns0:r>
        <ns0:t xml:space="preserve"> </ns0:t>
      </ns0:r>
      <ns1:oMath>
        <ns1:sSub>
          <ns1:e>
            <ns1:r>
              <ns1:t>α</ns1:t>
            </ns1:r>
          </ns1:e>
          <ns1:sub>
            <ns1:r>
              <ns1:t>x</ns1:t>
            </ns1:r>
          </ns1:sub>
        </ns1:sSub>
      </ns1:oMath>
      <ns0:r>
        <ns0:t xml:space="preserve"> </ns0:t>
      </ns0:r>
      <ns0:r>
        <ns0:t xml:space="preserve">sign.</ns0:t>
      </ns0:r>
    </ns0:p>
    <ns0:bookmarkEnd ns0:id="73"/>
    <ns0:bookmarkStart ns0:id="74" ns0:name="X8a815f754a8667174a0bb1593fcd89d67de5cd4"/>
    <ns0:p>
      <ns0:pPr>
        <ns0:pStyle ns0:val="Heading2"/>
      </ns0:pPr>
      <ns0:r>
        <ns0:t xml:space="preserve">A.5. Affine correction, regions and rigid fits</ns0:t>
      </ns0:r>
    </ns0:p>
    <ns0:p>
      <ns0:pPr>
        <ns0:pStyle ns0:val="FirstParagraph"/>
      </ns0:pPr>
      <ns0:r>
        <ns0:t xml:space="preserve">Fit the sacral point correspondence by ordinary least squares,</ns0:t>
      </ns0:r>
    </ns0:p>
    <ns0:p>
      <ns0:pPr>
        <ns0:pStyle ns0:val="BodyText"/>
      </ns0:pPr>
      <ns1:oMathPara>
        <ns1:oMathParaPr>
          <ns1:jc ns1:val="center"/>
        </ns1:oMathParaPr>
        <ns1:oMath>
          <ns1:r>
            <ns1:rPr>
              <ns1:sty ns1:val="p"/>
            </ns1:rPr>
            <ns1:t>(</ns1:t>
          </ns1:r>
          <ns1:sSub>
            <ns1:e>
              <ns1:r>
                <ns1:rPr>
                  <ns1:sty ns1:val="b"/>
                </ns1:rPr>
                <ns1:t>A</ns1:t>
              </ns1:r>
            </ns1:e>
            <ns1:sub>
              <ns1:r>
                <ns1:t>S</ns1:t>
              </ns1:r>
            </ns1:sub>
          </ns1:sSub>
          <ns1:r>
            <ns1:rPr>
              <ns1:sty ns1:val="p"/>
            </ns1:rPr>
            <ns1:t>,</ns1:t>
          </ns1:r>
          <ns1:sSub>
            <ns1:e>
              <ns1:r>
                <ns1:rPr>
                  <ns1:sty ns1:val="b"/>
                </ns1:rPr>
                <ns1:t>b</ns1:t>
              </ns1:r>
            </ns1:e>
            <ns1:sub>
              <ns1:r>
                <ns1:t>S</ns1:t>
              </ns1:r>
            </ns1:sub>
          </ns1:sSub>
          <ns1:r>
            <ns1:rPr>
              <ns1:sty ns1:val="p"/>
            </ns1:rPr>
            <ns1:t>)</ns1:t>
          </ns1:r>
          <ns1:r>
            <ns1:rPr>
              <ns1:sty ns1:val="p"/>
            </ns1:rPr>
            <ns1:t>=</ns1:t>
          </ns1:r>
          <ns1:r>
            <ns1:rPr>
              <ns1:nor/>
              <ns1:sty ns1:val="p"/>
            </ns1:rPr>
            <ns1:t>arg</ns1:t>
          </ns1:r>
          <ns1:limLow>
            <ns1:e>
              <ns1:r>
                <ns1:rPr>
                  <ns1:nor/>
                  <ns1:sty ns1:val="p"/>
                </ns1:rPr>
                <ns1:t>min</ns1:t>
              </ns1:r>
            </ns1:e>
            <ns1:lim>
              <ns1:r>
                <ns1:rPr>
                  <ns1:sty ns1:val="b"/>
                </ns1:rPr>
                <ns1:t>A</ns1:t>
              </ns1:r>
              <ns1:r>
                <ns1:rPr>
                  <ns1:sty ns1:val="p"/>
                </ns1:rPr>
                <ns1:t>,</ns1:t>
              </ns1:r>
              <ns1:r>
                <ns1:rPr>
                  <ns1:sty ns1:val="b"/>
                </ns1:rPr>
                <ns1:t>b</ns1:t>
              </ns1:r>
            </ns1:lim>
          </ns1:limLow>
          <ns1:nary>
            <ns1:naryPr>
              <ns1:chr ns1:val="∑"/>
              <ns1:limLoc ns1:val="undOvr"/>
              <ns1:subHide ns1:val="0"/>
              <ns1:supHide ns1:val="1"/>
            </ns1:naryPr>
            <ns1:sub>
              <ns1:r>
                <ns1:t>j</ns1:t>
              </ns1:r>
              <ns1:r>
                <ns1:rPr>
                  <ns1:sty ns1:val="p"/>
                </ns1:rPr>
                <ns1:t>∈</ns1:t>
              </ns1:r>
              <ns1:r>
                <ns1:t>S</ns1:t>
              </ns1:r>
            </ns1:sub>
            <ns1:sup>
              <ns1:r>
                <ns1:t>​</ns1:t>
              </ns1:r>
            </ns1:sup>
            <ns1:e>
              <ns1:r>
                <ns1:rPr>
                  <ns1:sty ns1:val="p"/>
                </ns1:rPr>
                <ns1:t>∥</ns1:t>
              </ns1:r>
            </ns1:e>
          </ns1:nary>
          <ns1:sSubSup>
            <ns1:e>
              <ns1:r>
                <ns1:rPr>
                  <ns1:sty ns1:val="b"/>
                </ns1:rPr>
                <ns1:t>p</ns1:t>
              </ns1:r>
            </ns1:e>
            <ns1:sub>
              <ns1:r>
                <ns1:t>j</ns1:t>
              </ns1:r>
            </ns1:sub>
            <ns1:sup>
              <ns1:r>
                <ns1:t>1</ns1:t>
              </ns1:r>
            </ns1:sup>
          </ns1:sSubSup>
          <ns1:r>
            <ns1:rPr>
              <ns1:sty ns1:val="p"/>
            </ns1:rPr>
            <ns1:t>−</ns1:t>
          </ns1:r>
          <ns1:r>
            <ns1:rPr>
              <ns1:sty ns1:val="b"/>
            </ns1:rPr>
            <ns1:t>A</ns1:t>
          </ns1:r>
          <ns1:sSubSup>
            <ns1:e>
              <ns1:r>
                <ns1:rPr>
                  <ns1:sty ns1:val="b"/>
                </ns1:rPr>
                <ns1:t>p</ns1:t>
              </ns1:r>
            </ns1:e>
            <ns1:sub>
              <ns1:r>
                <ns1:t>j</ns1:t>
              </ns1:r>
            </ns1:sub>
            <ns1:sup>
              <ns1:r>
                <ns1:t>0</ns1:t>
              </ns1:r>
            </ns1:sup>
          </ns1:sSubSup>
          <ns1:r>
            <ns1:rPr>
              <ns1:sty ns1:val="p"/>
            </ns1:rPr>
            <ns1:t>−</ns1:t>
          </ns1:r>
          <ns1:r>
            <ns1:rPr>
              <ns1:sty ns1:val="b"/>
            </ns1:rPr>
            <ns1:t>b</ns1:t>
          </ns1:r>
          <ns1:sSup>
            <ns1:e>
              <ns1:r>
                <ns1:rPr>
                  <ns1:sty ns1:val="p"/>
                </ns1:rPr>
                <ns1:t>∥</ns1:t>
              </ns1:r>
            </ns1:e>
            <ns1:sup>
              <ns1:r>
                <ns1:t>2</ns1:t>
              </ns1:r>
            </ns1:sup>
          </ns1:sSup>
          <ns1:r>
            <ns1:rPr>
              <ns1:sty ns1:val="p"/>
            </ns1:rPr>
            <ns1:t>,</ns1:t>
          </ns1:r>
          <ns1:r>
            <ns1:t>  </ns1:t>
          </ns1:r>
          <ns1:sSub>
            <ns1:e>
              <ns1:r>
                <ns1:rPr>
                  <ns1:sty ns1:val="b"/>
                </ns1:rPr>
                <ns1:t>q</ns1:t>
              </ns1:r>
            </ns1:e>
            <ns1:sub>
              <ns1:r>
                <ns1:t>j</ns1:t>
              </ns1:r>
            </ns1:sub>
          </ns1:sSub>
          <ns1:r>
            <ns1:rPr>
              <ns1:sty ns1:val="p"/>
            </ns1:rPr>
            <ns1:t>=</ns1:t>
          </ns1:r>
          <ns1:sSubSup>
            <ns1:e>
              <ns1:r>
                <ns1:rPr>
                  <ns1:sty ns1:val="b"/>
                </ns1:rPr>
                <ns1:t>A</ns1:t>
              </ns1:r>
            </ns1:e>
            <ns1:sub>
              <ns1:r>
                <ns1:t>S</ns1:t>
              </ns1:r>
            </ns1:sub>
            <ns1:sup>
              <ns1:r>
                <ns1:rPr>
                  <ns1:sty ns1:val="p"/>
                </ns1:rPr>
                <ns1:t>+</ns1:t>
              </ns1:r>
            </ns1:sup>
          </ns1:sSubSup>
          <ns1:r>
            <ns1:rPr>
              <ns1:sty ns1:val="p"/>
            </ns1:rPr>
            <ns1:t>(</ns1:t>
          </ns1:r>
          <ns1:sSubSup>
            <ns1:e>
              <ns1:r>
                <ns1:rPr>
                  <ns1:sty ns1:val="b"/>
                </ns1:rPr>
                <ns1:t>p</ns1:t>
              </ns1:r>
            </ns1:e>
            <ns1:sub>
              <ns1:r>
                <ns1:t>j</ns1:t>
              </ns1:r>
            </ns1:sub>
            <ns1:sup>
              <ns1:r>
                <ns1:t>1</ns1:t>
              </ns1:r>
            </ns1:sup>
          </ns1:sSubSup>
          <ns1:r>
            <ns1:rPr>
              <ns1:sty ns1:val="p"/>
            </ns1:rPr>
            <ns1:t>−</ns1:t>
          </ns1:r>
          <ns1:sSub>
            <ns1:e>
              <ns1:r>
                <ns1:rPr>
                  <ns1:sty ns1:val="b"/>
                </ns1:rPr>
                <ns1:t>b</ns1:t>
              </ns1:r>
            </ns1:e>
            <ns1:sub>
              <ns1:r>
                <ns1:t>S</ns1:t>
              </ns1:r>
            </ns1:sub>
          </ns1:sSub>
          <ns1:r>
            <ns1:rPr>
              <ns1:sty ns1:val="p"/>
            </ns1:rPr>
            <ns1:t>)</ns1:t>
          </ns1:r>
          <ns1:r>
            <ns1:rPr>
              <ns1:sty ns1:val="p"/>
            </ns1:rPr>
            <ns1:t>,</ns1:t>
          </ns1:r>
        </ns1:oMath>
      </ns1:oMathPara>
    </ns0:p>
    <ns0:p>
      <ns0:pPr>
        <ns0:pStyle ns0:val="FirstParagraph"/>
      </ns0:pPr>
      <ns0:r>
        <ns0:t xml:space="preserve">where</ns0:t>
      </ns0:r>
      <ns0:r>
        <ns0:t xml:space="preserve"> </ns0:t>
      </ns0:r>
      <ns1:oMath>
        <ns1:r>
          <ns1:rPr>
            <ns1:sty ns1:val="p"/>
          </ns1:rPr>
          <ns1:t>+</ns1:t>
        </ns1:r>
      </ns1:oMath>
      <ns0:r>
        <ns0:t xml:space="preserve"> </ns0:t>
      </ns0:r>
      <ns0:r>
        <ns0:t xml:space="preserve">denotes the Moore–Penrose pseudoinverse. This removes fitted affine sacral deformation, including stretch and shear; it is not only a change of rigid observer frame.</ns0:t>
      </ns0:r>
    </ns0:p>
    <ns0:p>
      <ns0:pPr>
        <ns0:pStyle ns0:val="BodyText"/>
      </ns0:pPr>
      <ns0:r>
        <ns0:t xml:space="preserve">For each side, first restrict both point clouds to that side of the reporting-frame midplane (falling back to the entire bone if this set is empty). Select sacral and iliac points within 5 mm of the opposing restricted point cloud. If fewer than 80 points qualify, use up to the nearest 80 available points. Distances are between discrete points rather than continuous articular surfaces. For each bone ROI, the rigid fit maps</ns0:t>
      </ns0:r>
      <ns0:r>
        <ns0:t xml:space="preserve"> </ns0:t>
      </ns0:r>
      <ns1:oMath>
        <ns1:sSup>
          <ns1:e>
            <ns1:r>
              <ns1:rPr>
                <ns1:sty ns1:val="b"/>
              </ns1:rPr>
              <ns1:t>p</ns1:t>
            </ns1:r>
          </ns1:e>
          <ns1:sup>
            <ns1:r>
              <ns1:t>0</ns1:t>
            </ns1:r>
          </ns1:sup>
        </ns1:sSup>
      </ns1:oMath>
      <ns0:r>
        <ns0:t xml:space="preserve"> </ns0:t>
      </ns0:r>
      <ns0:r>
        <ns0:t xml:space="preserve">to</ns0:t>
      </ns0:r>
      <ns0:r>
        <ns0:t xml:space="preserve"> </ns0:t>
      </ns0:r>
      <ns1:oMath>
        <ns1:r>
          <ns1:rPr>
            <ns1:sty ns1:val="b"/>
          </ns1:rPr>
          <ns1:t>q</ns1:t>
        </ns1:r>
      </ns1:oMath>
      <ns0:r>
        <ns0:t xml:space="preserve">. With centered row matrices</ns0:t>
      </ns0:r>
      <ns0:r>
        <ns0:t xml:space="preserve"> </ns0:t>
      </ns0:r>
      <ns1:oMath>
        <ns1:sSub>
          <ns1:e>
            <ns1:acc>
              <ns1:accPr>
                <ns1:chr ns1:val="̃"/>
              </ns1:accPr>
              <ns1:e>
                <ns1:r>
                  <ns1:rPr>
                    <ns1:sty ns1:val="b"/>
                  </ns1:rPr>
                  <ns1:t>P</ns1:t>
                </ns1:r>
              </ns1:e>
            </ns1:acc>
          </ns1:e>
          <ns1:sub>
            <ns1:r>
              <ns1:t>B</ns1:t>
            </ns1:r>
          </ns1:sub>
        </ns1:sSub>
        <ns1:r>
          <ns1:rPr>
            <ns1:sty ns1:val="p"/>
          </ns1:rPr>
          <ns1:t>,</ns1:t>
        </ns1:r>
        <ns1:sSub>
          <ns1:e>
            <ns1:acc>
              <ns1:accPr>
                <ns1:chr ns1:val="̃"/>
              </ns1:accPr>
              <ns1:e>
                <ns1:r>
                  <ns1:rPr>
                    <ns1:sty ns1:val="b"/>
                  </ns1:rPr>
                  <ns1:t>Q</ns1:t>
                </ns1:r>
              </ns1:e>
            </ns1:acc>
          </ns1:e>
          <ns1:sub>
            <ns1:r>
              <ns1:t>B</ns1:t>
            </ns1:r>
          </ns1:sub>
        </ns1:sSub>
      </ns1:oMath>
      <ns0:r>
        <ns0:t xml:space="preserve">,</ns0:t>
      </ns0:r>
    </ns0:p>
    <ns0:p>
      <ns0:pPr>
        <ns0:pStyle ns0:val="BodyText"/>
      </ns0:pPr>
      <ns1:oMathPara>
        <ns1:oMathParaPr>
          <ns1:jc ns1:val="center"/>
        </ns1:oMathParaPr>
        <ns1:oMath>
          <ns1:sSubSup>
            <ns1:e>
              <ns1:acc>
                <ns1:accPr>
                  <ns1:chr ns1:val="̃"/>
                </ns1:accPr>
                <ns1:e>
                  <ns1:r>
                    <ns1:rPr>
                      <ns1:sty ns1:val="b"/>
                    </ns1:rPr>
                    <ns1:t>P</ns1:t>
                  </ns1:r>
                </ns1:e>
              </ns1:acc>
            </ns1:e>
            <ns1:sub>
              <ns1:r>
                <ns1:t>B</ns1:t>
              </ns1:r>
            </ns1:sub>
            <ns1:sup>
              <ns1:r>
                <ns1:t>T</ns1:t>
              </ns1:r>
            </ns1:sup>
          </ns1:sSubSup>
          <ns1:sSub>
            <ns1:e>
              <ns1:acc>
                <ns1:accPr>
                  <ns1:chr ns1:val="̃"/>
                </ns1:accPr>
                <ns1:e>
                  <ns1:r>
                    <ns1:rPr>
                      <ns1:sty ns1:val="b"/>
                    </ns1:rPr>
                    <ns1:t>Q</ns1:t>
                  </ns1:r>
                </ns1:e>
              </ns1:acc>
            </ns1:e>
            <ns1:sub>
              <ns1:r>
                <ns1:t>B</ns1:t>
              </ns1:r>
            </ns1:sub>
          </ns1:sSub>
          <ns1:r>
            <ns1:rPr>
              <ns1:sty ns1:val="p"/>
            </ns1:rPr>
            <ns1:t>=</ns1:t>
          </ns1:r>
          <ns1:r>
            <ns1:rPr>
              <ns1:sty ns1:val="b"/>
            </ns1:rPr>
            <ns1:t>U</ns1:t>
          </ns1:r>
          <ns1:r>
            <ns1:rPr>
              <ns1:sty ns1:val="b"/>
            </ns1:rPr>
            <ns1:t>Σ</ns1:t>
          </ns1:r>
          <ns1:sSup>
            <ns1:e>
              <ns1:r>
                <ns1:rPr>
                  <ns1:sty ns1:val="b"/>
                </ns1:rPr>
                <ns1:t>V</ns1:t>
              </ns1:r>
            </ns1:e>
            <ns1:sup>
              <ns1:r>
                <ns1:t>T</ns1:t>
              </ns1:r>
            </ns1:sup>
          </ns1:sSup>
          <ns1:r>
            <ns1:rPr>
              <ns1:sty ns1:val="p"/>
            </ns1:rPr>
            <ns1:t>,</ns1:t>
          </ns1:r>
          <ns1:r>
            <ns1:t> </ns1:t>
          </ns1:r>
          <ns1:sSub>
            <ns1:e>
              <ns1:r>
                <ns1:rPr>
                  <ns1:sty ns1:val="b"/>
                </ns1:rPr>
                <ns1:t>R</ns1:t>
              </ns1:r>
            </ns1:e>
            <ns1:sub>
              <ns1:r>
                <ns1:t>B</ns1:t>
              </ns1:r>
            </ns1:sub>
          </ns1:sSub>
          <ns1:r>
            <ns1:rPr>
              <ns1:sty ns1:val="p"/>
            </ns1:rPr>
            <ns1:t>=</ns1:t>
          </ns1:r>
          <ns1:r>
            <ns1:rPr>
              <ns1:sty ns1:val="b"/>
            </ns1:rPr>
            <ns1:t>V</ns1:t>
          </ns1:r>
          <ns1:r>
            <ns1:rPr>
              <ns1:nor/>
              <ns1:sty ns1:val="p"/>
            </ns1:rPr>
            <ns1:t>diag</ns1:t>
          </ns1:r>
          <ns1:r>
            <ns1:rPr>
              <ns1:sty ns1:val="p"/>
            </ns1:rPr>
            <ns1:t>(</ns1:t>
          </ns1:r>
          <ns1:r>
            <ns1:t>1</ns1:t>
          </ns1:r>
          <ns1:r>
            <ns1:rPr>
              <ns1:sty ns1:val="p"/>
            </ns1:rPr>
            <ns1:t>,</ns1:t>
          </ns1:r>
          <ns1:r>
            <ns1:t>1</ns1:t>
          </ns1:r>
          <ns1:r>
            <ns1:rPr>
              <ns1:sty ns1:val="p"/>
            </ns1:rPr>
            <ns1:t>,</ns1:t>
          </ns1:r>
          <ns1:r>
            <ns1:rPr>
              <ns1:nor/>
              <ns1:sty ns1:val="p"/>
            </ns1:rPr>
            <ns1:t>det</ns1:t>
          </ns1:r>
          <ns1:r>
            <ns1:rPr>
              <ns1:sty ns1:val="p"/>
            </ns1:rPr>
            <ns1:t>(</ns1:t>
          </ns1:r>
          <ns1:r>
            <ns1:rPr>
              <ns1:sty ns1:val="b"/>
            </ns1:rPr>
            <ns1:t>V</ns1:t>
          </ns1:r>
          <ns1:sSup>
            <ns1:e>
              <ns1:r>
                <ns1:rPr>
                  <ns1:sty ns1:val="b"/>
                </ns1:rPr>
                <ns1:t>U</ns1:t>
              </ns1:r>
            </ns1:e>
            <ns1:sup>
              <ns1:r>
                <ns1:t>T</ns1:t>
              </ns1:r>
            </ns1:sup>
          </ns1:sSup>
          <ns1:r>
            <ns1:rPr>
              <ns1:sty ns1:val="p"/>
            </ns1:rPr>
            <ns1:t>)</ns1:t>
          </ns1:r>
          <ns1:r>
            <ns1:rPr>
              <ns1:sty ns1:val="p"/>
            </ns1:rPr>
            <ns1:t>)</ns1:t>
          </ns1:r>
          <ns1:sSup>
            <ns1:e>
              <ns1:r>
                <ns1:rPr>
                  <ns1:sty ns1:val="b"/>
                </ns1:rPr>
                <ns1:t>U</ns1:t>
              </ns1:r>
            </ns1:e>
            <ns1:sup>
              <ns1:r>
                <ns1:t>T</ns1:t>
              </ns1:r>
            </ns1:sup>
          </ns1:sSup>
          <ns1:r>
            <ns1:rPr>
              <ns1:sty ns1:val="p"/>
            </ns1:rPr>
            <ns1:t>,</ns1:t>
          </ns1:r>
          <ns1:r>
            <ns1:t> </ns1:t>
          </ns1:r>
          <ns1:sSub>
            <ns1:e>
              <ns1:r>
                <ns1:rPr>
                  <ns1:sty ns1:val="b"/>
                </ns1:rPr>
                <ns1:t>t</ns1:t>
              </ns1:r>
            </ns1:e>
            <ns1:sub>
              <ns1:r>
                <ns1:t>B</ns1:t>
              </ns1:r>
            </ns1:sub>
          </ns1:sSub>
          <ns1:r>
            <ns1:rPr>
              <ns1:sty ns1:val="p"/>
            </ns1:rPr>
            <ns1:t>=</ns1:t>
          </ns1:r>
          <ns1:sSub>
            <ns1:e>
              <ns1:acc>
                <ns1:accPr>
                  <ns1:chr ns1:val="‾"/>
                </ns1:accPr>
                <ns1:e>
                  <ns1:r>
                    <ns1:rPr>
                      <ns1:sty ns1:val="b"/>
                    </ns1:rPr>
                    <ns1:t>q</ns1:t>
                  </ns1:r>
                </ns1:e>
              </ns1:acc>
            </ns1:e>
            <ns1:sub>
              <ns1:r>
                <ns1:t>B</ns1:t>
              </ns1:r>
            </ns1:sub>
          </ns1:sSub>
          <ns1:r>
            <ns1:rPr>
              <ns1:sty ns1:val="p"/>
            </ns1:rPr>
            <ns1:t>−</ns1:t>
          </ns1:r>
          <ns1:sSub>
            <ns1:e>
              <ns1:r>
                <ns1:rPr>
                  <ns1:sty ns1:val="b"/>
                </ns1:rPr>
                <ns1:t>R</ns1:t>
              </ns1:r>
            </ns1:e>
            <ns1:sub>
              <ns1:r>
                <ns1:t>B</ns1:t>
              </ns1:r>
            </ns1:sub>
          </ns1:sSub>
          <ns1:sSubSup>
            <ns1:e>
              <ns1:acc>
                <ns1:accPr>
                  <ns1:chr ns1:val="‾"/>
                </ns1:accPr>
                <ns1:e>
                  <ns1:r>
                    <ns1:rPr>
                      <ns1:sty ns1:val="b"/>
                    </ns1:rPr>
                    <ns1:t>p</ns1:t>
                  </ns1:r>
                </ns1:e>
              </ns1:acc>
            </ns1:e>
            <ns1:sub>
              <ns1:r>
                <ns1:t>B</ns1:t>
              </ns1:r>
            </ns1:sub>
            <ns1:sup>
              <ns1:r>
                <ns1:t>0</ns1:t>
              </ns1:r>
            </ns1:sup>
          </ns1:sSubSup>
          <ns1:r>
            <ns1:rPr>
              <ns1:sty ns1:val="p"/>
            </ns1:rPr>
            <ns1:t>.</ns1:t>
          </ns1:r>
        </ns1:oMath>
      </ns1:oMathPara>
    </ns0:p>
    <ns0:p>
      <ns0:pPr>
        <ns0:pStyle ns0:val="FirstParagraph"/>
      </ns0:pPr>
      <ns0:r>
        <ns0:t xml:space="preserve">The fit is repeated after excluding the largest 10% residuals, using two trimming iterations. Trimming reduces outlier influence but does not validate the ROI as a physical contact patch.</ns0:t>
      </ns0:r>
    </ns0:p>
    <ns0:bookmarkEnd ns0:id="74"/>
    <ns0:bookmarkStart ns0:id="75" ns0:name="a.6.-relative-rotation-and-translation"/>
    <ns0:p>
      <ns0:pPr>
        <ns0:pStyle ns0:val="Heading2"/>
      </ns0:pPr>
      <ns0:r>
        <ns0:t xml:space="preserve">A.6. Relative rotation and translation</ns0:t>
      </ns0:r>
    </ns0:p>
    <ns0:p>
      <ns0:pPr>
        <ns0:pStyle ns0:val="FirstParagraph"/>
      </ns0:pPr>
      <ns0:r>
        <ns0:t xml:space="preserve">For sacral and iliac fits</ns0:t>
      </ns0:r>
      <ns0:r>
        <ns0:t xml:space="preserve"> </ns0:t>
      </ns0:r>
      <ns1:oMath>
        <ns1:r>
          <ns1:t>S</ns1:t>
        </ns1:r>
        <ns1:r>
          <ns1:rPr>
            <ns1:sty ns1:val="p"/>
          </ns1:rPr>
          <ns1:t>,</ns1:t>
        </ns1:r>
        <ns1:r>
          <ns1:t>I</ns1:t>
        </ns1:r>
      </ns1:oMath>
      <ns0:r>
        <ns0:t xml:space="preserve">,</ns0:t>
      </ns0:r>
    </ns0:p>
    <ns0:p>
      <ns0:pPr>
        <ns0:pStyle ns0:val="BodyText"/>
      </ns0:pPr>
      <ns1:oMathPara>
        <ns1:oMathParaPr>
          <ns1:jc ns1:val="center"/>
        </ns1:oMathParaPr>
        <ns1:oMath>
          <ns1:sSub>
            <ns1:e>
              <ns1:r>
                <ns1:rPr>
                  <ns1:sty ns1:val="b"/>
                </ns1:rPr>
                <ns1:t>R</ns1:t>
              </ns1:r>
            </ns1:e>
            <ns1:sub>
              <ns1:r>
                <ns1:t>r</ns1:t>
              </ns1:r>
              <ns1:r>
                <ns1:t>e</ns1:t>
              </ns1:r>
              <ns1:r>
                <ns1:t>l</ns1:t>
              </ns1:r>
            </ns1:sub>
          </ns1:sSub>
          <ns1:r>
            <ns1:rPr>
              <ns1:sty ns1:val="p"/>
            </ns1:rPr>
            <ns1:t>=</ns1:t>
          </ns1:r>
          <ns1:sSubSup>
            <ns1:e>
              <ns1:r>
                <ns1:rPr>
                  <ns1:sty ns1:val="b"/>
                </ns1:rPr>
                <ns1:t>R</ns1:t>
              </ns1:r>
            </ns1:e>
            <ns1:sub>
              <ns1:r>
                <ns1:t>S</ns1:t>
              </ns1:r>
            </ns1:sub>
            <ns1:sup>
              <ns1:r>
                <ns1:t>T</ns1:t>
              </ns1:r>
            </ns1:sup>
          </ns1:sSubSup>
          <ns1:sSub>
            <ns1:e>
              <ns1:r>
                <ns1:rPr>
                  <ns1:sty ns1:val="b"/>
                </ns1:rPr>
                <ns1:t>R</ns1:t>
              </ns1:r>
            </ns1:e>
            <ns1:sub>
              <ns1:r>
                <ns1:t>I</ns1:t>
              </ns1:r>
            </ns1:sub>
          </ns1:sSub>
          <ns1:r>
            <ns1:rPr>
              <ns1:sty ns1:val="p"/>
            </ns1:rPr>
            <ns1:t>,</ns1:t>
          </ns1:r>
          <ns1:r>
            <ns1:t>  </ns1:t>
          </ns1:r>
          <ns1:sSub>
            <ns1:e>
              <ns1:r>
                <ns1:rPr>
                  <ns1:sty ns1:val="b"/>
                </ns1:rPr>
                <ns1:t>R</ns1:t>
              </ns1:r>
            </ns1:e>
            <ns1:sub>
              <ns1:r>
                <ns1:t>l</ns1:t>
              </ns1:r>
              <ns1:r>
                <ns1:t>o</ns1:t>
              </ns1:r>
              <ns1:r>
                <ns1:t>c</ns1:t>
              </ns1:r>
            </ns1:sub>
          </ns1:sSub>
          <ns1:r>
            <ns1:rPr>
              <ns1:sty ns1:val="p"/>
            </ns1:rPr>
            <ns1:t>=</ns1:t>
          </ns1:r>
          <ns1:sSup>
            <ns1:e>
              <ns1:r>
                <ns1:rPr>
                  <ns1:sty ns1:val="b"/>
                </ns1:rPr>
                <ns1:t>P</ns1:t>
              </ns1:r>
            </ns1:e>
            <ns1:sup>
              <ns1:r>
                <ns1:t>T</ns1:t>
              </ns1:r>
            </ns1:sup>
          </ns1:sSup>
          <ns1:sSub>
            <ns1:e>
              <ns1:r>
                <ns1:rPr>
                  <ns1:sty ns1:val="b"/>
                </ns1:rPr>
                <ns1:t>R</ns1:t>
              </ns1:r>
            </ns1:e>
            <ns1:sub>
              <ns1:r>
                <ns1:t>r</ns1:t>
              </ns1:r>
              <ns1:r>
                <ns1:t>e</ns1:t>
              </ns1:r>
              <ns1:r>
                <ns1:t>l</ns1:t>
              </ns1:r>
            </ns1:sub>
          </ns1:sSub>
          <ns1:r>
            <ns1:rPr>
              <ns1:sty ns1:val="b"/>
            </ns1:rPr>
            <ns1:t>P</ns1:t>
          </ns1:r>
          <ns1:r>
            <ns1:rPr>
              <ns1:sty ns1:val="p"/>
            </ns1:rPr>
            <ns1:t>=</ns1:t>
          </ns1:r>
          <ns1:sSub>
            <ns1:e>
              <ns1:r>
                <ns1:rPr>
                  <ns1:sty ns1:val="b"/>
                </ns1:rPr>
                <ns1:t>R</ns1:t>
              </ns1:r>
            </ns1:e>
            <ns1:sub>
              <ns1:r>
                <ns1:t>z</ns1:t>
              </ns1:r>
            </ns1:sub>
          </ns1:sSub>
          <ns1:r>
            <ns1:rPr>
              <ns1:sty ns1:val="p"/>
            </ns1:rPr>
            <ns1:t>(</ns1:t>
          </ns1:r>
          <ns1:sSub>
            <ns1:e>
              <ns1:r>
                <ns1:t>γ</ns1:t>
              </ns1:r>
            </ns1:e>
            <ns1:sub>
              <ns1:r>
                <ns1:t>z</ns1:t>
              </ns1:r>
            </ns1:sub>
          </ns1:sSub>
          <ns1:r>
            <ns1:rPr>
              <ns1:sty ns1:val="p"/>
            </ns1:rPr>
            <ns1:t>)</ns1:t>
          </ns1:r>
          <ns1:sSub>
            <ns1:e>
              <ns1:r>
                <ns1:rPr>
                  <ns1:sty ns1:val="b"/>
                </ns1:rPr>
                <ns1:t>R</ns1:t>
              </ns1:r>
            </ns1:e>
            <ns1:sub>
              <ns1:r>
                <ns1:t>y</ns1:t>
              </ns1:r>
            </ns1:sub>
          </ns1:sSub>
          <ns1:r>
            <ns1:rPr>
              <ns1:sty ns1:val="p"/>
            </ns1:rPr>
            <ns1:t>(</ns1:t>
          </ns1:r>
          <ns1:sSub>
            <ns1:e>
              <ns1:r>
                <ns1:t>β</ns1:t>
              </ns1:r>
            </ns1:e>
            <ns1:sub>
              <ns1:r>
                <ns1:t>y</ns1:t>
              </ns1:r>
            </ns1:sub>
          </ns1:sSub>
          <ns1:r>
            <ns1:rPr>
              <ns1:sty ns1:val="p"/>
            </ns1:rPr>
            <ns1:t>)</ns1:t>
          </ns1:r>
          <ns1:sSub>
            <ns1:e>
              <ns1:r>
                <ns1:rPr>
                  <ns1:sty ns1:val="b"/>
                </ns1:rPr>
                <ns1:t>R</ns1:t>
              </ns1:r>
            </ns1:e>
            <ns1:sub>
              <ns1:r>
                <ns1:t>x</ns1:t>
              </ns1:r>
            </ns1:sub>
          </ns1:sSub>
          <ns1:r>
            <ns1:rPr>
              <ns1:sty ns1:val="p"/>
            </ns1:rPr>
            <ns1:t>(</ns1:t>
          </ns1:r>
          <ns1:sSub>
            <ns1:e>
              <ns1:r>
                <ns1:t>α</ns1:t>
              </ns1:r>
            </ns1:e>
            <ns1:sub>
              <ns1:r>
                <ns1:t>x</ns1:t>
              </ns1:r>
            </ns1:sub>
          </ns1:sSub>
          <ns1:r>
            <ns1:rPr>
              <ns1:sty ns1:val="p"/>
            </ns1:rPr>
            <ns1:t>)</ns1:t>
          </ns1:r>
          <ns1:r>
            <ns1:rPr>
              <ns1:sty ns1:val="p"/>
            </ns1:rPr>
            <ns1:t>.</ns1:t>
          </ns1:r>
        </ns1:oMath>
      </ns1:oMathPara>
    </ns0:p>
    <ns0:p>
      <ns0:pPr>
        <ns0:pStyle ns0:val="FirstParagraph"/>
      </ns0:pPr>
      <ns0:r>
        <ns0:t xml:space="preserve">The fixed-axis</ns0:t>
      </ns0:r>
      <ns0:r>
        <ns0:t xml:space="preserve"> </ns0:t>
      </ns0:r>
      <ns1:oMath>
        <ns1:r>
          <ns1:t>x</ns1:t>
        </ns1:r>
        <ns1:r>
          <ns1:t>y</ns1:t>
        </ns1:r>
        <ns1:r>
          <ns1:t>z</ns1:t>
        </ns1:r>
      </ns1:oMath>
      <ns0:r>
        <ns0:t xml:space="preserve"> </ns0:t>
      </ns0:r>
      <ns0:r>
        <ns0:t xml:space="preserve">extraction, for zero-based matrix indices away from gimbal lock, is</ns0:t>
      </ns0:r>
    </ns0:p>
    <ns0:p>
      <ns0:pPr>
        <ns0:pStyle ns0:val="BodyText"/>
      </ns0:pPr>
      <ns1:oMathPara>
        <ns1:oMathParaPr>
          <ns1:jc ns1:val="center"/>
        </ns1:oMathParaPr>
        <ns1:oMath>
          <ns1:sSub>
            <ns1:e>
              <ns1:r>
                <ns1:t>α</ns1:t>
              </ns1:r>
            </ns1:e>
            <ns1:sub>
              <ns1:r>
                <ns1:t>x</ns1:t>
              </ns1:r>
            </ns1:sub>
          </ns1:sSub>
          <ns1:r>
            <ns1:rPr>
              <ns1:sty ns1:val="p"/>
            </ns1:rPr>
            <ns1:t>=</ns1:t>
          </ns1:r>
          <ns1:r>
            <ns1:rPr>
              <ns1:nor/>
              <ns1:sty ns1:val="p"/>
            </ns1:rPr>
            <ns1:t>atan2</ns1:t>
          </ns1:r>
          <ns1:r>
            <ns1:rPr>
              <ns1:sty ns1:val="p"/>
            </ns1:rPr>
            <ns1:t>(</ns1:t>
          </ns1:r>
          <ns1:sSub>
            <ns1:e>
              <ns1:r>
                <ns1:t>R</ns1:t>
              </ns1:r>
            </ns1:e>
            <ns1:sub>
              <ns1:r>
                <ns1:t>21</ns1:t>
              </ns1:r>
            </ns1:sub>
          </ns1:sSub>
          <ns1:r>
            <ns1:rPr>
              <ns1:sty ns1:val="p"/>
            </ns1:rPr>
            <ns1:t>,</ns1:t>
          </ns1:r>
          <ns1:sSub>
            <ns1:e>
              <ns1:r>
                <ns1:t>R</ns1:t>
              </ns1:r>
            </ns1:e>
            <ns1:sub>
              <ns1:r>
                <ns1:t>22</ns1:t>
              </ns1:r>
            </ns1:sub>
          </ns1:sSub>
          <ns1:r>
            <ns1:rPr>
              <ns1:sty ns1:val="p"/>
            </ns1:rPr>
            <ns1:t>)</ns1:t>
          </ns1:r>
          <ns1:r>
            <ns1:rPr>
              <ns1:sty ns1:val="p"/>
            </ns1:rPr>
            <ns1:t>,</ns1:t>
          </ns1:r>
          <ns1:r>
            <ns1:t> </ns1:t>
          </ns1:r>
          <ns1:sSub>
            <ns1:e>
              <ns1:r>
                <ns1:t>β</ns1:t>
              </ns1:r>
            </ns1:e>
            <ns1:sub>
              <ns1:r>
                <ns1:t>y</ns1:t>
              </ns1:r>
            </ns1:sub>
          </ns1:sSub>
          <ns1:r>
            <ns1:rPr>
              <ns1:sty ns1:val="p"/>
            </ns1:rPr>
            <ns1:t>=</ns1:t>
          </ns1:r>
          <ns1:r>
            <ns1:rPr>
              <ns1:nor/>
              <ns1:sty ns1:val="p"/>
            </ns1:rPr>
            <ns1:t>arcsin</ns1:t>
          </ns1:r>
          <ns1:r>
            <ns1:rPr>
              <ns1:sty ns1:val="p"/>
            </ns1:rPr>
            <ns1:t>[</ns1:t>
          </ns1:r>
          <ns1:r>
            <ns1:rPr>
              <ns1:sty ns1:val="p"/>
            </ns1:rPr>
            <ns1:t>−</ns1:t>
          </ns1:r>
          <ns1:r>
            <ns1:rPr>
              <ns1:nor/>
              <ns1:sty ns1:val="p"/>
            </ns1:rPr>
            <ns1:t>clip</ns1:t>
          </ns1:r>
          <ns1:r>
            <ns1:rPr>
              <ns1:sty ns1:val="p"/>
            </ns1:rPr>
            <ns1:t>(</ns1:t>
          </ns1:r>
          <ns1:sSub>
            <ns1:e>
              <ns1:r>
                <ns1:t>R</ns1:t>
              </ns1:r>
            </ns1:e>
            <ns1:sub>
              <ns1:r>
                <ns1:t>20</ns1:t>
              </ns1:r>
            </ns1:sub>
          </ns1:sSub>
          <ns1:r>
            <ns1:rPr>
              <ns1:sty ns1:val="p"/>
            </ns1:rPr>
            <ns1:t>,</ns1:t>
          </ns1:r>
          <ns1:r>
            <ns1:rPr>
              <ns1:sty ns1:val="p"/>
            </ns1:rPr>
            <ns1:t>−</ns1:t>
          </ns1:r>
          <ns1:r>
            <ns1:t>1</ns1:t>
          </ns1:r>
          <ns1:r>
            <ns1:rPr>
              <ns1:sty ns1:val="p"/>
            </ns1:rPr>
            <ns1:t>,</ns1:t>
          </ns1:r>
          <ns1:r>
            <ns1:t>1</ns1:t>
          </ns1:r>
          <ns1:r>
            <ns1:rPr>
              <ns1:sty ns1:val="p"/>
            </ns1:rPr>
            <ns1:t>)</ns1:t>
          </ns1:r>
          <ns1:r>
            <ns1:rPr>
              <ns1:sty ns1:val="p"/>
            </ns1:rPr>
            <ns1:t>]</ns1:t>
          </ns1:r>
          <ns1:r>
            <ns1:rPr>
              <ns1:sty ns1:val="p"/>
            </ns1:rPr>
            <ns1:t>,</ns1:t>
          </ns1:r>
          <ns1:r>
            <ns1:t> </ns1:t>
          </ns1:r>
          <ns1:sSub>
            <ns1:e>
              <ns1:r>
                <ns1:t>γ</ns1:t>
              </ns1:r>
            </ns1:e>
            <ns1:sub>
              <ns1:r>
                <ns1:t>z</ns1:t>
              </ns1:r>
            </ns1:sub>
          </ns1:sSub>
          <ns1:r>
            <ns1:rPr>
              <ns1:sty ns1:val="p"/>
            </ns1:rPr>
            <ns1:t>=</ns1:t>
          </ns1:r>
          <ns1:r>
            <ns1:rPr>
              <ns1:nor/>
              <ns1:sty ns1:val="p"/>
            </ns1:rPr>
            <ns1:t>atan2</ns1:t>
          </ns1:r>
          <ns1:r>
            <ns1:rPr>
              <ns1:sty ns1:val="p"/>
            </ns1:rPr>
            <ns1:t>(</ns1:t>
          </ns1:r>
          <ns1:sSub>
            <ns1:e>
              <ns1:r>
                <ns1:t>R</ns1:t>
              </ns1:r>
            </ns1:e>
            <ns1:sub>
              <ns1:r>
                <ns1:t>10</ns1:t>
              </ns1:r>
            </ns1:sub>
          </ns1:sSub>
          <ns1:r>
            <ns1:rPr>
              <ns1:sty ns1:val="p"/>
            </ns1:rPr>
            <ns1:t>,</ns1:t>
          </ns1:r>
          <ns1:sSub>
            <ns1:e>
              <ns1:r>
                <ns1:t>R</ns1:t>
              </ns1:r>
            </ns1:e>
            <ns1:sub>
              <ns1:r>
                <ns1:t>00</ns1:t>
              </ns1:r>
            </ns1:sub>
          </ns1:sSub>
          <ns1:r>
            <ns1:rPr>
              <ns1:sty ns1:val="p"/>
            </ns1:rPr>
            <ns1:t>)</ns1:t>
          </ns1:r>
          <ns1:r>
            <ns1:rPr>
              <ns1:sty ns1:val="p"/>
            </ns1:rPr>
            <ns1:t>.</ns1:t>
          </ns1:r>
        </ns1:oMath>
      </ns1:oMathPara>
    </ns0:p>
    <ns0:p>
      <ns0:pPr>
        <ns0:pStyle ns0:val="FirstParagraph"/>
      </ns0:pPr>
      <ns0:r>
        <ns0:t xml:space="preserve">At</ns0:t>
      </ns0:r>
      <ns0:r>
        <ns0:t xml:space="preserve"> </ns0:t>
      </ns0:r>
      <ns1:oMath>
        <ns1:sSub>
          <ns1:e>
            <ns1:r>
              <ns1:t>β</ns1:t>
            </ns1:r>
          </ns1:e>
          <ns1:sub>
            <ns1:r>
              <ns1:t>y</ns1:t>
            </ns1:r>
          </ns1:sub>
        </ns1:sSub>
        <ns1:r>
          <ns1:rPr>
            <ns1:sty ns1:val="p"/>
          </ns1:rPr>
          <ns1:t>=</ns1:t>
        </ns1:r>
        <ns1:r>
          <ns1:rPr>
            <ns1:sty ns1:val="p"/>
          </ns1:rPr>
          <ns1:t>±</ns1:t>
        </ns1:r>
        <ns1:r>
          <ns1:t>π</ns1:t>
        </ns1:r>
        <ns1:r>
          <ns1:rPr>
            <ns1:sty ns1:val="p"/>
          </ns1:rPr>
          <ns1:t>/</ns1:t>
        </ns1:r>
        <ns1:r>
          <ns1:t>2</ns1:t>
        </ns1:r>
      </ns1:oMath>
      <ns0:r>
        <ns0:t xml:space="preserve">, choose</ns0:t>
      </ns0:r>
      <ns0:r>
        <ns0:t xml:space="preserve"> </ns0:t>
      </ns0:r>
      <ns1:oMath>
        <ns1:sSub>
          <ns1:e>
            <ns1:r>
              <ns1:t>γ</ns1:t>
            </ns1:r>
          </ns1:e>
          <ns1:sub>
            <ns1:r>
              <ns1:t>z</ns1:t>
            </ns1:r>
          </ns1:sub>
        </ns1:sSub>
        <ns1:r>
          <ns1:rPr>
            <ns1:sty ns1:val="p"/>
          </ns1:rPr>
          <ns1:t>=</ns1:t>
        </ns1:r>
        <ns1:r>
          <ns1:t>0</ns1:t>
        </ns1:r>
      </ns1:oMath>
      <ns0:r>
        <ns0:t xml:space="preserve"> </ns0:t>
      </ns0:r>
      <ns0:r>
        <ns0:t xml:space="preserve">and</ns0:t>
      </ns0:r>
      <ns0:r>
        <ns0:t xml:space="preserve"> </ns0:t>
      </ns0:r>
      <ns1:oMath>
        <ns1:sSub>
          <ns1:e>
            <ns1:r>
              <ns1:t>α</ns1:t>
            </ns1:r>
          </ns1:e>
          <ns1:sub>
            <ns1:r>
              <ns1:t>x</ns1:t>
            </ns1:r>
          </ns1:sub>
        </ns1:sSub>
        <ns1:r>
          <ns1:rPr>
            <ns1:sty ns1:val="p"/>
          </ns1:rPr>
          <ns1:t>=</ns1:t>
        </ns1:r>
        <ns1:r>
          <ns1:rPr>
            <ns1:nor/>
            <ns1:sty ns1:val="p"/>
          </ns1:rPr>
          <ns1:t>atan2</ns1:t>
        </ns1:r>
        <ns1:r>
          <ns1:rPr>
            <ns1:sty ns1:val="p"/>
          </ns1:rPr>
          <ns1:t>[</ns1:t>
        </ns1:r>
        <ns1:r>
          <ns1:rPr>
            <ns1:sty ns1:val="p"/>
          </ns1:rPr>
          <ns1:t>−</ns1:t>
        </ns1:r>
        <ns1:r>
          <ns1:rPr>
            <ns1:nor/>
            <ns1:sty ns1:val="p"/>
          </ns1:rPr>
          <ns1:t>sign</ns1:t>
        </ns1:r>
        <ns1:r>
          <ns1:rPr>
            <ns1:sty ns1:val="p"/>
          </ns1:rPr>
          <ns1:t>(</ns1:t>
        </ns1:r>
        <ns1:sSub>
          <ns1:e>
            <ns1:r>
              <ns1:t>R</ns1:t>
            </ns1:r>
          </ns1:e>
          <ns1:sub>
            <ns1:r>
              <ns1:t>20</ns1:t>
            </ns1:r>
          </ns1:sub>
        </ns1:sSub>
        <ns1:r>
          <ns1:rPr>
            <ns1:sty ns1:val="p"/>
          </ns1:rPr>
          <ns1:t>)</ns1:t>
        </ns1:r>
        <ns1:sSub>
          <ns1:e>
            <ns1:r>
              <ns1:t>R</ns1:t>
            </ns1:r>
          </ns1:e>
          <ns1:sub>
            <ns1:r>
              <ns1:t>01</ns1:t>
            </ns1:r>
          </ns1:sub>
        </ns1:sSub>
        <ns1:r>
          <ns1:rPr>
            <ns1:sty ns1:val="p"/>
          </ns1:rPr>
          <ns1:t>,</ns1:t>
        </ns1:r>
        <ns1:sSub>
          <ns1:e>
            <ns1:r>
              <ns1:t>R</ns1:t>
            </ns1:r>
          </ns1:e>
          <ns1:sub>
            <ns1:r>
              <ns1:t>11</ns1:t>
            </ns1:r>
          </ns1:sub>
        </ns1:sSub>
        <ns1:r>
          <ns1:rPr>
            <ns1:sty ns1:val="p"/>
          </ns1:rPr>
          <ns1:t>]</ns1:t>
        </ns1:r>
      </ns1:oMath>
      <ns0:r>
        <ns0:t xml:space="preserve">.</ns0:t>
      </ns0:r>
      <ns0:r>
        <ns0:t xml:space="preserve"> </ns0:t>
      </ns0:r>
      <ns0:r>
        <ns0:t xml:space="preserve">In implementation, the equivalent stable expression</ns0:t>
      </ns0:r>
      <ns0:r>
        <ns0:t xml:space="preserve"> </ns0:t>
      </ns0:r>
      <ns1:oMath>
        <ns1:sSub>
          <ns1:e>
            <ns1:r>
              <ns1:t>β</ns1:t>
            </ns1:r>
          </ns1:e>
          <ns1:sub>
            <ns1:r>
              <ns1:t>y</ns1:t>
            </ns1:r>
          </ns1:sub>
        </ns1:sSub>
        <ns1:r>
          <ns1:rPr>
            <ns1:sty ns1:val="p"/>
          </ns1:rPr>
          <ns1:t>=</ns1:t>
        </ns1:r>
        <ns1:r>
          <ns1:rPr>
            <ns1:nor/>
            <ns1:sty ns1:val="p"/>
          </ns1:rPr>
          <ns1:t>atan2</ns1:t>
        </ns1:r>
        <ns1:r>
          <ns1:rPr>
            <ns1:sty ns1:val="p"/>
          </ns1:rPr>
          <ns1:t>(</ns1:t>
        </ns1:r>
        <ns1:r>
          <ns1:rPr>
            <ns1:sty ns1:val="p"/>
          </ns1:rPr>
          <ns1:t>−</ns1:t>
        </ns1:r>
        <ns1:sSub>
          <ns1:e>
            <ns1:r>
              <ns1:t>R</ns1:t>
            </ns1:r>
          </ns1:e>
          <ns1:sub>
            <ns1:r>
              <ns1:t>20</ns1:t>
            </ns1:r>
          </ns1:sub>
        </ns1:sSub>
        <ns1:r>
          <ns1:rPr>
            <ns1:sty ns1:val="p"/>
          </ns1:rPr>
          <ns1:t>,</ns1:t>
        </ns1:r>
        <ns1:rad>
          <ns1:radPr>
            <ns1:degHide ns1:val="1"/>
          </ns1:radPr>
          <ns1:deg/>
          <ns1:e>
            <ns1:sSubSup>
              <ns1:e>
                <ns1:r>
                  <ns1:t>R</ns1:t>
                </ns1:r>
              </ns1:e>
              <ns1:sub>
                <ns1:r>
                  <ns1:t>00</ns1:t>
                </ns1:r>
              </ns1:sub>
              <ns1:sup>
                <ns1:r>
                  <ns1:t>2</ns1:t>
                </ns1:r>
              </ns1:sup>
            </ns1:sSubSup>
            <ns1:r>
              <ns1:rPr>
                <ns1:sty ns1:val="p"/>
              </ns1:rPr>
              <ns1:t>+</ns1:t>
            </ns1:r>
            <ns1:sSubSup>
              <ns1:e>
                <ns1:r>
                  <ns1:t>R</ns1:t>
                </ns1:r>
              </ns1:e>
              <ns1:sub>
                <ns1:r>
                  <ns1:t>10</ns1:t>
                </ns1:r>
              </ns1:sub>
              <ns1:sup>
                <ns1:r>
                  <ns1:t>2</ns1:t>
                </ns1:r>
              </ns1:sup>
            </ns1:sSubSup>
          </ns1:e>
        </ns1:rad>
        <ns1:r>
          <ns1:rPr>
            <ns1:sty ns1:val="p"/>
          </ns1:rPr>
          <ns1:t>)</ns1:t>
        </ns1:r>
      </ns1:oMath>
      <ns0:r>
        <ns0:t xml:space="preserve"> </ns0:t>
      </ns0:r>
      <ns0:r>
        <ns0:t xml:space="preserve">is used, with the singular branch restricted to vanishing cosine. The singular branch is included for completeness; physiological small-angle outputs should remain far from it. Matrix reconstruction tests cover both branches.</ns0:t>
      </ns0:r>
    </ns0:p>
    <ns0:p>
      <ns0:pPr>
        <ns0:pStyle ns0:val="BodyText"/>
      </ns0:pPr>
      <ns0:r>
        <ns0:t xml:space="preserve">For the unloaded sacral ROI centroid</ns0:t>
      </ns0:r>
      <ns0:r>
        <ns0:t xml:space="preserve"> </ns0:t>
      </ns0:r>
      <ns1:oMath>
        <ns1:sSub>
          <ns1:e>
            <ns1:r>
              <ns1:rPr>
                <ns1:sty ns1:val="b"/>
              </ns1:rPr>
              <ns1:t>p</ns1:t>
            </ns1:r>
          </ns1:e>
          <ns1:sub>
            <ns1:r>
              <ns1:t>c</ns1:t>
            </ns1:r>
          </ns1:sub>
        </ns1:sSub>
      </ns1:oMath>
      <ns0:r>
        <ns0:t xml:space="preserve">, the reported displacement is</ns0:t>
      </ns0:r>
    </ns0:p>
    <ns0:p>
      <ns0:pPr>
        <ns0:pStyle ns0:val="BodyText"/>
      </ns0:pPr>
      <ns1:oMathPara>
        <ns1:oMathParaPr>
          <ns1:jc ns1:val="center"/>
        </ns1:oMathParaPr>
        <ns1:oMath>
          <ns1:r>
            <ns1:rPr>
              <ns1:sty ns1:val="b"/>
            </ns1:rPr>
            <ns1:t>d</ns1:t>
          </ns1:r>
          <ns1:r>
            <ns1:rPr>
              <ns1:sty ns1:val="p"/>
            </ns1:rPr>
            <ns1:t>=</ns1:t>
          </ns1:r>
          <ns1:sSup>
            <ns1:e>
              <ns1:r>
                <ns1:rPr>
                  <ns1:sty ns1:val="b"/>
                </ns1:rPr>
                <ns1:t>P</ns1:t>
              </ns1:r>
            </ns1:e>
            <ns1:sup>
              <ns1:r>
                <ns1:t>T</ns1:t>
              </ns1:r>
            </ns1:sup>
          </ns1:sSup>
          <ns1:r>
            <ns1:rPr>
              <ns1:sty ns1:val="p"/>
            </ns1:rPr>
            <ns1:t>[</ns1:t>
          </ns1:r>
          <ns1:r>
            <ns1:rPr>
              <ns1:sty ns1:val="p"/>
            </ns1:rPr>
            <ns1:t>(</ns1:t>
          </ns1:r>
          <ns1:sSub>
            <ns1:e>
              <ns1:r>
                <ns1:rPr>
                  <ns1:sty ns1:val="b"/>
                </ns1:rPr>
                <ns1:t>R</ns1:t>
              </ns1:r>
            </ns1:e>
            <ns1:sub>
              <ns1:r>
                <ns1:t>I</ns1:t>
              </ns1:r>
            </ns1:sub>
          </ns1:sSub>
          <ns1:r>
            <ns1:rPr>
              <ns1:sty ns1:val="p"/>
            </ns1:rPr>
            <ns1:t>−</ns1:t>
          </ns1:r>
          <ns1:sSub>
            <ns1:e>
              <ns1:r>
                <ns1:rPr>
                  <ns1:sty ns1:val="b"/>
                </ns1:rPr>
                <ns1:t>R</ns1:t>
              </ns1:r>
            </ns1:e>
            <ns1:sub>
              <ns1:r>
                <ns1:t>S</ns1:t>
              </ns1:r>
            </ns1:sub>
          </ns1:sSub>
          <ns1:r>
            <ns1:rPr>
              <ns1:sty ns1:val="p"/>
            </ns1:rPr>
            <ns1:t>)</ns1:t>
          </ns1:r>
          <ns1:sSub>
            <ns1:e>
              <ns1:r>
                <ns1:rPr>
                  <ns1:sty ns1:val="b"/>
                </ns1:rPr>
                <ns1:t>p</ns1:t>
              </ns1:r>
            </ns1:e>
            <ns1:sub>
              <ns1:r>
                <ns1:t>c</ns1:t>
              </ns1:r>
            </ns1:sub>
          </ns1:sSub>
          <ns1:r>
            <ns1:rPr>
              <ns1:sty ns1:val="p"/>
            </ns1:rPr>
            <ns1:t>+</ns1:t>
          </ns1:r>
          <ns1:sSub>
            <ns1:e>
              <ns1:r>
                <ns1:rPr>
                  <ns1:sty ns1:val="b"/>
                </ns1:rPr>
                <ns1:t>t</ns1:t>
              </ns1:r>
            </ns1:e>
            <ns1:sub>
              <ns1:r>
                <ns1:t>I</ns1:t>
              </ns1:r>
            </ns1:sub>
          </ns1:sSub>
          <ns1:r>
            <ns1:rPr>
              <ns1:sty ns1:val="p"/>
            </ns1:rPr>
            <ns1:t>−</ns1:t>
          </ns1:r>
          <ns1:sSub>
            <ns1:e>
              <ns1:r>
                <ns1:rPr>
                  <ns1:sty ns1:val="b"/>
                </ns1:rPr>
                <ns1:t>t</ns1:t>
              </ns1:r>
            </ns1:e>
            <ns1:sub>
              <ns1:r>
                <ns1:t>S</ns1:t>
              </ns1:r>
            </ns1:sub>
          </ns1:sSub>
          <ns1:r>
            <ns1:rPr>
              <ns1:sty ns1:val="p"/>
            </ns1:rPr>
            <ns1:t>]</ns1:t>
          </ns1:r>
          <ns1:r>
            <ns1:rPr>
              <ns1:sty ns1:val="p"/>
            </ns1:rPr>
            <ns1:t>.</ns1:t>
          </ns1:r>
        </ns1:oMath>
      </ns1:oMathPara>
    </ns0:p>
    <ns0:p>
      <ns0:pPr>
        <ns0:pStyle ns0:val="FirstParagraph"/>
      </ns0:pPr>
      <ns0:r>
        <ns0:t xml:space="preserve">It evaluates the difference of two fitted maps at a common reference point, expressed in the unloaded pelvic axes after affine correction. It is not the translational parameter of</ns0:t>
      </ns0:r>
      <ns0:r>
        <ns0:t xml:space="preserve"> </ns0:t>
      </ns0:r>
      <ns1:oMath>
        <ns1:sSubSup>
          <ns1:e>
            <ns1:r>
              <ns1:t>T</ns1:t>
            </ns1:r>
          </ns1:e>
          <ns1:sub>
            <ns1:r>
              <ns1:t>S</ns1:t>
            </ns1:r>
          </ns1:sub>
          <ns1:sup>
            <ns1:r>
              <ns1:rPr>
                <ns1:sty ns1:val="p"/>
              </ns1:rPr>
              <ns1:t>−</ns1:t>
            </ns1:r>
            <ns1:r>
              <ns1:t>1</ns1:t>
            </ns1:r>
          </ns1:sup>
        </ns1:sSubSup>
        <ns1:sSub>
          <ns1:e>
            <ns1:r>
              <ns1:t>T</ns1:t>
            </ns1:r>
          </ns1:e>
          <ns1:sub>
            <ns1:r>
              <ns1:t>I</ns1:t>
            </ns1:r>
          </ns1:sub>
        </ns1:sSub>
      </ns1:oMath>
      <ns0:r>
        <ns0:t xml:space="preserve">. In fact, with</ns0:t>
      </ns0:r>
      <ns0:r>
        <ns0:t xml:space="preserve"> </ns0:t>
      </ns0:r>
      <ns1:oMath>
        <ns1:sSub>
          <ns1:e>
            <ns1:r>
              <ns1:rPr>
                <ns1:sty ns1:val="b"/>
              </ns1:rPr>
              <ns1:t>t</ns1:t>
            </ns1:r>
          </ns1:e>
          <ns1:sub>
            <ns1:r>
              <ns1:t>r</ns1:t>
            </ns1:r>
            <ns1:r>
              <ns1:t>e</ns1:t>
            </ns1:r>
            <ns1:r>
              <ns1:t>l</ns1:t>
            </ns1:r>
          </ns1:sub>
        </ns1:sSub>
        <ns1:r>
          <ns1:rPr>
            <ns1:sty ns1:val="p"/>
          </ns1:rPr>
          <ns1:t>=</ns1:t>
        </ns1:r>
        <ns1:sSubSup>
          <ns1:e>
            <ns1:r>
              <ns1:rPr>
                <ns1:sty ns1:val="b"/>
              </ns1:rPr>
              <ns1:t>R</ns1:t>
            </ns1:r>
          </ns1:e>
          <ns1:sub>
            <ns1:r>
              <ns1:t>S</ns1:t>
            </ns1:r>
          </ns1:sub>
          <ns1:sup>
            <ns1:r>
              <ns1:t>T</ns1:t>
            </ns1:r>
          </ns1:sup>
        </ns1:sSubSup>
        <ns1:r>
          <ns1:rPr>
            <ns1:sty ns1:val="p"/>
          </ns1:rPr>
          <ns1:t>(</ns1:t>
        </ns1:r>
        <ns1:sSub>
          <ns1:e>
            <ns1:r>
              <ns1:rPr>
                <ns1:sty ns1:val="b"/>
              </ns1:rPr>
              <ns1:t>t</ns1:t>
            </ns1:r>
          </ns1:e>
          <ns1:sub>
            <ns1:r>
              <ns1:t>I</ns1:t>
            </ns1:r>
          </ns1:sub>
        </ns1:sSub>
        <ns1:r>
          <ns1:rPr>
            <ns1:sty ns1:val="p"/>
          </ns1:rPr>
          <ns1:t>−</ns1:t>
        </ns1:r>
        <ns1:sSub>
          <ns1:e>
            <ns1:r>
              <ns1:rPr>
                <ns1:sty ns1:val="b"/>
              </ns1:rPr>
              <ns1:t>t</ns1:t>
            </ns1:r>
          </ns1:e>
          <ns1:sub>
            <ns1:r>
              <ns1:t>S</ns1:t>
            </ns1:r>
          </ns1:sub>
        </ns1:sSub>
        <ns1:r>
          <ns1:rPr>
            <ns1:sty ns1:val="p"/>
          </ns1:rPr>
          <ns1:t>)</ns1:t>
        </ns1:r>
      </ns1:oMath>
      <ns0:r>
        <ns0:t xml:space="preserve">,</ns0:t>
      </ns0:r>
    </ns0:p>
    <ns0:p>
      <ns0:pPr>
        <ns0:pStyle ns0:val="BodyText"/>
      </ns0:pPr>
      <ns1:oMathPara>
        <ns1:oMathParaPr>
          <ns1:jc ns1:val="center"/>
        </ns1:oMathParaPr>
        <ns1:oMath>
          <ns1:r>
            <ns1:rPr>
              <ns1:sty ns1:val="b"/>
            </ns1:rPr>
            <ns1:t>d</ns1:t>
          </ns1:r>
          <ns1:r>
            <ns1:rPr>
              <ns1:sty ns1:val="p"/>
            </ns1:rPr>
            <ns1:t>=</ns1:t>
          </ns1:r>
          <ns1:sSup>
            <ns1:e>
              <ns1:r>
                <ns1:rPr>
                  <ns1:sty ns1:val="b"/>
                </ns1:rPr>
                <ns1:t>P</ns1:t>
              </ns1:r>
            </ns1:e>
            <ns1:sup>
              <ns1:r>
                <ns1:t>T</ns1:t>
              </ns1:r>
            </ns1:sup>
          </ns1:sSup>
          <ns1:sSub>
            <ns1:e>
              <ns1:r>
                <ns1:rPr>
                  <ns1:sty ns1:val="b"/>
                </ns1:rPr>
                <ns1:t>R</ns1:t>
              </ns1:r>
            </ns1:e>
            <ns1:sub>
              <ns1:r>
                <ns1:t>S</ns1:t>
              </ns1:r>
            </ns1:sub>
          </ns1:sSub>
          <ns1:r>
            <ns1:rPr>
              <ns1:sty ns1:val="p"/>
            </ns1:rPr>
            <ns1:t>[</ns1:t>
          </ns1:r>
          <ns1:r>
            <ns1:rPr>
              <ns1:sty ns1:val="p"/>
            </ns1:rPr>
            <ns1:t>(</ns1:t>
          </ns1:r>
          <ns1:sSub>
            <ns1:e>
              <ns1:r>
                <ns1:rPr>
                  <ns1:sty ns1:val="b"/>
                </ns1:rPr>
                <ns1:t>R</ns1:t>
              </ns1:r>
            </ns1:e>
            <ns1:sub>
              <ns1:r>
                <ns1:t>r</ns1:t>
              </ns1:r>
              <ns1:r>
                <ns1:t>e</ns1:t>
              </ns1:r>
              <ns1:r>
                <ns1:t>l</ns1:t>
              </ns1:r>
            </ns1:sub>
          </ns1:sSub>
          <ns1:r>
            <ns1:rPr>
              <ns1:sty ns1:val="p"/>
            </ns1:rPr>
            <ns1:t>−</ns1:t>
          </ns1:r>
          <ns1:r>
            <ns1:rPr>
              <ns1:sty ns1:val="b"/>
            </ns1:rPr>
            <ns1:t>I</ns1:t>
          </ns1:r>
          <ns1:r>
            <ns1:rPr>
              <ns1:sty ns1:val="p"/>
            </ns1:rPr>
            <ns1:t>)</ns1:t>
          </ns1:r>
          <ns1:sSub>
            <ns1:e>
              <ns1:r>
                <ns1:rPr>
                  <ns1:sty ns1:val="b"/>
                </ns1:rPr>
                <ns1:t>p</ns1:t>
              </ns1:r>
            </ns1:e>
            <ns1:sub>
              <ns1:r>
                <ns1:t>c</ns1:t>
              </ns1:r>
            </ns1:sub>
          </ns1:sSub>
          <ns1:r>
            <ns1:rPr>
              <ns1:sty ns1:val="p"/>
            </ns1:rPr>
            <ns1:t>+</ns1:t>
          </ns1:r>
          <ns1:sSub>
            <ns1:e>
              <ns1:r>
                <ns1:rPr>
                  <ns1:sty ns1:val="b"/>
                </ns1:rPr>
                <ns1:t>t</ns1:t>
              </ns1:r>
            </ns1:e>
            <ns1:sub>
              <ns1:r>
                <ns1:t>r</ns1:t>
              </ns1:r>
              <ns1:r>
                <ns1:t>e</ns1:t>
              </ns1:r>
              <ns1:r>
                <ns1:t>l</ns1:t>
              </ns1:r>
            </ns1:sub>
          </ns1:sSub>
          <ns1:r>
            <ns1:rPr>
              <ns1:sty ns1:val="p"/>
            </ns1:rPr>
            <ns1:t>]</ns1:t>
          </ns1:r>
          <ns1:r>
            <ns1:rPr>
              <ns1:sty ns1:val="p"/>
            </ns1:rPr>
            <ns1:t>.</ns1:t>
          </ns1:r>
        </ns1:oMath>
      </ns1:oMathPara>
    </ns0:p>
    <ns0:p>
      <ns0:pPr>
        <ns0:pStyle ns0:val="FirstParagraph"/>
      </ns0:pPr>
      <ns0:r>
        <ns0:t xml:space="preserve">This identity makes explicit the distinction between the relative rigid transform and the reported point-displacement difference. It is neither the distance between opposing articular surfaces nor a displacement along a surface normal. The bilateral summaries are</ns0:t>
      </ns0:r>
    </ns0:p>
    <ns0:p>
      <ns0:pPr>
        <ns0:pStyle ns0:val="BodyText"/>
      </ns0:pPr>
      <ns1:oMathPara>
        <ns1:oMathParaPr>
          <ns1:jc ns1:val="center"/>
        </ns1:oMathParaPr>
        <ns1:oMath>
          <ns1:m>
            <ns1:mPr>
              <ns1:baseJc ns1:val="center"/>
              <ns1:plcHide ns1:val="1"/>
              <ns1:mcs>
                <ns1:mc>
                  <ns1:mcPr>
                    <ns1:mcJc ns1:val="right"/>
                    <ns1:count ns1:val="1"/>
                  </ns1:mcPr>
                </ns1:mc>
                <ns1:mc>
                  <ns1:mcPr>
                    <ns1:mcJc ns1:val="left"/>
                    <ns1:count ns1:val="1"/>
                  </ns1:mcPr>
                </ns1:mc>
                <ns1:mc>
                  <ns1:mcPr>
                    <ns1:mcJc ns1:val="right"/>
                    <ns1:count ns1:val="1"/>
                  </ns1:mcPr>
                </ns1:mc>
                <ns1:mc>
                  <ns1:mcPr>
                    <ns1:mcJc ns1:val="left"/>
                    <ns1:count ns1:val="1"/>
                  </ns1:mcPr>
                </ns1:mc>
              </ns1:mcs>
            </ns1:mPr>
            <ns1:mr>
              <ns1:e>
                <ns1:r>
                  <ns1:rPr>
                    <ns1:sty ns1:val="p"/>
                  </ns1:rPr>
                  <ns1:t>|</ns1:t>
                </ns1:r>
                <ns1:r>
                  <ns1:rPr>
                    <ns1:sty ns1:val="b"/>
                  </ns1:rPr>
                  <ns1:t>θ</ns1:t>
                </ns1:r>
                <ns1:r>
                  <ns1:rPr>
                    <ns1:sty ns1:val="p"/>
                  </ns1:rPr>
                  <ns1:t>|</ns1:t>
                </ns1:r>
              </ns1:e>
              <ns1:e>
                <ns1:r>
                  <ns1:rPr>
                    <ns1:sty ns1:val="p"/>
                  </ns1:rPr>
                  <ns1:t>=</ns1:t>
                </ns1:r>
                <ns1:f>
                  <ns1:fPr>
                    <ns1:type ns1:val="lin"/>
                  </ns1:fPr>
                  <ns1:num>
                    <ns1:r>
                      <ns1:t>1</ns1:t>
                    </ns1:r>
                  </ns1:num>
                  <ns1:den>
                    <ns1:r>
                      <ns1:t>2</ns1:t>
                    </ns1:r>
                  </ns1:den>
                </ns1:f>
                <ns1:nary>
                  <ns1:naryPr>
                    <ns1:chr ns1:val="∑"/>
                    <ns1:limLoc ns1:val="undOvr"/>
                    <ns1:subHide ns1:val="0"/>
                    <ns1:supHide ns1:val="1"/>
                  </ns1:naryPr>
                  <ns1:sub>
                    <ns1:r>
                      <ns1:t>s</ns1:t>
                    </ns1:r>
                    <ns1:r>
                      <ns1:rPr>
                        <ns1:sty ns1:val="p"/>
                      </ns1:rPr>
                      <ns1:t>=</ns1:t>
                    </ns1:r>
                    <ns1:r>
                      <ns1:t>L</ns1:t>
                    </ns1:r>
                    <ns1:r>
                      <ns1:rPr>
                        <ns1:sty ns1:val="p"/>
                      </ns1:rPr>
                      <ns1:t>,</ns1:t>
                    </ns1:r>
                    <ns1:r>
                      <ns1:t>R</ns1:t>
                    </ns1:r>
                  </ns1:sub>
                  <ns1:sup>
                    <ns1:r>
                      <ns1:t>​</ns1:t>
                    </ns1:r>
                  </ns1:sup>
                  <ns1:e>
                    <ns1:r>
                      <ns1:rPr>
                        <ns1:sty ns1:val="p"/>
                      </ns1:rPr>
                      <ns1:t>(</ns1:t>
                    </ns1:r>
                  </ns1:e>
                </ns1:nary>
                <ns1:sSubSup>
                  <ns1:e>
                    <ns1:r>
                      <ns1:t>α</ns1:t>
                    </ns1:r>
                  </ns1:e>
                  <ns1:sub>
                    <ns1:r>
                      <ns1:t>x</ns1:t>
                    </ns1:r>
                    <ns1:r>
                      <ns1:rPr>
                        <ns1:sty ns1:val="p"/>
                      </ns1:rPr>
                      <ns1:t>,</ns1:t>
                    </ns1:r>
                    <ns1:r>
                      <ns1:t>s</ns1:t>
                    </ns1:r>
                  </ns1:sub>
                  <ns1:sup>
                    <ns1:r>
                      <ns1:t>2</ns1:t>
                    </ns1:r>
                  </ns1:sup>
                </ns1:sSubSup>
                <ns1:r>
                  <ns1:rPr>
                    <ns1:sty ns1:val="p"/>
                  </ns1:rPr>
                  <ns1:t>+</ns1:t>
                </ns1:r>
                <ns1:sSubSup>
                  <ns1:e>
                    <ns1:r>
                      <ns1:t>β</ns1:t>
                    </ns1:r>
                  </ns1:e>
                  <ns1:sub>
                    <ns1:r>
                      <ns1:t>y</ns1:t>
                    </ns1:r>
                    <ns1:r>
                      <ns1:rPr>
                        <ns1:sty ns1:val="p"/>
                      </ns1:rPr>
                      <ns1:t>,</ns1:t>
                    </ns1:r>
                    <ns1:r>
                      <ns1:t>s</ns1:t>
                    </ns1:r>
                  </ns1:sub>
                  <ns1:sup>
                    <ns1:r>
                      <ns1:t>2</ns1:t>
                    </ns1:r>
                  </ns1:sup>
                </ns1:sSubSup>
                <ns1:r>
                  <ns1:rPr>
                    <ns1:sty ns1:val="p"/>
                  </ns1:rPr>
                  <ns1:t>+</ns1:t>
                </ns1:r>
                <ns1:sSubSup>
                  <ns1:e>
                    <ns1:r>
                      <ns1:t>γ</ns1:t>
                    </ns1:r>
                  </ns1:e>
                  <ns1:sub>
                    <ns1:r>
                      <ns1:t>z</ns1:t>
                    </ns1:r>
                    <ns1:r>
                      <ns1:rPr>
                        <ns1:sty ns1:val="p"/>
                      </ns1:rPr>
                      <ns1:t>,</ns1:t>
                    </ns1:r>
                    <ns1:r>
                      <ns1:t>s</ns1:t>
                    </ns1:r>
                  </ns1:sub>
                  <ns1:sup>
                    <ns1:r>
                      <ns1:t>2</ns1:t>
                    </ns1:r>
                  </ns1:sup>
                </ns1:sSubSup>
                <ns1:sSup>
                  <ns1:e>
                    <ns1:r>
                      <ns1:rPr>
                        <ns1:sty ns1:val="p"/>
                      </ns1:rPr>
                      <ns1:t>)</ns1:t>
                    </ns1:r>
                  </ns1:e>
                  <ns1:sup>
                    <ns1:r>
                      <ns1:t>1</ns1:t>
                    </ns1:r>
                    <ns1:r>
                      <ns1:rPr>
                        <ns1:sty ns1:val="p"/>
                      </ns1:rPr>
                      <ns1:t>/</ns1:t>
                    </ns1:r>
                    <ns1:r>
                      <ns1:t>2</ns1:t>
                    </ns1:r>
                  </ns1:sup>
                </ns1:sSup>
                <ns1:r>
                  <ns1:rPr>
                    <ns1:sty ns1:val="p"/>
                  </ns1:rPr>
                  <ns1:t>,</ns1:t>
                </ns1:r>
              </ns1:e>
              <ns1:e>
                <ns1:r>
                  <ns1:rPr>
                    <ns1:sty ns1:val="p"/>
                  </ns1:rPr>
                  <ns1:t>|</ns1:t>
                </ns1:r>
                <ns1:r>
                  <ns1:rPr>
                    <ns1:sty ns1:val="b"/>
                  </ns1:rPr>
                  <ns1:t>d</ns1:t>
                </ns1:r>
                <ns1:r>
                  <ns1:rPr>
                    <ns1:sty ns1:val="p"/>
                  </ns1:rPr>
                  <ns1:t>|</ns1:t>
                </ns1:r>
              </ns1:e>
              <ns1:e>
                <ns1:r>
                  <ns1:rPr>
                    <ns1:sty ns1:val="p"/>
                  </ns1:rPr>
                  <ns1:t>=</ns1:t>
                </ns1:r>
                <ns1:f>
                  <ns1:fPr>
                    <ns1:type ns1:val="lin"/>
                  </ns1:fPr>
                  <ns1:num>
                    <ns1:r>
                      <ns1:t>1</ns1:t>
                    </ns1:r>
                  </ns1:num>
                  <ns1:den>
                    <ns1:r>
                      <ns1:t>2</ns1:t>
                    </ns1:r>
                  </ns1:den>
                </ns1:f>
                <ns1:nary>
                  <ns1:naryPr>
                    <ns1:chr ns1:val="∑"/>
                    <ns1:limLoc ns1:val="undOvr"/>
                    <ns1:subHide ns1:val="0"/>
                    <ns1:supHide ns1:val="1"/>
                  </ns1:naryPr>
                  <ns1:sub>
                    <ns1:r>
                      <ns1:t>s</ns1:t>
                    </ns1:r>
                    <ns1:r>
                      <ns1:rPr>
                        <ns1:sty ns1:val="p"/>
                      </ns1:rPr>
                      <ns1:t>=</ns1:t>
                    </ns1:r>
                    <ns1:r>
                      <ns1:t>L</ns1:t>
                    </ns1:r>
                    <ns1:r>
                      <ns1:rPr>
                        <ns1:sty ns1:val="p"/>
                      </ns1:rPr>
                      <ns1:t>,</ns1:t>
                    </ns1:r>
                    <ns1:r>
                      <ns1:t>R</ns1:t>
                    </ns1:r>
                  </ns1:sub>
                  <ns1:sup>
                    <ns1:r>
                      <ns1:t>​</ns1:t>
                    </ns1:r>
                  </ns1:sup>
                  <ns1:e>
                    <ns1:r>
                      <ns1:rPr>
                        <ns1:sty ns1:val="p"/>
                      </ns1:rPr>
                      <ns1:t>∥</ns1:t>
                    </ns1:r>
                  </ns1:e>
                </ns1:nary>
                <ns1:sSub>
                  <ns1:e>
                    <ns1:r>
                      <ns1:rPr>
                        <ns1:sty ns1:val="b"/>
                      </ns1:rPr>
                      <ns1:t>d</ns1:t>
                    </ns1:r>
                  </ns1:e>
                  <ns1:sub>
                    <ns1:r>
                      <ns1:t>s</ns1:t>
                    </ns1:r>
                  </ns1:sub>
                </ns1:sSub>
                <ns1:r>
                  <ns1:rPr>
                    <ns1:sty ns1:val="p"/>
                  </ns1:rPr>
                  <ns1:t>∥</ns1:t>
                </ns1:r>
                <ns1:r>
                  <ns1:rPr>
                    <ns1:sty ns1:val="p"/>
                  </ns1:rPr>
                  <ns1:t>,</ns1:t>
                </ns1:r>
              </ns1:e>
            </ns1:mr>
            <ns1:mr>
              <ns1:e>
                <ns1:r>
                  <ns1:rPr>
                    <ns1:sty ns1:val="p"/>
                  </ns1:rPr>
                  <ns1:t>|</ns1:t>
                </ns1:r>
                <ns1:sSub>
                  <ns1:e>
                    <ns1:r>
                      <ns1:t>d</ns1:t>
                    </ns1:r>
                  </ns1:e>
                  <ns1:sub>
                    <ns1:r>
                      <ns1:t>k</ns1:t>
                    </ns1:r>
                  </ns1:sub>
                </ns1:sSub>
                <ns1:r>
                  <ns1:rPr>
                    <ns1:sty ns1:val="p"/>
                  </ns1:rPr>
                  <ns1:t>|</ns1:t>
                </ns1:r>
              </ns1:e>
              <ns1:e>
                <ns1:r>
                  <ns1:rPr>
                    <ns1:sty ns1:val="p"/>
                  </ns1:rPr>
                  <ns1:t>=</ns1:t>
                </ns1:r>
                <ns1:f>
                  <ns1:fPr>
                    <ns1:type ns1:val="lin"/>
                  </ns1:fPr>
                  <ns1:num>
                    <ns1:r>
                      <ns1:t>1</ns1:t>
                    </ns1:r>
                  </ns1:num>
                  <ns1:den>
                    <ns1:r>
                      <ns1:t>2</ns1:t>
                    </ns1:r>
                  </ns1:den>
                </ns1:f>
                <ns1:r>
                  <ns1:rPr>
                    <ns1:sty ns1:val="p"/>
                  </ns1:rPr>
                  <ns1:t>(</ns1:t>
                </ns1:r>
                <ns1:r>
                  <ns1:rPr>
                    <ns1:sty ns1:val="p"/>
                  </ns1:rPr>
                  <ns1:t>|</ns1:t>
                </ns1:r>
                <ns1:sSub>
                  <ns1:e>
                    <ns1:r>
                      <ns1:t>d</ns1:t>
                    </ns1:r>
                  </ns1:e>
                  <ns1:sub>
                    <ns1:r>
                      <ns1:t>k</ns1:t>
                    </ns1:r>
                    <ns1:r>
                      <ns1:rPr>
                        <ns1:sty ns1:val="p"/>
                      </ns1:rPr>
                      <ns1:t>,</ns1:t>
                    </ns1:r>
                    <ns1:r>
                      <ns1:t>L</ns1:t>
                    </ns1:r>
                  </ns1:sub>
                </ns1:sSub>
                <ns1:r>
                  <ns1:rPr>
                    <ns1:sty ns1:val="p"/>
                  </ns1:rPr>
                  <ns1:t>|</ns1:t>
                </ns1:r>
                <ns1:r>
                  <ns1:rPr>
                    <ns1:sty ns1:val="p"/>
                  </ns1:rPr>
                  <ns1:t>+</ns1:t>
                </ns1:r>
                <ns1:r>
                  <ns1:rPr>
                    <ns1:sty ns1:val="p"/>
                  </ns1:rPr>
                  <ns1:t>|</ns1:t>
                </ns1:r>
                <ns1:sSub>
                  <ns1:e>
                    <ns1:r>
                      <ns1:t>d</ns1:t>
                    </ns1:r>
                  </ns1:e>
                  <ns1:sub>
                    <ns1:r>
                      <ns1:t>k</ns1:t>
                    </ns1:r>
                    <ns1:r>
                      <ns1:rPr>
                        <ns1:sty ns1:val="p"/>
                      </ns1:rPr>
                      <ns1:t>,</ns1:t>
                    </ns1:r>
                    <ns1:r>
                      <ns1:t>R</ns1:t>
                    </ns1:r>
                  </ns1:sub>
                </ns1:sSub>
                <ns1:r>
                  <ns1:rPr>
                    <ns1:sty ns1:val="p"/>
                  </ns1:rPr>
                  <ns1:t>|</ns1:t>
                </ns1:r>
                <ns1:r>
                  <ns1:rPr>
                    <ns1:sty ns1:val="p"/>
                  </ns1:rPr>
                  <ns1:t>)</ns1:t>
                </ns1:r>
                <ns1:r>
                  <ns1:rPr>
                    <ns1:sty ns1:val="p"/>
                  </ns1:rPr>
                  <ns1:t>,</ns1:t>
                </ns1:r>
              </ns1:e>
              <ns1:e>
                <ns1:sSub>
                  <ns1:e>
                    <ns1:r>
                      <ns1:t>A</ns1:t>
                    </ns1:r>
                  </ns1:e>
                  <ns1:sub>
                    <ns1:r>
                      <ns1:t>d</ns1:t>
                    </ns1:r>
                  </ns1:sub>
                </ns1:sSub>
              </ns1:e>
              <ns1:e>
                <ns1:r>
                  <ns1:rPr>
                    <ns1:sty ns1:val="p"/>
                  </ns1:rPr>
                  <ns1:t>=</ns1:t>
                </ns1:r>
                <ns1:r>
                  <ns1:rPr>
                    <ns1:sty ns1:val="p"/>
                  </ns1:rPr>
                  <ns1:t>|</ns1:t>
                </ns1:r>
                <ns1:r>
                  <ns1:rPr>
                    <ns1:sty ns1:val="p"/>
                  </ns1:rPr>
                  <ns1:t>∥</ns1:t>
                </ns1:r>
                <ns1:sSub>
                  <ns1:e>
                    <ns1:r>
                      <ns1:rPr>
                        <ns1:sty ns1:val="b"/>
                      </ns1:rPr>
                      <ns1:t>d</ns1:t>
                    </ns1:r>
                  </ns1:e>
                  <ns1:sub>
                    <ns1:r>
                      <ns1:t>L</ns1:t>
                    </ns1:r>
                  </ns1:sub>
                </ns1:sSub>
                <ns1:r>
                  <ns1:rPr>
                    <ns1:sty ns1:val="p"/>
                  </ns1:rPr>
                  <ns1:t>∥</ns1:t>
                </ns1:r>
                <ns1:r>
                  <ns1:rPr>
                    <ns1:sty ns1:val="p"/>
                  </ns1:rPr>
                  <ns1:t>−</ns1:t>
                </ns1:r>
                <ns1:r>
                  <ns1:rPr>
                    <ns1:sty ns1:val="p"/>
                  </ns1:rPr>
                  <ns1:t>∥</ns1:t>
                </ns1:r>
                <ns1:sSub>
                  <ns1:e>
                    <ns1:r>
                      <ns1:rPr>
                        <ns1:sty ns1:val="b"/>
                      </ns1:rPr>
                      <ns1:t>d</ns1:t>
                    </ns1:r>
                  </ns1:e>
                  <ns1:sub>
                    <ns1:r>
                      <ns1:t>R</ns1:t>
                    </ns1:r>
                  </ns1:sub>
                </ns1:sSub>
                <ns1:r>
                  <ns1:rPr>
                    <ns1:sty ns1:val="p"/>
                  </ns1:rPr>
                  <ns1:t>∥</ns1:t>
                </ns1:r>
                <ns1:r>
                  <ns1:rPr>
                    <ns1:sty ns1:val="p"/>
                  </ns1:rPr>
                  <ns1:t>|</ns1:t>
                </ns1:r>
                <ns1:r>
                  <ns1:rPr>
                    <ns1:sty ns1:val="p"/>
                  </ns1:rPr>
                  <ns1:t>.</ns1:t>
                </ns1:r>
              </ns1:e>
            </ns1:mr>
          </ns1:m>
        </ns1:oMath>
      </ns1:oMathPara>
    </ns0:p>
    <ns0:p>
      <ns0:pPr>
        <ns0:pStyle ns0:val="FirstParagraph"/>
      </ns0:pPr>
      <ns0:r>
        <ns0:t xml:space="preserve">Angles are converted to degrees before reporting. The exact principal rotation angle would instead be</ns0:t>
      </ns0:r>
      <ns0:r>
        <ns0:t xml:space="preserve"> </ns0:t>
      </ns0:r>
      <ns1:oMath>
        <ns1:r>
          <ns1:rPr>
            <ns1:nor/>
            <ns1:sty ns1:val="p"/>
          </ns1:rPr>
          <ns1:t>arccos</ns1:t>
        </ns1:r>
        <ns1:r>
          <ns1:rPr>
            <ns1:sty ns1:val="p"/>
          </ns1:rPr>
          <ns1:t>[</ns1:t>
        </ns1:r>
        <ns1:r>
          <ns1:rPr>
            <ns1:sty ns1:val="p"/>
          </ns1:rPr>
          <ns1:t>(</ns1:t>
        </ns1:r>
        <ns1:r>
          <ns1:rPr>
            <ns1:nor/>
            <ns1:sty ns1:val="p"/>
          </ns1:rPr>
          <ns1:t>tr</ns1:t>
        </ns1:r>
        <ns1:sSub>
          <ns1:e>
            <ns1:r>
              <ns1:rPr>
                <ns1:sty ns1:val="b"/>
              </ns1:rPr>
              <ns1:t>R</ns1:t>
            </ns1:r>
          </ns1:e>
          <ns1:sub>
            <ns1:r>
              <ns1:t>r</ns1:t>
            </ns1:r>
            <ns1:r>
              <ns1:t>e</ns1:t>
            </ns1:r>
            <ns1:r>
              <ns1:t>l</ns1:t>
            </ns1:r>
          </ns1:sub>
        </ns1:sSub>
        <ns1:r>
          <ns1:rPr>
            <ns1:sty ns1:val="p"/>
          </ns1:rPr>
          <ns1:t>−</ns1:t>
        </ns1:r>
        <ns1:r>
          <ns1:t>1</ns1:t>
        </ns1:r>
        <ns1:r>
          <ns1:rPr>
            <ns1:sty ns1:val="p"/>
          </ns1:rPr>
          <ns1:t>)</ns1:t>
        </ns1:r>
        <ns1:r>
          <ns1:rPr>
            <ns1:sty ns1:val="p"/>
          </ns1:rPr>
          <ns1:t>/</ns1:t>
        </ns1:r>
        <ns1:r>
          <ns1:t>2</ns1:t>
        </ns1:r>
        <ns1:r>
          <ns1:rPr>
            <ns1:sty ns1:val="p"/>
          </ns1:rPr>
          <ns1:t>]</ns1:t>
        </ns1:r>
      </ns1:oMath>
      <ns0:r>
        <ns0:t xml:space="preserve"> </ns0:t>
      </ns0:r>
      <ns0:r>
        <ns0:t xml:space="preserve">with numerical clipping. The Cardan norm approximates it at small angles and depends on the chosen axes and sequence.</ns0:t>
      </ns0:r>
    </ns0:p>
    <ns0:bookmarkEnd ns0:id="75"/>
    <ns0:bookmarkStart ns0:id="76" ns0:name="a.7.-conditional-size-scaling"/>
    <ns0:p>
      <ns0:pPr>
        <ns0:pStyle ns0:val="Heading2"/>
      </ns0:pPr>
      <ns0:r>
        <ns0:t xml:space="preserve">A.7. Conditional size scaling</ns0:t>
      </ns0:r>
    </ns0:p>
    <ns0:p>
      <ns0:pPr>
        <ns0:pStyle ns0:val="FirstParagraph"/>
      </ns0:pPr>
      <ns0:r>
        <ns0:t xml:space="preserve">Pelvic bone volume was calculated by summing the volumes of the selected left and right hip-bone bodies and sacrum, using mapped surface geometry and converting mm</ns0:t>
      </ns0:r>
      <ns1:oMath>
        <ns1:sSup>
          <ns1:e>
            <ns1:r>
              <ns1:t>​</ns1:t>
            </ns1:r>
          </ns1:e>
          <ns1:sup>
            <ns1:r>
              <ns1:t>3</ns1:t>
            </ns1:r>
          </ns1:sup>
        </ns1:sSup>
      </ns1:oMath>
      <ns0:r>
        <ns0:t xml:space="preserve"> </ns0:t>
      </ns0:r>
      <ns0:r>
        <ns0:t xml:space="preserve">to cm</ns0:t>
      </ns0:r>
      <ns1:oMath>
        <ns1:sSup>
          <ns1:e>
            <ns1:r>
              <ns1:t>​</ns1:t>
            </ns1:r>
          </ns1:e>
          <ns1:sup>
            <ns1:r>
              <ns1:t>3</ns1:t>
            </ns1:r>
          </ns1:sup>
        </ns1:sSup>
      </ns1:oMath>
      <ns0:r>
        <ns0:t xml:space="preserve">. These are whole-bone geometric volumes, not birth-canal volume or a direct integral of cortical tissue. The size factor is</ns0:t>
      </ns0:r>
      <ns0:r>
        <ns0:t xml:space="preserve"> </ns0:t>
      </ns0:r>
      <ns1:oMath>
        <ns1:sSub>
          <ns1:e>
            <ns1:r>
              <ns1:t>s</ns1:t>
            </ns1:r>
          </ns1:e>
          <ns1:sub>
            <ns1:r>
              <ns1:t>i</ns1:t>
            </ns1:r>
          </ns1:sub>
        </ns1:sSub>
        <ns1:r>
          <ns1:rPr>
            <ns1:sty ns1:val="p"/>
          </ns1:rPr>
          <ns1:t>=</ns1:t>
        </ns1:r>
        <ns1:r>
          <ns1:rPr>
            <ns1:sty ns1:val="p"/>
          </ns1:rPr>
          <ns1:t>(</ns1:t>
        </ns1:r>
        <ns1:sSub>
          <ns1:e>
            <ns1:r>
              <ns1:t>V</ns1:t>
            </ns1:r>
          </ns1:e>
          <ns1:sub>
            <ns1:r>
              <ns1:t>i</ns1:t>
            </ns1:r>
          </ns1:sub>
        </ns1:sSub>
        <ns1:r>
          <ns1:rPr>
            <ns1:sty ns1:val="p"/>
          </ns1:rPr>
          <ns1:t>/</ns1:t>
        </ns1:r>
        <ns1:sSub>
          <ns1:e>
            <ns1:r>
              <ns1:t>V</ns1:t>
            </ns1:r>
          </ns1:e>
          <ns1:sub>
            <ns1:r>
              <ns1:t>t</ns1:t>
            </ns1:r>
            <ns1:r>
              <ns1:t>e</ns1:t>
            </ns1:r>
            <ns1:r>
              <ns1:t>m</ns1:t>
            </ns1:r>
            <ns1:r>
              <ns1:t>p</ns1:t>
            </ns1:r>
            <ns1:r>
              <ns1:t>l</ns1:t>
            </ns1:r>
            <ns1:r>
              <ns1:t>a</ns1:t>
            </ns1:r>
            <ns1:r>
              <ns1:t>t</ns1:t>
            </ns1:r>
            <ns1:r>
              <ns1:t>e</ns1:t>
            </ns1:r>
          </ns1:sub>
        </ns1:sSub>
        <ns1:sSup>
          <ns1:e>
            <ns1:r>
              <ns1:rPr>
                <ns1:sty ns1:val="p"/>
              </ns1:rPr>
              <ns1:t>)</ns1:t>
            </ns1:r>
          </ns1:e>
          <ns1:sup>
            <ns1:r>
              <ns1:t>1</ns1:t>
            </ns1:r>
            <ns1:r>
              <ns1:rPr>
                <ns1:sty ns1:val="p"/>
              </ns1:rPr>
              <ns1:t>/</ns1:t>
            </ns1:r>
            <ns1:r>
              <ns1:t>3</ns1:t>
            </ns1:r>
          </ns1:sup>
        </ns1:sSup>
      </ns1:oMath>
      <ns0:r>
        <ns0:t xml:space="preserve">. Therefore a log-volume slope</ns0:t>
      </ns0:r>
      <ns0:r>
        <ns0:t xml:space="preserve"> </ns0:t>
      </ns0:r>
      <ns1:oMath>
        <ns1:r>
          <ns1:t>b</ns1:t>
        </ns1:r>
      </ns1:oMath>
      <ns0:r>
        <ns0:t xml:space="preserve"> </ns0:t>
      </ns0:r>
      <ns0:r>
        <ns0:t xml:space="preserve">becomes</ns0:t>
      </ns0:r>
      <ns0:r>
        <ns0:t xml:space="preserve"> </ns0:t>
      </ns0:r>
      <ns1:oMath>
        <ns1:r>
          <ns1:t>3</ns1:t>
        </ns1:r>
        <ns1:r>
          <ns1:t>b</ns1:t>
        </ns1:r>
      </ns1:oMath>
      <ns0:r>
        <ns0:t xml:space="preserve"> </ns0:t>
      </ns0:r>
      <ns0:r>
        <ns0:t xml:space="preserve">under log scale, with identical fitted responses and tests.</ns0:t>
      </ns0:r>
    </ns0:p>
    <ns0:p>
      <ns0:pPr>
        <ns0:pStyle ns0:val="BodyText"/>
      </ns0:pPr>
      <ns0:r>
        <ns0:t xml:space="preserve">For the sex-interaction log model,</ns0:t>
      </ns0:r>
      <ns0:r>
        <ns0:t xml:space="preserve"> </ns0:t>
      </ns0:r>
      <ns1:oMath>
        <ns1:sSub>
          <ns1:e>
            <ns1:r>
              <ns1:t>b</ns1:t>
            </ns1:r>
          </ns1:e>
          <ns1:sub>
            <ns1:r>
              <ns1:t>M</ns1:t>
            </ns1:r>
          </ns1:sub>
        </ns1:sSub>
        <ns1:r>
          <ns1:rPr>
            <ns1:sty ns1:val="p"/>
          </ns1:rPr>
          <ns1:t>=</ns1:t>
        </ns1:r>
        <ns1:sSub>
          <ns1:e>
            <ns1:r>
              <ns1:t>β</ns1:t>
            </ns1:r>
          </ns1:e>
          <ns1:sub>
            <ns1:r>
              <ns1:t>v</ns1:t>
            </ns1:r>
          </ns1:sub>
        </ns1:sSub>
      </ns1:oMath>
      <ns0:r>
        <ns0:t xml:space="preserve"> </ns0:t>
      </ns0:r>
      <ns0:r>
        <ns0:t xml:space="preserve">and</ns0:t>
      </ns0:r>
      <ns0:r>
        <ns0:t xml:space="preserve"> </ns0:t>
      </ns0:r>
      <ns1:oMath>
        <ns1:sSub>
          <ns1:e>
            <ns1:r>
              <ns1:t>b</ns1:t>
            </ns1:r>
          </ns1:e>
          <ns1:sub>
            <ns1:r>
              <ns1:t>F</ns1:t>
            </ns1:r>
          </ns1:sub>
        </ns1:sSub>
        <ns1:r>
          <ns1:rPr>
            <ns1:sty ns1:val="p"/>
          </ns1:rPr>
          <ns1:t>=</ns1:t>
        </ns1:r>
        <ns1:sSub>
          <ns1:e>
            <ns1:r>
              <ns1:t>β</ns1:t>
            </ns1:r>
          </ns1:e>
          <ns1:sub>
            <ns1:r>
              <ns1:t>v</ns1:t>
            </ns1:r>
          </ns1:sub>
        </ns1:sSub>
        <ns1:r>
          <ns1:rPr>
            <ns1:sty ns1:val="p"/>
          </ns1:rPr>
          <ns1:t>+</ns1:t>
        </ns1:r>
        <ns1:sSub>
          <ns1:e>
            <ns1:r>
              <ns1:t>β</ns1:t>
            </ns1:r>
          </ns1:e>
          <ns1:sub>
            <ns1:r>
              <ns1:t>v</ns1:t>
            </ns1:r>
            <ns1:r>
              <ns1:rPr>
                <ns1:sty ns1:val="p"/>
              </ns1:rPr>
              <ns1:t>:</ns1:t>
            </ns1:r>
            <ns1:r>
              <ns1:t>s</ns1:t>
            </ns1:r>
          </ns1:sub>
        </ns1:sSub>
      </ns1:oMath>
      <ns0:r>
        <ns0:t xml:space="preserve">. The female slope variance is</ns0:t>
      </ns0:r>
    </ns0:p>
    <ns0:p>
      <ns0:pPr>
        <ns0:pStyle ns0:val="BodyText"/>
      </ns0:pPr>
      <ns1:oMathPara>
        <ns1:oMathParaPr>
          <ns1:jc ns1:val="center"/>
        </ns1:oMathParaPr>
        <ns1:oMath>
          <ns1:r>
            <ns1:rPr>
              <ns1:nor/>
              <ns1:sty ns1:val="p"/>
            </ns1:rPr>
            <ns1:t>Var</ns1:t>
          </ns1:r>
          <ns1:r>
            <ns1:rPr>
              <ns1:sty ns1:val="p"/>
            </ns1:rPr>
            <ns1:t>(</ns1:t>
          </ns1:r>
          <ns1:sSub>
            <ns1:e>
              <ns1:r>
                <ns1:t>b</ns1:t>
              </ns1:r>
            </ns1:e>
            <ns1:sub>
              <ns1:r>
                <ns1:t>F</ns1:t>
              </ns1:r>
            </ns1:sub>
          </ns1:sSub>
          <ns1:r>
            <ns1:rPr>
              <ns1:sty ns1:val="p"/>
            </ns1:rPr>
            <ns1:t>)</ns1:t>
          </ns1:r>
          <ns1:r>
            <ns1:rPr>
              <ns1:sty ns1:val="p"/>
            </ns1:rPr>
            <ns1:t>=</ns1:t>
          </ns1:r>
          <ns1:r>
            <ns1:rPr>
              <ns1:nor/>
              <ns1:sty ns1:val="p"/>
            </ns1:rPr>
            <ns1:t>Var</ns1:t>
          </ns1:r>
          <ns1:r>
            <ns1:rPr>
              <ns1:sty ns1:val="p"/>
            </ns1:rPr>
            <ns1:t>(</ns1:t>
          </ns1:r>
          <ns1:sSub>
            <ns1:e>
              <ns1:r>
                <ns1:t>β</ns1:t>
              </ns1:r>
            </ns1:e>
            <ns1:sub>
              <ns1:r>
                <ns1:t>v</ns1:t>
              </ns1:r>
            </ns1:sub>
          </ns1:sSub>
          <ns1:r>
            <ns1:rPr>
              <ns1:sty ns1:val="p"/>
            </ns1:rPr>
            <ns1:t>)</ns1:t>
          </ns1:r>
          <ns1:r>
            <ns1:rPr>
              <ns1:sty ns1:val="p"/>
            </ns1:rPr>
            <ns1:t>+</ns1:t>
          </ns1:r>
          <ns1:r>
            <ns1:rPr>
              <ns1:nor/>
              <ns1:sty ns1:val="p"/>
            </ns1:rPr>
            <ns1:t>Var</ns1:t>
          </ns1:r>
          <ns1:r>
            <ns1:rPr>
              <ns1:sty ns1:val="p"/>
            </ns1:rPr>
            <ns1:t>(</ns1:t>
          </ns1:r>
          <ns1:sSub>
            <ns1:e>
              <ns1:r>
                <ns1:t>β</ns1:t>
              </ns1:r>
            </ns1:e>
            <ns1:sub>
              <ns1:r>
                <ns1:t>v</ns1:t>
              </ns1:r>
              <ns1:r>
                <ns1:rPr>
                  <ns1:sty ns1:val="p"/>
                </ns1:rPr>
                <ns1:t>:</ns1:t>
              </ns1:r>
              <ns1:r>
                <ns1:t>s</ns1:t>
              </ns1:r>
            </ns1:sub>
          </ns1:sSub>
          <ns1:r>
            <ns1:rPr>
              <ns1:sty ns1:val="p"/>
            </ns1:rPr>
            <ns1:t>)</ns1:t>
          </ns1:r>
          <ns1:r>
            <ns1:rPr>
              <ns1:sty ns1:val="p"/>
            </ns1:rPr>
            <ns1:t>+</ns1:t>
          </ns1:r>
          <ns1:r>
            <ns1:t>2</ns1:t>
          </ns1:r>
          <ns1:r>
            <ns1:rPr>
              <ns1:nor/>
              <ns1:sty ns1:val="p"/>
            </ns1:rPr>
            <ns1:t>Cov</ns1:t>
          </ns1:r>
          <ns1:r>
            <ns1:rPr>
              <ns1:sty ns1:val="p"/>
            </ns1:rPr>
            <ns1:t>(</ns1:t>
          </ns1:r>
          <ns1:sSub>
            <ns1:e>
              <ns1:r>
                <ns1:t>β</ns1:t>
              </ns1:r>
            </ns1:e>
            <ns1:sub>
              <ns1:r>
                <ns1:t>v</ns1:t>
              </ns1:r>
            </ns1:sub>
          </ns1:sSub>
          <ns1:r>
            <ns1:rPr>
              <ns1:sty ns1:val="p"/>
            </ns1:rPr>
            <ns1:t>,</ns1:t>
          </ns1:r>
          <ns1:sSub>
            <ns1:e>
              <ns1:r>
                <ns1:t>β</ns1:t>
              </ns1:r>
            </ns1:e>
            <ns1:sub>
              <ns1:r>
                <ns1:t>v</ns1:t>
              </ns1:r>
              <ns1:r>
                <ns1:rPr>
                  <ns1:sty ns1:val="p"/>
                </ns1:rPr>
                <ns1:t>:</ns1:t>
              </ns1:r>
              <ns1:r>
                <ns1:t>s</ns1:t>
              </ns1:r>
            </ns1:sub>
          </ns1:sSub>
          <ns1:r>
            <ns1:rPr>
              <ns1:sty ns1:val="p"/>
            </ns1:rPr>
            <ns1:t>)</ns1:t>
          </ns1:r>
          <ns1:r>
            <ns1:rPr>
              <ns1:sty ns1:val="p"/>
            </ns1:rPr>
            <ns1:t>.</ns1:t>
          </ns1:r>
        </ns1:oMath>
      </ns1:oMathPara>
    </ns0:p>
    <ns0:p>
      <ns0:pPr>
        <ns0:pStyle ns0:val="FirstParagraph"/>
      </ns0:pPr>
      <ns0:r>
        <ns0:t xml:space="preserve">Reported intervals use this full covariance. Exponentiating a fitted log response gives a conditional geometric mean, not an unbiased arithmetic mean. Supplementary Figure S3 reports slopes from this model. Supplementary Figure S1 shows its conditional geometric-mean curves with age and the morphometric covariates set to their cohort means.</ns0:t>
      </ns0:r>
    </ns0:p>
    <ns0:bookmarkEnd ns0:id="76"/>
    <ns0:bookmarkStart ns0:id="77" ns0:name="X675c6686dc2701ae469a06b1143747568761250"/>
    <ns0:p>
      <ns0:pPr>
        <ns0:pStyle ns0:val="Heading2"/>
      </ns0:pPr>
      <ns0:r>
        <ns0:t xml:space="preserve">A.8. Statistical estimands and uncertainty</ns0:t>
      </ns0:r>
    </ns0:p>
    <ns0:p>
      <ns0:pPr>
        <ns0:pStyle ns0:val="FirstParagraph"/>
      </ns0:pPr>
      <ns0:r>
        <ns0:t xml:space="preserve">All logarithms are natural logarithms of numerical values in the stated units:</ns0:t>
      </ns0:r>
      <ns0:r>
        <ns0:t xml:space="preserve"> </ns0:t>
      </ns0:r>
      <ns1:oMath>
        <ns1:r>
          <ns1:rPr>
            <ns1:nor/>
            <ns1:sty ns1:val="p"/>
          </ns1:rPr>
          <ns1:t>log</ns1:t>
        </ns1:r>
        <ns1:r>
          <ns1:t>V</ns1:t>
        </ns1:r>
      </ns1:oMath>
      <ns0:r>
        <ns0:t xml:space="preserve"> </ns0:t>
      </ns0:r>
      <ns0:r>
        <ns0:t xml:space="preserve">abbreviates</ns0:t>
      </ns0:r>
      <ns0:r>
        <ns0:t xml:space="preserve"> </ns0:t>
      </ns0:r>
      <ns1:oMath>
        <ns1:r>
          <ns1:rPr>
            <ns1:nor/>
            <ns1:sty ns1:val="p"/>
          </ns1:rPr>
          <ns1:t>log</ns1:t>
        </ns1:r>
        <ns1:r>
          <ns1:rPr>
            <ns1:sty ns1:val="p"/>
          </ns1:rPr>
          <ns1:t>[</ns1:t>
        </ns1:r>
        <ns1:r>
          <ns1:t>V</ns1:t>
        </ns1:r>
        <ns1:r>
          <ns1:rPr>
            <ns1:sty ns1:val="p"/>
          </ns1:rPr>
          <ns1:t>/</ns1:t>
        </ns1:r>
        <ns1:r>
          <ns1:rPr>
            <ns1:sty ns1:val="p"/>
          </ns1:rPr>
          <ns1:t>(</ns1:t>
        </ns1:r>
        <ns1:r>
          <ns1:t>1</ns1:t>
        </ns1:r>
        <ns1:r>
          <ns1:t> </ns1:t>
        </ns1:r>
        <ns1:sSup>
          <ns1:e>
            <ns1:r>
              <ns1:rPr>
                <ns1:sty ns1:val="p"/>
              </ns1:rPr>
              <ns1:t>c</ns1:t>
            </ns1:r>
            <ns1:r>
              <ns1:rPr>
                <ns1:sty ns1:val="p"/>
              </ns1:rPr>
              <ns1:t>m</ns1:t>
            </ns1:r>
          </ns1:e>
          <ns1:sup>
            <ns1:r>
              <ns1:t>3</ns1:t>
            </ns1:r>
          </ns1:sup>
        </ns1:sSup>
        <ns1:r>
          <ns1:rPr>
            <ns1:sty ns1:val="p"/>
          </ns1:rPr>
          <ns1:t>)</ns1:t>
        </ns1:r>
        <ns1:r>
          <ns1:rPr>
            <ns1:sty ns1:val="p"/>
          </ns1:rPr>
          <ns1:t>]</ns1:t>
        </ns1:r>
      </ns1:oMath>
      <ns0:r>
        <ns0:t xml:space="preserve">, and</ns0:t>
      </ns0:r>
      <ns0:r>
        <ns0:t xml:space="preserve"> </ns0:t>
      </ns0:r>
      <ns1:oMath>
        <ns1:r>
          <ns1:rPr>
            <ns1:nor/>
            <ns1:sty ns1:val="p"/>
          </ns1:rPr>
          <ns1:t>log</ns1:t>
        </ns1:r>
        <ns1:r>
          <ns1:t>Y</ns1:t>
        </ns1:r>
      </ns1:oMath>
      <ns0:r>
        <ns0:t xml:space="preserve"> </ns0:t>
      </ns0:r>
      <ns0:r>
        <ns0:t xml:space="preserve">uses 1 mm or 1 degree as the reference unit. Changing these reference units changes intercepts, but not the sex-specific volume slopes. For the association models, standardized predictors are</ns0:t>
      </ns0:r>
      <ns0:r>
        <ns0:t xml:space="preserve"> </ns0:t>
      </ns0:r>
      <ns1:oMath>
        <ns1:sSub>
          <ns1:e>
            <ns1:r>
              <ns1:t>z</ns1:t>
            </ns1:r>
          </ns1:e>
          <ns1:sub>
            <ns1:r>
              <ns1:t>i</ns1:t>
            </ns1:r>
          </ns1:sub>
        </ns1:sSub>
        <ns1:r>
          <ns1:rPr>
            <ns1:sty ns1:val="p"/>
          </ns1:rPr>
          <ns1:t>=</ns1:t>
        </ns1:r>
        <ns1:r>
          <ns1:rPr>
            <ns1:sty ns1:val="p"/>
          </ns1:rPr>
          <ns1:t>(</ns1:t>
        </ns1:r>
        <ns1:sSub>
          <ns1:e>
            <ns1:r>
              <ns1:t>x</ns1:t>
            </ns1:r>
          </ns1:e>
          <ns1:sub>
            <ns1:r>
              <ns1:t>i</ns1:t>
            </ns1:r>
          </ns1:sub>
        </ns1:sSub>
        <ns1:r>
          <ns1:rPr>
            <ns1:sty ns1:val="p"/>
          </ns1:rPr>
          <ns1:t>−</ns1:t>
        </ns1:r>
        <ns1:acc>
          <ns1:accPr>
            <ns1:chr ns1:val="‾"/>
          </ns1:accPr>
          <ns1:e>
            <ns1:r>
              <ns1:t>x</ns1:t>
            </ns1:r>
          </ns1:e>
        </ns1:acc>
        <ns1:r>
          <ns1:rPr>
            <ns1:sty ns1:val="p"/>
          </ns1:rPr>
          <ns1:t>)</ns1:t>
        </ns1:r>
        <ns1:r>
          <ns1:rPr>
            <ns1:sty ns1:val="p"/>
          </ns1:rPr>
          <ns1:t>/</ns1:t>
        </ns1:r>
        <ns1:sSub>
          <ns1:e>
            <ns1:r>
              <ns1:t>s</ns1:t>
            </ns1:r>
          </ns1:e>
          <ns1:sub>
            <ns1:r>
              <ns1:t>x</ns1:t>
            </ns1:r>
          </ns1:sub>
        </ns1:sSub>
      </ns1:oMath>
      <ns0:r>
        <ns0:t xml:space="preserve">, where</ns0:t>
      </ns0:r>
      <ns0:r>
        <ns0:t xml:space="preserve"> </ns0:t>
      </ns0:r>
      <ns1:oMath>
        <ns1:sSub>
          <ns1:e>
            <ns1:r>
              <ns1:t>s</ns1:t>
            </ns1:r>
          </ns1:e>
          <ns1:sub>
            <ns1:r>
              <ns1:t>x</ns1:t>
            </ns1:r>
          </ns1:sub>
        </ns1:sSub>
      </ns1:oMath>
      <ns0:r>
        <ns0:t xml:space="preserve"> </ns0:t>
      </ns0:r>
      <ns0:r>
        <ns0:t xml:space="preserve">is the cohort sample standard deviation; for log volume, the logarithm is taken before standardization. Predictive models instead estimate these quantities within each training fold, as specified in the main Methods.</ns0:t>
      </ns0:r>
    </ns0:p>
    <ns0:p>
      <ns0:pPr>
        <ns0:pStyle ns0:val="BodyText"/>
      </ns0:pPr>
      <ns0:r>
        <ns0:t xml:space="preserve">For design matrix</ns0:t>
      </ns0:r>
      <ns0:r>
        <ns0:t xml:space="preserve"> </ns0:t>
      </ns0:r>
      <ns1:oMath>
        <ns1:r>
          <ns1:rPr>
            <ns1:sty ns1:val="b"/>
          </ns1:rPr>
          <ns1:t>Z</ns1:t>
        </ns1:r>
      </ns1:oMath>
      <ns0:r>
        <ns0:t xml:space="preserve">, OLS residuals</ns0:t>
      </ns0:r>
      <ns0:r>
        <ns0:t xml:space="preserve"> </ns0:t>
      </ns0:r>
      <ns1:oMath>
        <ns1:sSub>
          <ns1:e>
            <ns1:r>
              <ns1:t>e</ns1:t>
            </ns1:r>
          </ns1:e>
          <ns1:sub>
            <ns1:r>
              <ns1:t>i</ns1:t>
            </ns1:r>
          </ns1:sub>
        </ns1:sSub>
      </ns1:oMath>
      <ns0:r>
        <ns0:t xml:space="preserve"> </ns0:t>
      </ns0:r>
      <ns0:r>
        <ns0:t xml:space="preserve">and leverage</ns0:t>
      </ns0:r>
      <ns0:r>
        <ns0:t xml:space="preserve"> </ns0:t>
      </ns0:r>
      <ns1:oMath>
        <ns1:sSub>
          <ns1:e>
            <ns1:r>
              <ns1:t>h</ns1:t>
            </ns1:r>
          </ns1:e>
          <ns1:sub>
            <ns1:r>
              <ns1:t>i</ns1:t>
            </ns1:r>
            <ns1:r>
              <ns1:t>i</ns1:t>
            </ns1:r>
          </ns1:sub>
        </ns1:sSub>
      </ns1:oMath>
      <ns0:r>
        <ns0:t xml:space="preserve">, the HC3 covariance estimator is</ns0:t>
      </ns0:r>
    </ns0:p>
    <ns0:p>
      <ns0:pPr>
        <ns0:pStyle ns0:val="BodyText"/>
      </ns0:pPr>
      <ns1:oMathPara>
        <ns1:oMathParaPr>
          <ns1:jc ns1:val="center"/>
        </ns1:oMathParaPr>
        <ns1:oMath>
          <ns1:sSub>
            <ns1:e>
              <ns1:acc>
                <ns1:accPr>
                  <ns1:chr ns1:val="̂"/>
                </ns1:accPr>
                <ns1:e>
                  <ns1:r>
                    <ns1:rPr>
                      <ns1:nor/>
                      <ns1:sty ns1:val="p"/>
                    </ns1:rPr>
                    <ns1:t>Cov</ns1:t>
                  </ns1:r>
                </ns1:e>
              </ns1:acc>
            </ns1:e>
            <ns1:sub>
              <ns1:r>
                <ns1:t>H</ns1:t>
              </ns1:r>
              <ns1:r>
                <ns1:t>C</ns1:t>
              </ns1:r>
              <ns1:r>
                <ns1:t>3</ns1:t>
              </ns1:r>
            </ns1:sub>
          </ns1:sSub>
          <ns1:r>
            <ns1:rPr>
              <ns1:sty ns1:val="p"/>
            </ns1:rPr>
            <ns1:t>(</ns1:t>
          </ns1:r>
          <ns1:acc>
            <ns1:accPr>
              <ns1:chr ns1:val="̂"/>
            </ns1:accPr>
            <ns1:e>
              <ns1:r>
                <ns1:rPr>
                  <ns1:sty ns1:val="b"/>
                </ns1:rPr>
                <ns1:t>β</ns1:t>
              </ns1:r>
            </ns1:e>
          </ns1:acc>
          <ns1:r>
            <ns1:rPr>
              <ns1:sty ns1:val="p"/>
            </ns1:rPr>
            <ns1:t>)</ns1:t>
          </ns1:r>
          <ns1:r>
            <ns1:rPr>
              <ns1:sty ns1:val="p"/>
            </ns1:rPr>
            <ns1:t>=</ns1:t>
          </ns1:r>
          <ns1:r>
            <ns1:rPr>
              <ns1:sty ns1:val="p"/>
            </ns1:rPr>
            <ns1:t>(</ns1:t>
          </ns1:r>
          <ns1:sSup>
            <ns1:e>
              <ns1:r>
                <ns1:rPr>
                  <ns1:sty ns1:val="b"/>
                </ns1:rPr>
                <ns1:t>Z</ns1:t>
              </ns1:r>
            </ns1:e>
            <ns1:sup>
              <ns1:r>
                <ns1:t>T</ns1:t>
              </ns1:r>
            </ns1:sup>
          </ns1:sSup>
          <ns1:r>
            <ns1:rPr>
              <ns1:sty ns1:val="b"/>
            </ns1:rPr>
            <ns1:t>Z</ns1:t>
          </ns1:r>
          <ns1:sSup>
            <ns1:e>
              <ns1:r>
                <ns1:rPr>
                  <ns1:sty ns1:val="p"/>
                </ns1:rPr>
                <ns1:t>)</ns1:t>
              </ns1:r>
            </ns1:e>
            <ns1:sup>
              <ns1:r>
                <ns1:rPr>
                  <ns1:sty ns1:val="p"/>
                </ns1:rPr>
                <ns1:t>−</ns1:t>
              </ns1:r>
              <ns1:r>
                <ns1:t>1</ns1:t>
              </ns1:r>
            </ns1:sup>
          </ns1:sSup>
          <ns1:sSup>
            <ns1:e>
              <ns1:r>
                <ns1:rPr>
                  <ns1:sty ns1:val="b"/>
                </ns1:rPr>
                <ns1:t>Z</ns1:t>
              </ns1:r>
            </ns1:e>
            <ns1:sup>
              <ns1:r>
                <ns1:t>T</ns1:t>
              </ns1:r>
            </ns1:sup>
          </ns1:sSup>
          <ns1:r>
            <ns1:rPr>
              <ns1:nor/>
              <ns1:sty ns1:val="p"/>
            </ns1:rPr>
            <ns1:t>diag</ns1:t>
          </ns1:r>
          <ns1:r>
            <ns1:t>​</ns1:t>
          </ns1:r>
          <ns1:d>
            <ns1:dPr>
              <ns1:begChr ns1:val="["/>
              <ns1:endChr ns1:val="]"/>
              <ns1:grow/>
            </ns1:dPr>
            <ns1:e>
              <ns1:f>
                <ns1:fPr>
                  <ns1:type ns1:val="bar"/>
                </ns1:fPr>
                <ns1:num>
                  <ns1:sSubSup>
                    <ns1:e>
                      <ns1:r>
                        <ns1:t>e</ns1:t>
                      </ns1:r>
                    </ns1:e>
                    <ns1:sub>
                      <ns1:r>
                        <ns1:t>i</ns1:t>
                      </ns1:r>
                    </ns1:sub>
                    <ns1:sup>
                      <ns1:r>
                        <ns1:t>2</ns1:t>
                      </ns1:r>
                    </ns1:sup>
                  </ns1:sSubSup>
                </ns1:num>
                <ns1:den>
                  <ns1:r>
                    <ns1:rPr>
                      <ns1:sty ns1:val="p"/>
                    </ns1:rPr>
                    <ns1:t>(</ns1:t>
                  </ns1:r>
                  <ns1:r>
                    <ns1:t>1</ns1:t>
                  </ns1:r>
                  <ns1:r>
                    <ns1:rPr>
                      <ns1:sty ns1:val="p"/>
                    </ns1:rPr>
                    <ns1:t>−</ns1:t>
                  </ns1:r>
                  <ns1:sSub>
                    <ns1:e>
                      <ns1:r>
                        <ns1:t>h</ns1:t>
                      </ns1:r>
                    </ns1:e>
                    <ns1:sub>
                      <ns1:r>
                        <ns1:t>i</ns1:t>
                      </ns1:r>
                      <ns1:r>
                        <ns1:t>i</ns1:t>
                      </ns1:r>
                    </ns1:sub>
                  </ns1:sSub>
                  <ns1:sSup>
                    <ns1:e>
                      <ns1:r>
                        <ns1:rPr>
                          <ns1:sty ns1:val="p"/>
                        </ns1:rPr>
                        <ns1:t>)</ns1:t>
                      </ns1:r>
                    </ns1:e>
                    <ns1:sup>
                      <ns1:r>
                        <ns1:t>2</ns1:t>
                      </ns1:r>
                    </ns1:sup>
                  </ns1:sSup>
                </ns1:den>
              </ns1:f>
            </ns1:e>
          </ns1:d>
          <ns1:r>
            <ns1:rPr>
              <ns1:sty ns1:val="b"/>
            </ns1:rPr>
            <ns1:t>Z</ns1:t>
          </ns1:r>
          <ns1:r>
            <ns1:rPr>
              <ns1:sty ns1:val="p"/>
            </ns1:rPr>
            <ns1:t>(</ns1:t>
          </ns1:r>
          <ns1:sSup>
            <ns1:e>
              <ns1:r>
                <ns1:rPr>
                  <ns1:sty ns1:val="b"/>
                </ns1:rPr>
                <ns1:t>Z</ns1:t>
              </ns1:r>
            </ns1:e>
            <ns1:sup>
              <ns1:r>
                <ns1:t>T</ns1:t>
              </ns1:r>
            </ns1:sup>
          </ns1:sSup>
          <ns1:r>
            <ns1:rPr>
              <ns1:sty ns1:val="b"/>
            </ns1:rPr>
            <ns1:t>Z</ns1:t>
          </ns1:r>
          <ns1:sSup>
            <ns1:e>
              <ns1:r>
                <ns1:rPr>
                  <ns1:sty ns1:val="p"/>
                </ns1:rPr>
                <ns1:t>)</ns1:t>
              </ns1:r>
            </ns1:e>
            <ns1:sup>
              <ns1:r>
                <ns1:rPr>
                  <ns1:sty ns1:val="p"/>
                </ns1:rPr>
                <ns1:t>−</ns1:t>
              </ns1:r>
              <ns1:r>
                <ns1:t>1</ns1:t>
              </ns1:r>
            </ns1:sup>
          </ns1:sSup>
          <ns1:r>
            <ns1:rPr>
              <ns1:sty ns1:val="p"/>
            </ns1:rPr>
            <ns1:t>.</ns1:t>
          </ns1:r>
        </ns1:oMath>
      </ns1:oMathPara>
    </ns0:p>
    <ns0:p>
      <ns0:pPr>
        <ns0:pStyle ns0:val="FirstParagraph"/>
      </ns0:pPr>
      <ns0:r>
        <ns0:t xml:space="preserve">For any coefficient contrast</ns0:t>
      </ns0:r>
      <ns0:r>
        <ns0:t xml:space="preserve"> </ns0:t>
      </ns0:r>
      <ns1:oMath>
        <ns1:r>
          <ns1:rPr>
            <ns1:sty ns1:val="b"/>
          </ns1:rPr>
          <ns1:t>c</ns1:t>
        </ns1:r>
      </ns1:oMath>
      <ns0:r>
        <ns0:t xml:space="preserve">, its estimate is</ns0:t>
      </ns0:r>
      <ns0:r>
        <ns0:t xml:space="preserve"> </ns0:t>
      </ns0:r>
      <ns1:oMath>
        <ns1:sSup>
          <ns1:e>
            <ns1:r>
              <ns1:rPr>
                <ns1:sty ns1:val="b"/>
              </ns1:rPr>
              <ns1:t>c</ns1:t>
            </ns1:r>
          </ns1:e>
          <ns1:sup>
            <ns1:r>
              <ns1:t>T</ns1:t>
            </ns1:r>
          </ns1:sup>
        </ns1:sSup>
        <ns1:acc>
          <ns1:accPr>
            <ns1:chr ns1:val="̂"/>
          </ns1:accPr>
          <ns1:e>
            <ns1:r>
              <ns1:rPr>
                <ns1:sty ns1:val="b"/>
              </ns1:rPr>
              <ns1:t>β</ns1:t>
            </ns1:r>
          </ns1:e>
        </ns1:acc>
      </ns1:oMath>
      <ns0:r>
        <ns0:t xml:space="preserve"> </ns0:t>
      </ns0:r>
      <ns0:r>
        <ns0:t xml:space="preserve">and standard error is</ns0:t>
      </ns0:r>
      <ns0:r>
        <ns0:t xml:space="preserve"> </ns0:t>
      </ns0:r>
      <ns1:oMath>
        <ns1:r>
          <ns1:rPr>
            <ns1:sty ns1:val="p"/>
          </ns1:rPr>
          <ns1:t>[</ns1:t>
        </ns1:r>
        <ns1:sSup>
          <ns1:e>
            <ns1:r>
              <ns1:rPr>
                <ns1:sty ns1:val="b"/>
              </ns1:rPr>
              <ns1:t>c</ns1:t>
            </ns1:r>
          </ns1:e>
          <ns1:sup>
            <ns1:r>
              <ns1:t>T</ns1:t>
            </ns1:r>
          </ns1:sup>
        </ns1:sSup>
        <ns1:sSub>
          <ns1:e>
            <ns1:acc>
              <ns1:accPr>
                <ns1:chr ns1:val="̂"/>
              </ns1:accPr>
              <ns1:e>
                <ns1:r>
                  <ns1:rPr>
                    <ns1:nor/>
                    <ns1:sty ns1:val="p"/>
                  </ns1:rPr>
                  <ns1:t>Cov</ns1:t>
                </ns1:r>
              </ns1:e>
            </ns1:acc>
          </ns1:e>
          <ns1:sub>
            <ns1:r>
              <ns1:t>H</ns1:t>
            </ns1:r>
            <ns1:r>
              <ns1:t>C</ns1:t>
            </ns1:r>
            <ns1:r>
              <ns1:t>3</ns1:t>
            </ns1:r>
          </ns1:sub>
        </ns1:sSub>
        <ns1:r>
          <ns1:rPr>
            <ns1:sty ns1:val="b"/>
          </ns1:rPr>
          <ns1:t>c</ns1:t>
        </ns1:r>
        <ns1:sSup>
          <ns1:e>
            <ns1:r>
              <ns1:rPr>
                <ns1:sty ns1:val="p"/>
              </ns1:rPr>
              <ns1:t>]</ns1:t>
            </ns1:r>
          </ns1:e>
          <ns1:sup>
            <ns1:r>
              <ns1:t>1</ns1:t>
            </ns1:r>
            <ns1:r>
              <ns1:rPr>
                <ns1:sty ns1:val="p"/>
              </ns1:rPr>
              <ns1:t>/</ns1:t>
            </ns1:r>
            <ns1:r>
              <ns1:t>2</ns1:t>
            </ns1:r>
          </ns1:sup>
        </ns1:sSup>
      </ns1:oMath>
      <ns0:r>
        <ns0:t xml:space="preserve">. Reported Wald intervals use the normal critical value (approximately 1.96). The volume slopes are conditional elasticities: holding the other predictors fixed, multiplying volume by</ns0:t>
      </ns0:r>
      <ns0:r>
        <ns0:t xml:space="preserve"> </ns0:t>
      </ns0:r>
      <ns1:oMath>
        <ns1:r>
          <ns1:t>a</ns1:t>
        </ns1:r>
        <ns1:r>
          <ns1:rPr>
            <ns1:sty ns1:val="p"/>
          </ns1:rPr>
          <ns1:t>&gt;</ns1:t>
        </ns1:r>
        <ns1:r>
          <ns1:t>0</ns1:t>
        </ns1:r>
      </ns1:oMath>
      <ns0:r>
        <ns0:t xml:space="preserve"> </ns0:t>
      </ns0:r>
      <ns0:r>
        <ns0:t xml:space="preserve">multiplies the fitted geometric-mean response by</ns0:t>
      </ns0:r>
      <ns0:r>
        <ns0:t xml:space="preserve"> </ns0:t>
      </ns0:r>
      <ns1:oMath>
        <ns1:sSup>
          <ns1:e>
            <ns1:r>
              <ns1:t>a</ns1:t>
            </ns1:r>
          </ns1:e>
          <ns1:sup>
            <ns1:r>
              <ns1:t>b</ns1:t>
            </ns1:r>
          </ns1:sup>
        </ns1:sSup>
      </ns1:oMath>
      <ns0:r>
        <ns0:t xml:space="preserve">.</ns0:t>
      </ns0:r>
    </ns0:p>
    <ns0:p>
      <ns0:pPr>
        <ns0:pStyle ns0:val="BodyText"/>
      </ns0:pPr>
      <ns0:r>
        <ns0:t xml:space="preserve">For a paired contrast</ns0:t>
      </ns0:r>
      <ns0:r>
        <ns0:t xml:space="preserve"> </ns0:t>
      </ns0:r>
      <ns1:oMath>
        <ns1:sSub>
          <ns1:e>
            <ns1:r>
              <ns1:t>Δ</ns1:t>
            </ns1:r>
          </ns1:e>
          <ns1:sub>
            <ns1:r>
              <ns1:t>i</ns1:t>
            </ns1:r>
          </ns1:sub>
        </ns1:sSub>
      </ns1:oMath>
      <ns0:r>
        <ns0:t xml:space="preserve">, the reported effect is</ns0:t>
      </ns0:r>
      <ns0:r>
        <ns0:t xml:space="preserve"> </ns0:t>
      </ns0:r>
      <ns1:oMath>
        <ns1:sSub>
          <ns1:e>
            <ns1:r>
              <ns1:rPr>
                <ns1:nor/>
                <ns1:sty ns1:val="p"/>
              </ns1:rPr>
              <ns1:t>median</ns1:t>
            </ns1:r>
          </ns1:e>
          <ns1:sub>
            <ns1:r>
              <ns1:t>i</ns1:t>
            </ns1:r>
          </ns1:sub>
        </ns1:sSub>
        <ns1:sSub>
          <ns1:e>
            <ns1:r>
              <ns1:t>Δ</ns1:t>
            </ns1:r>
          </ns1:e>
          <ns1:sub>
            <ns1:r>
              <ns1:t>i</ns1:t>
            </ns1:r>
          </ns1:sub>
        </ns1:sSub>
      </ns1:oMath>
      <ns0:r>
        <ns0:t xml:space="preserve">, not the difference between two marginal medians. With</ns0:t>
      </ns0:r>
      <ns0:r>
        <ns0:t xml:space="preserve"> </ns0:t>
      </ns0:r>
      <ns1:oMath>
        <ns1:sSub>
          <ns1:e>
            <ns1:r>
              <ns1:t>n</ns1:t>
            </ns1:r>
          </ns1:e>
          <ns1:sub>
            <ns1:r>
              <ns1:rPr>
                <ns1:sty ns1:val="p"/>
              </ns1:rPr>
              <ns1:t>*</ns1:t>
            </ns1:r>
          </ns1:sub>
        </ns1:sSub>
      </ns1:oMath>
      <ns0:r>
        <ns0:t xml:space="preserve"> </ns0:t>
      </ns0:r>
      <ns0:r>
        <ns0:t xml:space="preserve">nonzero differences and</ns0:t>
      </ns0:r>
      <ns0:r>
        <ns0:t xml:space="preserve"> </ns0:t>
      </ns0:r>
      <ns1:oMath>
        <ns1:r>
          <ns1:t>B</ns1:t>
        </ns1:r>
        <ns1:r>
          <ns1:rPr>
            <ns1:sty ns1:val="p"/>
          </ns1:rPr>
          <ns1:t>=</ns1:t>
        </ns1:r>
        <ns1:nary>
          <ns1:naryPr>
            <ns1:chr ns1:val="∑"/>
            <ns1:limLoc ns1:val="undOvr"/>
            <ns1:subHide ns1:val="0"/>
            <ns1:supHide ns1:val="1"/>
          </ns1:naryPr>
          <ns1:sub>
            <ns1:r>
              <ns1:t>i</ns1:t>
            </ns1:r>
          </ns1:sub>
          <ns1:sup>
            <ns1:r>
              <ns1:t>​</ns1:t>
            </ns1:r>
          </ns1:sup>
          <ns1:e>
            <ns1:r>
              <ns1:rPr>
                <ns1:sty ns1:val="p"/>
                <ns1:scr ns1:val="double-struck"/>
              </ns1:rPr>
              <ns1:t>1</ns1:t>
            </ns1:r>
          </ns1:e>
        </ns1:nary>
        <ns1:r>
          <ns1:rPr>
            <ns1:sty ns1:val="p"/>
          </ns1:rPr>
          <ns1:t>(</ns1:t>
        </ns1:r>
        <ns1:sSub>
          <ns1:e>
            <ns1:r>
              <ns1:t>Δ</ns1:t>
            </ns1:r>
          </ns1:e>
          <ns1:sub>
            <ns1:r>
              <ns1:t>i</ns1:t>
            </ns1:r>
          </ns1:sub>
        </ns1:sSub>
        <ns1:r>
          <ns1:rPr>
            <ns1:sty ns1:val="p"/>
          </ns1:rPr>
          <ns1:t>&gt;</ns1:t>
        </ns1:r>
        <ns1:r>
          <ns1:t>0</ns1:t>
        </ns1:r>
        <ns1:r>
          <ns1:rPr>
            <ns1:sty ns1:val="p"/>
          </ns1:rPr>
          <ns1:t>)</ns1:t>
        </ns1:r>
      </ns1:oMath>
      <ns0:r>
        <ns0:t xml:space="preserve">, the two-sided exact sign test uses</ns0:t>
      </ns0:r>
      <ns0:r>
        <ns0:t xml:space="preserve"> </ns0:t>
      </ns0:r>
      <ns1:oMath>
        <ns1:r>
          <ns1:t>B</ns1:t>
        </ns1:r>
        <ns1:r>
          <ns1:rPr>
            <ns1:sty ns1:val="p"/>
          </ns1:rPr>
          <ns1:t>∼</ns1:t>
        </ns1:r>
        <ns1:r>
          <ns1:rPr>
            <ns1:nor/>
            <ns1:sty ns1:val="p"/>
          </ns1:rPr>
          <ns1:t>Binomial</ns1:t>
        </ns1:r>
        <ns1:r>
          <ns1:rPr>
            <ns1:sty ns1:val="p"/>
          </ns1:rPr>
          <ns1:t>(</ns1:t>
        </ns1:r>
        <ns1:sSub>
          <ns1:e>
            <ns1:r>
              <ns1:t>n</ns1:t>
            </ns1:r>
          </ns1:e>
          <ns1:sub>
            <ns1:r>
              <ns1:rPr>
                <ns1:sty ns1:val="p"/>
              </ns1:rPr>
              <ns1:t>*</ns1:t>
            </ns1:r>
          </ns1:sub>
        </ns1:sSub>
        <ns1:r>
          <ns1:rPr>
            <ns1:sty ns1:val="p"/>
          </ns1:rPr>
          <ns1:t>,</ns1:t>
        </ns1:r>
        <ns1:r>
          <ns1:t>1</ns1:t>
        </ns1:r>
        <ns1:r>
          <ns1:rPr>
            <ns1:sty ns1:val="p"/>
          </ns1:rPr>
          <ns1:t>/</ns1:t>
        </ns1:r>
        <ns1:r>
          <ns1:t>2</ns1:t>
        </ns1:r>
        <ns1:r>
          <ns1:rPr>
            <ns1:sty ns1:val="p"/>
          </ns1:rPr>
          <ns1:t>)</ns1:t>
        </ns1:r>
      </ns1:oMath>
      <ns0:r>
        <ns0:t xml:space="preserve"> </ns0:t>
      </ns0:r>
      <ns0:r>
        <ns0:t xml:space="preserve">under the null of balanced signs. For a continuous difference distribution this is a test of zero median; excluding exact zeros conditions on nonzero differences. Bootstrap intervals are percentile intervals obtained by resampling subjects, preserving the paired observations. They are pointwise intervals, whereas the reported</ns0:t>
      </ns0:r>
      <ns0:r>
        <ns0:t xml:space="preserve"> </ns0:t>
      </ns0:r>
      <ns1:oMath>
        <ns1:r>
          <ns1:t>q</ns1:t>
        </ns1:r>
      </ns1:oMath>
      <ns0:r>
        <ns0:t xml:space="preserve"> </ns0:t>
      </ns0:r>
      <ns0:r>
        <ns0:t xml:space="preserve">values apply Benjamini–Hochberg adjustment within the specified test families; these two summaries need not cross their respective thresholds together.</ns0:t>
      </ns0:r>
    </ns0:p>
    <ns0:bookmarkEnd ns0:id="77"/>
    <ns0:bookmarkEnd ns0:id="78"/>
    <ns0:bookmarkStart ns0:id="79" ns0:name="funding"/>
    <ns0:p>
      <ns0:pPr>
        <ns0:pStyle ns0:val="Heading1"/>
      </ns0:pPr>
      <ns0:r>
        <ns0:t xml:space="preserve">Funding</ns0:t>
      </ns0:r>
    </ns0:p>
    <ns0:p>
      <ns0:pPr>
        <ns0:pStyle ns0:val="FirstParagraph"/>
      </ns0:pPr>
      <ns0:r>
        <ns0:t xml:space="preserve">This work was supported by the Czech Science Foundation (GAČR; Grant No. 24-10862S). The funder had no role in study design, data analysis or interpretation, manuscript preparation, or the decision to submit the article for publication.</ns0:t>
      </ns0:r>
    </ns0:p>
    <ns0:bookmarkEnd ns0:id="79"/>
    <ns0:bookmarkStart ns0:id="80" ns0:name="author-contributions"/>
    <ns0:p>
      <ns0:pPr>
        <ns0:pStyle ns0:val="Heading1"/>
      </ns0:pPr>
      <ns0:r>
        <ns0:t xml:space="preserve">Author contributions</ns0:t>
      </ns0:r>
    </ns0:p>
    <ns0:p>
      <ns0:pPr>
        <ns0:pStyle ns0:val="FirstParagraph"/>
      </ns0:pPr>
      <ns0:r>
        <ns0:t xml:space="preserve">CRediT authorship contribution statement. Petr Henyš: Conceptualization; Methodology; Software; Formal analysis; Investigation; Data curation; Visualization; Funding acquisition; Writing – original draft; Writing – review &amp; editing. Niels Hammer: Supervision; Writing – review &amp; editing.</ns0:t>
      </ns0:r>
    </ns0:p>
    <ns0:bookmarkEnd ns0:id="80"/>
    <ns0:bookmarkStart ns0:id="81" ns0:name="declaration-of-competing-interest"/>
    <ns0:p>
      <ns0:pPr>
        <ns0:pStyle ns0:val="Heading1"/>
      </ns0:pPr>
      <ns0:r>
        <ns0:t xml:space="preserve">Declaration of competing interest</ns0:t>
      </ns0:r>
    </ns0:p>
    <ns0:p>
      <ns0:pPr>
        <ns0:pStyle ns0:val="FirstParagraph"/>
      </ns0:pPr>
      <ns0:r>
        <ns0:t xml:space="preserve">The authors declare no competing interests.</ns0:t>
      </ns0:r>
    </ns0:p>
    <ns0:bookmarkEnd ns0:id="81"/>
    <ns0:bookmarkStart ns0:id="82" ns0:name="supporting-information"/>
    <ns0:p>
      <ns0:pPr>
        <ns0:pStyle ns0:val="Heading1"/>
      </ns0:pPr>
      <ns0:r>
        <ns0:t xml:space="preserve">Supporting information</ns0:t>
      </ns0:r>
    </ns0:p>
    <ns0:p>
      <ns0:pPr>
        <ns0:pStyle ns0:val="FirstParagraph"/>
      </ns0:pPr>
      <ns0:r>
        <ns0:t xml:space="preserve">Supporting Information provides paired prediction gains and benchmark errors, statistical definitions, direct application-site contrasts, density-standardization error tails, variance ratios, sex models, exploratory conditional volume associations and extraction sensitivity diagnostics.</ns0:t>
      </ns0:r>
    </ns0:p>
    <ns0:bookmarkEnd ns0:id="82"/>
    <ns0:bookmarkStart ns0:id="84" ns0:name="data-availability-statement"/>
    <ns0:p>
      <ns0:pPr>
        <ns0:pStyle ns0:val="Heading1"/>
      </ns0:pPr>
      <ns0:r>
        <ns0:t xml:space="preserve">Data Availability Statement</ns0:t>
      </ns0:r>
    </ns0:p>
    <ns0:p>
      <ns0:pPr>
        <ns0:pStyle ns0:val="FirstParagraph"/>
      </ns0:pPr>
      <ns0:r>
        <ns0:t xml:space="preserve">The source anonymized CT images, segmentations and standardized anatomical geometries are available through BoneDat</ns0:t>
      </ns0:r>
      <ns0:r>
        <ns0:t xml:space="preserve"> </ns0:t>
      </ns0:r>
      <ns0:r>
        <ns0:t xml:space="preserve">(Henyš and Kuchař 2025)</ns0:t>
      </ns0:r>
      <ns0:r>
        <ns0:t xml:space="preserve">, with source data indexed by the</ns0:t>
      </ns0:r>
      <ns0:r>
        <ns0:t xml:space="preserve"> </ns0:t>
      </ns0:r>
      <ns0:hyperlink ns5:id="rId83">
        <ns0:r>
          <ns0:rPr>
            <ns0:rStyle ns0:val="Hyperlink"/>
          </ns0:rPr>
          <ns0:t xml:space="preserve">BoneDat dataset record</ns0:t>
        </ns0:r>
      </ns0:hyperlink>
      <ns0:r>
        <ns0:t xml:space="preserve">. The present study’s derived morphometric tables, subject-level motion endpoints, held-out predictions, load-mixture results, machine-readable model estimates and analysis code have not been deposited in a public repository. The Supporting Information provides the statistical definitions, component contrasts, variance ratios, model estimates and sensitivity analyses reported here. The BoneDat record identifies the source imaging and anatomical data, not a repository for this study’s FE results or code.</ns0:t>
      </ns0:r>
    </ns0:p>
    <ns0:bookmarkEnd ns0:id="84"/>
    <ns0:bookmarkStart ns0:id="85" ns0:name="X1f74eb43af444059c7518034463b6c89b1cacf4"/>
    <ns0:p>
      <ns0:pPr>
        <ns0:pStyle ns0:val="Heading1"/>
      </ns0:pPr>
      <ns0:r>
        <ns0:t xml:space="preserve">Declaration of generative AI and AI-assisted technologies in the manuscript preparation process</ns0:t>
      </ns0:r>
    </ns0:p>
    <ns0:p>
      <ns0:pPr>
        <ns0:pStyle ns0:val="FirstParagraph"/>
      </ns0:pPr>
      <ns0:r>
        <ns0:t xml:space="preserve">OpenAI Codex (GPT-6, OpenAI) assisted with literature searches, manuscript organization and drafting, and development of analysis and visualization code. Its contribution to the research workflow is described in the Methods. Both authors reviewed and approved the resulting text and outputs and accept responsibility for the article’s accuracy, interpretation and integrity.</ns0:t>
      </ns0:r>
    </ns0:p>
    <ns0:bookmarkEnd ns0:id="85"/>
    <ns0:bookmarkStart ns0:id="143" ns0:name="references"/>
    <ns0:p>
      <ns0:pPr>
        <ns0:pStyle ns0:val="Heading1"/>
      </ns0:pPr>
      <ns0:r>
        <ns0:t xml:space="preserve">References</ns0:t>
      </ns0:r>
    </ns0:p>
    <ns0:bookmarkStart ns0:id="142" ns0:name="refs"/>
    <ns0:bookmarkStart ns0:id="87" ns0:name="ref-Anderson2005"/>
    <ns0:p>
      <ns0:pPr>
        <ns0:pStyle ns0:val="Bibliography"/>
      </ns0:pPr>
      <ns0:r>
        <ns0:t xml:space="preserve">Anderson, Andrew E., Christopher L. Peters, Benjamin D. Tuttle, and Jeffrey A. Weiss. 2005.</ns0:t>
      </ns0:r>
      <ns0:r>
        <ns0:t xml:space="preserve"> </ns0:t>
      </ns0:r>
      <ns0:r>
        <ns0:t xml:space="preserve">“Subject-Specific Finite Element Model of the Pelvis: Development, Validation and Sensitivity Studies.”</ns0:t>
      </ns0:r>
      <ns0:r>
        <ns0:t xml:space="preserve"> </ns0:t>
      </ns0:r>
      <ns0:r>
        <ns0:rPr>
          <ns0:iCs/>
          <ns0:i/>
        </ns0:rPr>
        <ns0:t xml:space="preserve">Journal of Biomechanical Engineering</ns0:t>
      </ns0:r>
      <ns0:r>
        <ns0:t xml:space="preserve"> </ns0:t>
      </ns0:r>
      <ns0:r>
        <ns0:t xml:space="preserve">127 (3): 364–73.</ns0:t>
      </ns0:r>
      <ns0:r>
        <ns0:t xml:space="preserve"> </ns0:t>
      </ns0:r>
      <ns0:hyperlink ns5:id="rId86">
        <ns0:r>
          <ns0:rPr>
            <ns0:rStyle ns0:val="Hyperlink"/>
          </ns0:rPr>
          <ns0:t xml:space="preserve">https://doi.org/10.1115/1.1894148</ns0:t>
        </ns0:r>
      </ns0:hyperlink>
      <ns0:r>
        <ns0:t xml:space="preserve">.</ns0:t>
      </ns0:r>
    </ns0:p>
    <ns0:bookmarkEnd ns0:id="87"/>
    <ns0:bookmarkStart ns0:id="89" ns0:name="ref-BenjaminiHochberg1995"/>
    <ns0:p>
      <ns0:pPr>
        <ns0:pStyle ns0:val="Bibliography"/>
      </ns0:pPr>
      <ns0:r>
        <ns0:t xml:space="preserve">Benjamini, Yoav, and Yosef Hochberg. 1995.</ns0:t>
      </ns0:r>
      <ns0:r>
        <ns0:t xml:space="preserve"> </ns0:t>
      </ns0:r>
      <ns0:r>
        <ns0:t xml:space="preserve">“Controlling the False Discovery Rate: A Practical and Powerful Approach to Multiple Testing.”</ns0:t>
      </ns0:r>
      <ns0:r>
        <ns0:t xml:space="preserve"> </ns0:t>
      </ns0:r>
      <ns0:r>
        <ns0:rPr>
          <ns0:iCs/>
          <ns0:i/>
        </ns0:rPr>
        <ns0:t xml:space="preserve">Journal of the Royal Statistical Society: Series B (Methodological)</ns0:t>
      </ns0:r>
      <ns0:r>
        <ns0:t xml:space="preserve"> </ns0:t>
      </ns0:r>
      <ns0:r>
        <ns0:t xml:space="preserve">57 (1): 289–300.</ns0:t>
      </ns0:r>
      <ns0:r>
        <ns0:t xml:space="preserve"> </ns0:t>
      </ns0:r>
      <ns0:hyperlink ns5:id="rId88">
        <ns0:r>
          <ns0:rPr>
            <ns0:rStyle ns0:val="Hyperlink"/>
          </ns0:rPr>
          <ns0:t xml:space="preserve">https://doi.org/10.1111/j.2517-6161.1995.tb02031.x</ns0:t>
        </ns0:r>
      </ns0:hyperlink>
      <ns0:r>
        <ns0:t xml:space="preserve">.</ns0:t>
      </ns0:r>
    </ns0:p>
    <ns0:bookmarkEnd ns0:id="89"/>
    <ns0:bookmarkStart ns0:id="91" ns0:name="ref-BonetWood2008"/>
    <ns0:p>
      <ns0:pPr>
        <ns0:pStyle ns0:val="Bibliography"/>
      </ns0:pPr>
      <ns0:r>
        <ns0:t xml:space="preserve">Bonet, Javier, and Richard D. Wood. 2008.</ns0:t>
      </ns0:r>
      <ns0:r>
        <ns0:t xml:space="preserve"> </ns0:t>
      </ns0:r>
      <ns0:r>
        <ns0:rPr>
          <ns0:iCs/>
          <ns0:i/>
        </ns0:rPr>
        <ns0:t xml:space="preserve">Nonlinear Continuum Mechanics for Finite Element Analysis</ns0:t>
      </ns0:r>
      <ns0:r>
        <ns0:t xml:space="preserve">. 2nd ed. Cambridge University Press.</ns0:t>
      </ns0:r>
      <ns0:r>
        <ns0:t xml:space="preserve"> </ns0:t>
      </ns0:r>
      <ns0:hyperlink ns5:id="rId90">
        <ns0:r>
          <ns0:rPr>
            <ns0:rStyle ns0:val="Hyperlink"/>
          </ns0:rPr>
          <ns0:t xml:space="preserve">https://doi.org/10.1017/CBO9780511755446</ns0:t>
        </ns0:r>
      </ns0:hyperlink>
      <ns0:r>
        <ns0:t xml:space="preserve">.</ns0:t>
      </ns0:r>
    </ns0:p>
    <ns0:bookmarkEnd ns0:id="91"/>
    <ns0:bookmarkStart ns0:id="93" ns0:name="ref-CameronMiller2015"/>
    <ns0:p>
      <ns0:pPr>
        <ns0:pStyle ns0:val="Bibliography"/>
      </ns0:pPr>
      <ns0:r>
        <ns0:t xml:space="preserve">Cameron, A. Colin, and Douglas L. Miller. 2015.</ns0:t>
      </ns0:r>
      <ns0:r>
        <ns0:t xml:space="preserve"> </ns0:t>
      </ns0:r>
      <ns0:r>
        <ns0:t xml:space="preserve">“A Practitioner’s Guide to Cluster-Robust Inference.”</ns0:t>
      </ns0:r>
      <ns0:r>
        <ns0:t xml:space="preserve"> </ns0:t>
      </ns0:r>
      <ns0:r>
        <ns0:rPr>
          <ns0:iCs/>
          <ns0:i/>
        </ns0:rPr>
        <ns0:t xml:space="preserve">Journal of Human Resources</ns0:t>
      </ns0:r>
      <ns0:r>
        <ns0:t xml:space="preserve"> </ns0:t>
      </ns0:r>
      <ns0:r>
        <ns0:t xml:space="preserve">50 (2): 317–72.</ns0:t>
      </ns0:r>
      <ns0:r>
        <ns0:t xml:space="preserve"> </ns0:t>
      </ns0:r>
      <ns0:hyperlink ns5:id="rId92">
        <ns0:r>
          <ns0:rPr>
            <ns0:rStyle ns0:val="Hyperlink"/>
          </ns0:rPr>
          <ns0:t xml:space="preserve">https://doi.org/10.3368/jhr.50.2.317</ns0:t>
        </ns0:r>
      </ns0:hyperlink>
      <ns0:r>
        <ns0:t xml:space="preserve">.</ns0:t>
      </ns0:r>
    </ns0:p>
    <ns0:bookmarkEnd ns0:id="93"/>
    <ns0:bookmarkStart ns0:id="95" ns0:name="ref-ChenGrimm2021"/>
    <ns0:p>
      <ns0:pPr>
        <ns0:pStyle ns0:val="Bibliography"/>
      </ns0:pPr>
      <ns0:r>
        <ns0:t xml:space="preserve">Chen, Sheng, and Michele J. Grimm. 2021.</ns0:t>
      </ns0:r>
      <ns0:r>
        <ns0:t xml:space="preserve"> </ns0:t>
      </ns0:r>
      <ns0:r>
        <ns0:t xml:space="preserve">“Childbirth Computational Models: Characteristics and Applications.”</ns0:t>
      </ns0:r>
      <ns0:r>
        <ns0:t xml:space="preserve"> </ns0:t>
      </ns0:r>
      <ns0:r>
        <ns0:rPr>
          <ns0:iCs/>
          <ns0:i/>
        </ns0:rPr>
        <ns0:t xml:space="preserve">Journal of Biomechanical Engineering</ns0:t>
      </ns0:r>
      <ns0:r>
        <ns0:t xml:space="preserve"> </ns0:t>
      </ns0:r>
      <ns0:r>
        <ns0:t xml:space="preserve">143 (5): 050801.</ns0:t>
      </ns0:r>
      <ns0:r>
        <ns0:t xml:space="preserve"> </ns0:t>
      </ns0:r>
      <ns0:hyperlink ns5:id="rId94">
        <ns0:r>
          <ns0:rPr>
            <ns0:rStyle ns0:val="Hyperlink"/>
          </ns0:rPr>
          <ns0:t xml:space="preserve">https://doi.org/10.1115/1.4049226</ns0:t>
        </ns0:r>
      </ns0:hyperlink>
      <ns0:r>
        <ns0:t xml:space="preserve">.</ns0:t>
      </ns0:r>
    </ns0:p>
    <ns0:bookmarkEnd ns0:id="95"/>
    <ns0:bookmarkStart ns0:id="97" ns0:name="ref-Dumont2009"/>
    <ns0:p>
      <ns0:pPr>
        <ns0:pStyle ns0:val="Bibliography"/>
      </ns0:pPr>
      <ns0:r>
        <ns0:t xml:space="preserve">Dumont, Elizabeth R., Ian R. Grosse, and Graham J. Slater. 2009.</ns0:t>
      </ns0:r>
      <ns0:r>
        <ns0:t xml:space="preserve"> </ns0:t>
      </ns0:r>
      <ns0:r>
        <ns0:t xml:space="preserve">“Requirements for Comparing the Performance of Finite Element Models of Biological Structures.”</ns0:t>
      </ns0:r>
      <ns0:r>
        <ns0:t xml:space="preserve"> </ns0:t>
      </ns0:r>
      <ns0:r>
        <ns0:rPr>
          <ns0:iCs/>
          <ns0:i/>
        </ns0:rPr>
        <ns0:t xml:space="preserve">Journal of Theoretical Biology</ns0:t>
      </ns0:r>
      <ns0:r>
        <ns0:t xml:space="preserve"> </ns0:t>
      </ns0:r>
      <ns0:r>
        <ns0:t xml:space="preserve">256 (1): 96–103.</ns0:t>
      </ns0:r>
      <ns0:r>
        <ns0:t xml:space="preserve"> </ns0:t>
      </ns0:r>
      <ns0:hyperlink ns5:id="rId96">
        <ns0:r>
          <ns0:rPr>
            <ns0:rStyle ns0:val="Hyperlink"/>
          </ns0:rPr>
          <ns0:t xml:space="preserve">https://doi.org/10.1016/j.jtbi.2008.08.017</ns0:t>
        </ns0:r>
      </ns0:hyperlink>
      <ns0:r>
        <ns0:t xml:space="preserve">.</ns0:t>
      </ns0:r>
    </ns0:p>
    <ns0:bookmarkEnd ns0:id="97"/>
    <ns0:bookmarkStart ns0:id="99" ns0:name="ref-EfronTibshirani1994"/>
    <ns0:p>
      <ns0:pPr>
        <ns0:pStyle ns0:val="Bibliography"/>
      </ns0:pPr>
      <ns0:r>
        <ns0:t xml:space="preserve">Efron, Bradley, and Robert J. Tibshirani. 1994.</ns0:t>
      </ns0:r>
      <ns0:r>
        <ns0:t xml:space="preserve"> </ns0:t>
      </ns0:r>
      <ns0:r>
        <ns0:rPr>
          <ns0:iCs/>
          <ns0:i/>
        </ns0:rPr>
        <ns0:t xml:space="preserve">An Introduction to the Bootstrap</ns0:t>
      </ns0:r>
      <ns0:r>
        <ns0:t xml:space="preserve">. Chapman &amp; Hall/CRC.</ns0:t>
      </ns0:r>
      <ns0:r>
        <ns0:t xml:space="preserve"> </ns0:t>
      </ns0:r>
      <ns0:hyperlink ns5:id="rId98">
        <ns0:r>
          <ns0:rPr>
            <ns0:rStyle ns0:val="Hyperlink"/>
          </ns0:rPr>
          <ns0:t xml:space="preserve">https://doi.org/10.1201/9780429246593</ns0:t>
        </ns0:r>
      </ns0:hyperlink>
      <ns0:r>
        <ns0:t xml:space="preserve">.</ns0:t>
      </ns0:r>
    </ns0:p>
    <ns0:bookmarkEnd ns0:id="99"/>
    <ns0:bookmarkStart ns0:id="101" ns0:name="ref-Fan2026"/>
    <ns0:p>
      <ns0:pPr>
        <ns0:pStyle ns0:val="Bibliography"/>
      </ns0:pPr>
      <ns0:r>
        <ns0:t xml:space="preserve">Fan, Wei, Zhi-Xu Chen, Sen Yang, Sheng-Nan Liu, Zhen-Ya Sun, and Jie Chen. 2026.</ns0:t>
      </ns0:r>
      <ns0:r>
        <ns0:t xml:space="preserve"> </ns0:t>
      </ns0:r>
      <ns0:r>
        <ns0:t xml:space="preserve">“Osteoporosis-Induced Biomechanical Alterations in the Sacroiliac Joint.”</ns0:t>
      </ns0:r>
      <ns0:r>
        <ns0:t xml:space="preserve"> </ns0:t>
      </ns0:r>
      <ns0:r>
        <ns0:rPr>
          <ns0:iCs/>
          <ns0:i/>
        </ns0:rPr>
        <ns0:t xml:space="preserve">International Journal for Numerical Methods in Biomedical Engineering</ns0:t>
      </ns0:r>
      <ns0:r>
        <ns0:t xml:space="preserve"> </ns0:t>
      </ns0:r>
      <ns0:r>
        <ns0:t xml:space="preserve">42 (4): e70171.</ns0:t>
      </ns0:r>
      <ns0:r>
        <ns0:t xml:space="preserve"> </ns0:t>
      </ns0:r>
      <ns0:hyperlink ns5:id="rId100">
        <ns0:r>
          <ns0:rPr>
            <ns0:rStyle ns0:val="Hyperlink"/>
          </ns0:rPr>
          <ns0:t xml:space="preserve">https://doi.org/10.1002/cnm.70171</ns0:t>
        </ns0:r>
      </ns0:hyperlink>
      <ns0:r>
        <ns0:t xml:space="preserve">.</ns0:t>
      </ns0:r>
    </ns0:p>
    <ns0:bookmarkEnd ns0:id="101"/>
    <ns0:bookmarkStart ns0:id="103" ns0:name="ref-Fischer2015"/>
    <ns0:p>
      <ns0:pPr>
        <ns0:pStyle ns0:val="Bibliography"/>
      </ns0:pPr>
      <ns0:r>
        <ns0:t xml:space="preserve">Fischer, Barbara, and Philipp Mitteroecker. 2015.</ns0:t>
      </ns0:r>
      <ns0:r>
        <ns0:t xml:space="preserve"> </ns0:t>
      </ns0:r>
      <ns0:r>
        <ns0:t xml:space="preserve">“Covariation Between Human Pelvis Shape, Stature, and Head Size Alleviates the Obstetric Dilemma.”</ns0:t>
      </ns0:r>
      <ns0:r>
        <ns0:t xml:space="preserve"> </ns0:t>
      </ns0:r>
      <ns0:r>
        <ns0:rPr>
          <ns0:iCs/>
          <ns0:i/>
        </ns0:rPr>
        <ns0:t xml:space="preserve">Proceedings of the National Academy of Sciences</ns0:t>
      </ns0:r>
      <ns0:r>
        <ns0:t xml:space="preserve"> </ns0:t>
      </ns0:r>
      <ns0:r>
        <ns0:t xml:space="preserve">112 (18): 5655–60.</ns0:t>
      </ns0:r>
      <ns0:r>
        <ns0:t xml:space="preserve"> </ns0:t>
      </ns0:r>
      <ns0:hyperlink ns5:id="rId102">
        <ns0:r>
          <ns0:rPr>
            <ns0:rStyle ns0:val="Hyperlink"/>
          </ns0:rPr>
          <ns0:t xml:space="preserve">https://doi.org/10.1073/pnas.1420325112</ns0:t>
        </ns0:r>
      </ns0:hyperlink>
      <ns0:r>
        <ns0:t xml:space="preserve">.</ns0:t>
      </ns0:r>
    </ns0:p>
    <ns0:bookmarkEnd ns0:id="103"/>
    <ns0:bookmarkStart ns0:id="105" ns0:name="ref-Fischer2017"/>
    <ns0:p>
      <ns0:pPr>
        <ns0:pStyle ns0:val="Bibliography"/>
      </ns0:pPr>
      <ns0:r>
        <ns0:t xml:space="preserve">———. 2017.</ns0:t>
      </ns0:r>
      <ns0:r>
        <ns0:t xml:space="preserve"> </ns0:t>
      </ns0:r>
      <ns0:r>
        <ns0:t xml:space="preserve">“Allometry and Sexual Dimorphism in the Human Pelvis.”</ns0:t>
      </ns0:r>
      <ns0:r>
        <ns0:t xml:space="preserve"> </ns0:t>
      </ns0:r>
      <ns0:r>
        <ns0:rPr>
          <ns0:iCs/>
          <ns0:i/>
        </ns0:rPr>
        <ns0:t xml:space="preserve">The Anatomical Record</ns0:t>
      </ns0:r>
      <ns0:r>
        <ns0:t xml:space="preserve"> </ns0:t>
      </ns0:r>
      <ns0:r>
        <ns0:t xml:space="preserve">300 (4): 698–705.</ns0:t>
      </ns0:r>
      <ns0:r>
        <ns0:t xml:space="preserve"> </ns0:t>
      </ns0:r>
      <ns0:hyperlink ns5:id="rId104">
        <ns0:r>
          <ns0:rPr>
            <ns0:rStyle ns0:val="Hyperlink"/>
          </ns0:rPr>
          <ns0:t xml:space="preserve">https://doi.org/10.1002/ar.23549</ns0:t>
        </ns0:r>
      </ns0:hyperlink>
      <ns0:r>
        <ns0:t xml:space="preserve">.</ns0:t>
      </ns0:r>
    </ns0:p>
    <ns0:bookmarkEnd ns0:id="105"/>
    <ns0:bookmarkStart ns0:id="107" ns0:name="ref-Goode2008"/>
    <ns0:p>
      <ns0:pPr>
        <ns0:pStyle ns0:val="Bibliography"/>
      </ns0:pPr>
      <ns0:r>
        <ns0:t xml:space="preserve">Goode, Adam, Eric J. Hegedus, Philip Sizer, Jean-Michel Brismee, Alison Linberg, and Chad E. Cook. 2008.</ns0:t>
      </ns0:r>
      <ns0:r>
        <ns0:t xml:space="preserve"> </ns0:t>
      </ns0:r>
      <ns0:r>
        <ns0:t xml:space="preserve">“Three-Dimensional Movements of the Sacroiliac Joint: A Systematic Review of the Literature and Assessment of Clinical Utility.”</ns0:t>
      </ns0:r>
      <ns0:r>
        <ns0:t xml:space="preserve"> </ns0:t>
      </ns0:r>
      <ns0:r>
        <ns0:rPr>
          <ns0:iCs/>
          <ns0:i/>
        </ns0:rPr>
        <ns0:t xml:space="preserve">Journal of Manual &amp; Manipulative Therapy</ns0:t>
      </ns0:r>
      <ns0:r>
        <ns0:t xml:space="preserve"> </ns0:t>
      </ns0:r>
      <ns0:r>
        <ns0:t xml:space="preserve">16 (1): 25–38.</ns0:t>
      </ns0:r>
      <ns0:r>
        <ns0:t xml:space="preserve"> </ns0:t>
      </ns0:r>
      <ns0:hyperlink ns5:id="rId106">
        <ns0:r>
          <ns0:rPr>
            <ns0:rStyle ns0:val="Hyperlink"/>
          </ns0:rPr>
          <ns0:t xml:space="preserve">https://doi.org/10.1179/106698108790818639</ns0:t>
        </ns0:r>
      </ns0:hyperlink>
      <ns0:r>
        <ns0:t xml:space="preserve">.</ns0:t>
      </ns0:r>
    </ns0:p>
    <ns0:bookmarkEnd ns0:id="107"/>
    <ns0:bookmarkStart ns0:id="109" ns0:name="ref-Hammer2019"/>
    <ns0:p>
      <ns0:pPr>
        <ns0:pStyle ns0:val="Bibliography"/>
      </ns0:pPr>
      <ns0:r>
        <ns0:t xml:space="preserve">Hammer, Niels, Mario Scholze, Thomas Kibsgård, Stefan Klima, Stefan Schleifenbaum, Thomas Seidel, Michael Werner, and Ronny Grunert. 2019.</ns0:t>
      </ns0:r>
      <ns0:r>
        <ns0:t xml:space="preserve"> </ns0:t>
      </ns0:r>
      <ns0:r>
        <ns0:t xml:space="preserve">“Physiological in Vitro Sacroiliac Joint Motion: A Study on Three-Dimensional Posterior Pelvic Ring Kinematics.”</ns0:t>
      </ns0:r>
      <ns0:r>
        <ns0:t xml:space="preserve"> </ns0:t>
      </ns0:r>
      <ns0:r>
        <ns0:rPr>
          <ns0:iCs/>
          <ns0:i/>
        </ns0:rPr>
        <ns0:t xml:space="preserve">Journal of Anatomy</ns0:t>
      </ns0:r>
      <ns0:r>
        <ns0:t xml:space="preserve"> </ns0:t>
      </ns0:r>
      <ns0:r>
        <ns0:t xml:space="preserve">234 (3): 346–58.</ns0:t>
      </ns0:r>
      <ns0:r>
        <ns0:t xml:space="preserve"> </ns0:t>
      </ns0:r>
      <ns0:hyperlink ns5:id="rId108">
        <ns0:r>
          <ns0:rPr>
            <ns0:rStyle ns0:val="Hyperlink"/>
          </ns0:rPr>
          <ns0:t xml:space="preserve">https://doi.org/10.1111/joa.12924</ns0:t>
        </ns0:r>
      </ns0:hyperlink>
      <ns0:r>
        <ns0:t xml:space="preserve">.</ns0:t>
      </ns0:r>
    </ns0:p>
    <ns0:bookmarkEnd ns0:id="109"/>
    <ns0:bookmarkStart ns0:id="111" ns0:name="ref-Hammer2013"/>
    <ns0:p>
      <ns0:pPr>
        <ns0:pStyle ns0:val="Bibliography"/>
      </ns0:pPr>
      <ns0:r>
        <ns0:t xml:space="preserve">Hammer, Niels, Hanno Steinke, Uwe Lingslebe, Ingo Bechmann, Christoph Josten, Volker Slowik, and Jörg Böhme. 2013.</ns0:t>
      </ns0:r>
      <ns0:r>
        <ns0:t xml:space="preserve"> </ns0:t>
      </ns0:r>
      <ns0:r>
        <ns0:t xml:space="preserve">“Ligamentous Influence in Pelvic Load Distribution.”</ns0:t>
      </ns0:r>
      <ns0:r>
        <ns0:t xml:space="preserve"> </ns0:t>
      </ns0:r>
      <ns0:r>
        <ns0:rPr>
          <ns0:iCs/>
          <ns0:i/>
        </ns0:rPr>
        <ns0:t xml:space="preserve">The Spine Journal</ns0:t>
      </ns0:r>
      <ns0:r>
        <ns0:t xml:space="preserve"> </ns0:t>
      </ns0:r>
      <ns0:r>
        <ns0:t xml:space="preserve">13 (10): 1321–30.</ns0:t>
      </ns0:r>
      <ns0:r>
        <ns0:t xml:space="preserve"> </ns0:t>
      </ns0:r>
      <ns0:hyperlink ns5:id="rId110">
        <ns0:r>
          <ns0:rPr>
            <ns0:rStyle ns0:val="Hyperlink"/>
          </ns0:rPr>
          <ns0:t xml:space="preserve">https://doi.org/10.1016/j.spinee.2013.03.050</ns0:t>
        </ns0:r>
      </ns0:hyperlink>
      <ns0:r>
        <ns0:t xml:space="preserve">.</ns0:t>
      </ns0:r>
    </ns0:p>
    <ns0:bookmarkEnd ns0:id="111"/>
    <ns0:bookmarkStart ns0:id="113" ns0:name="ref-HenysHammer2025"/>
    <ns0:p>
      <ns0:pPr>
        <ns0:pStyle ns0:val="Bibliography"/>
      </ns0:pPr>
      <ns0:r>
        <ns0:t xml:space="preserve">Henyš, Petr, and Niels Hammer. 2025.</ns0:t>
      </ns0:r>
      <ns0:r>
        <ns0:t xml:space="preserve"> </ns0:t>
      </ns0:r>
      <ns0:r>
        <ns0:t xml:space="preserve">“Sacroiliac Joint Auricular Surface Morphology Modulates Its Mechanical Environment.”</ns0:t>
      </ns0:r>
      <ns0:r>
        <ns0:t xml:space="preserve"> </ns0:t>
      </ns0:r>
      <ns0:r>
        <ns0:rPr>
          <ns0:iCs/>
          <ns0:i/>
        </ns0:rPr>
        <ns0:t xml:space="preserve">Journal of Anatomy</ns0:t>
      </ns0:r>
      <ns0:r>
        <ns0:t xml:space="preserve"> </ns0:t>
      </ns0:r>
      <ns0:r>
        <ns0:t xml:space="preserve">246 (2): 258–71.</ns0:t>
      </ns0:r>
      <ns0:r>
        <ns0:t xml:space="preserve"> </ns0:t>
      </ns0:r>
      <ns0:hyperlink ns5:id="rId112">
        <ns0:r>
          <ns0:rPr>
            <ns0:rStyle ns0:val="Hyperlink"/>
          </ns0:rPr>
          <ns0:t xml:space="preserve">https://doi.org/10.1111/joa.14160</ns0:t>
        </ns0:r>
      </ns0:hyperlink>
      <ns0:r>
        <ns0:t xml:space="preserve">.</ns0:t>
      </ns0:r>
    </ns0:p>
    <ns0:bookmarkEnd ns0:id="113"/>
    <ns0:bookmarkStart ns0:id="115" ns0:name="ref-HenyssKuchar2025BoneDat"/>
    <ns0:p>
      <ns0:pPr>
        <ns0:pStyle ns0:val="Bibliography"/>
      </ns0:pPr>
      <ns0:r>
        <ns0:t xml:space="preserve">Henyš, Petr, and Michal Kuchař. 2025.</ns0:t>
      </ns0:r>
      <ns0:r>
        <ns0:t xml:space="preserve"> </ns0:t>
      </ns0:r>
      <ns0:r>
        <ns0:t xml:space="preserve">“BoneDat, a Database of Standardized Bone Morphology for in Silico Analyses.”</ns0:t>
      </ns0:r>
      <ns0:r>
        <ns0:t xml:space="preserve"> </ns0:t>
      </ns0:r>
      <ns0:r>
        <ns0:rPr>
          <ns0:iCs/>
          <ns0:i/>
        </ns0:rPr>
        <ns0:t xml:space="preserve">Scientific Data</ns0:t>
      </ns0:r>
      <ns0:r>
        <ns0:t xml:space="preserve"> </ns0:t>
      </ns0:r>
      <ns0:r>
        <ns0:t xml:space="preserve">12 (1): 1043.</ns0:t>
      </ns0:r>
      <ns0:r>
        <ns0:t xml:space="preserve"> </ns0:t>
      </ns0:r>
      <ns0:hyperlink ns5:id="rId114">
        <ns0:r>
          <ns0:rPr>
            <ns0:rStyle ns0:val="Hyperlink"/>
          </ns0:rPr>
          <ns0:t xml:space="preserve">https://doi.org/10.1038/s41597-025-05161-y</ns0:t>
        </ns0:r>
      </ns0:hyperlink>
      <ns0:r>
        <ns0:t xml:space="preserve">.</ns0:t>
      </ns0:r>
    </ns0:p>
    <ns0:bookmarkEnd ns0:id="115"/>
    <ns0:bookmarkStart ns0:id="117" ns0:name="ref-Heyland2025"/>
    <ns0:p>
      <ns0:pPr>
        <ns0:pStyle ns0:val="Bibliography"/>
      </ns0:pPr>
      <ns0:r>
        <ns0:t xml:space="preserve">Heyland, Mark, Hendrik Schmidt, Friederike Schömig, Daven Maikath, Dominik Deppe, Matthias Pumberger, Georg N. Duda, Katharina Ziegeler, and Philipp Damm. 2025.</ns0:t>
      </ns0:r>
      <ns0:r>
        <ns0:t xml:space="preserve"> </ns0:t>
      </ns0:r>
      <ns0:r>
        <ns0:t xml:space="preserve">“Ligament Pre-Tension Determines Outcome in Sacroiliac Joint in Silicon Modelling.”</ns0:t>
      </ns0:r>
      <ns0:r>
        <ns0:t xml:space="preserve"> </ns0:t>
      </ns0:r>
      <ns0:r>
        <ns0:rPr>
          <ns0:iCs/>
          <ns0:i/>
        </ns0:rPr>
        <ns0:t xml:space="preserve">Medical &amp; Biological Engineering &amp; Computing</ns0:t>
      </ns0:r>
      <ns0:r>
        <ns0:t xml:space="preserve"> </ns0:t>
      </ns0:r>
      <ns0:r>
        <ns0:t xml:space="preserve">63 (11): 3321–33.</ns0:t>
      </ns0:r>
      <ns0:r>
        <ns0:t xml:space="preserve"> </ns0:t>
      </ns0:r>
      <ns0:hyperlink ns5:id="rId116">
        <ns0:r>
          <ns0:rPr>
            <ns0:rStyle ns0:val="Hyperlink"/>
          </ns0:rPr>
          <ns0:t xml:space="preserve">https://doi.org/10.1007/s11517-025-03396-w</ns0:t>
        </ns0:r>
      </ns0:hyperlink>
      <ns0:r>
        <ns0:t xml:space="preserve">.</ns0:t>
      </ns0:r>
    </ns0:p>
    <ns0:bookmarkEnd ns0:id="117"/>
    <ns0:bookmarkStart ns0:id="119" ns0:name="ref-Huseynov2016"/>
    <ns0:p>
      <ns0:pPr>
        <ns0:pStyle ns0:val="Bibliography"/>
      </ns0:pPr>
      <ns0:r>
        <ns0:t xml:space="preserve">Huseynov, Alik, Christoph P. E. Zollikofer, Walter Coudyzer, Dominic Gascho, Christian Kellenberger, Ricarda Hinzpeter, and Marcia S. Ponce de León. 2016.</ns0:t>
      </ns0:r>
      <ns0:r>
        <ns0:t xml:space="preserve"> </ns0:t>
      </ns0:r>
      <ns0:r>
        <ns0:t xml:space="preserve">“Developmental Evidence for Obstetric Adaptation of the Human Female Pelvis.”</ns0:t>
      </ns0:r>
      <ns0:r>
        <ns0:t xml:space="preserve"> </ns0:t>
      </ns0:r>
      <ns0:r>
        <ns0:rPr>
          <ns0:iCs/>
          <ns0:i/>
        </ns0:rPr>
        <ns0:t xml:space="preserve">Proceedings of the National Academy of Sciences</ns0:t>
      </ns0:r>
      <ns0:r>
        <ns0:t xml:space="preserve"> </ns0:t>
      </ns0:r>
      <ns0:r>
        <ns0:t xml:space="preserve">113 (19): 5227–32.</ns0:t>
      </ns0:r>
      <ns0:r>
        <ns0:t xml:space="preserve"> </ns0:t>
      </ns0:r>
      <ns0:hyperlink ns5:id="rId118">
        <ns0:r>
          <ns0:rPr>
            <ns0:rStyle ns0:val="Hyperlink"/>
          </ns0:rPr>
          <ns0:t xml:space="preserve">https://doi.org/10.1073/pnas.1517085113</ns0:t>
        </ns0:r>
      </ns0:hyperlink>
      <ns0:r>
        <ns0:t xml:space="preserve">.</ns0:t>
      </ns0:r>
    </ns0:p>
    <ns0:bookmarkEnd ns0:id="119"/>
    <ns0:bookmarkStart ns0:id="121" ns0:name="ref-Joukar2018"/>
    <ns0:p>
      <ns0:pPr>
        <ns0:pStyle ns0:val="Bibliography"/>
      </ns0:pPr>
      <ns0:r>
        <ns0:t xml:space="preserve">Joukar, Amin, Anoli Shah, Ali Kiapour, Ardalan Seyed Vosoughi, Bradley Duhon, Anand K. Agarwal, Hossein Elgafy, Nabil Ebraheim, and Vijay K. Goel. 2018.</ns0:t>
      </ns0:r>
      <ns0:r>
        <ns0:t xml:space="preserve"> </ns0:t>
      </ns0:r>
      <ns0:r>
        <ns0:t xml:space="preserve">“Sex Specific Sacroiliac Joint Biomechanics During Standing Upright: A Finite Element Study.”</ns0:t>
      </ns0:r>
      <ns0:r>
        <ns0:t xml:space="preserve"> </ns0:t>
      </ns0:r>
      <ns0:r>
        <ns0:rPr>
          <ns0:iCs/>
          <ns0:i/>
        </ns0:rPr>
        <ns0:t xml:space="preserve">Spine</ns0:t>
      </ns0:r>
      <ns0:r>
        <ns0:t xml:space="preserve"> </ns0:t>
      </ns0:r>
      <ns0:r>
        <ns0:t xml:space="preserve">43 (18): E1053–60.</ns0:t>
      </ns0:r>
      <ns0:r>
        <ns0:t xml:space="preserve"> </ns0:t>
      </ns0:r>
      <ns0:hyperlink ns5:id="rId120">
        <ns0:r>
          <ns0:rPr>
            <ns0:rStyle ns0:val="Hyperlink"/>
          </ns0:rPr>
          <ns0:t xml:space="preserve">https://doi.org/10.1097/brs.0000000000002623</ns0:t>
        </ns0:r>
      </ns0:hyperlink>
      <ns0:r>
        <ns0:t xml:space="preserve">.</ns0:t>
      </ns0:r>
    </ns0:p>
    <ns0:bookmarkEnd ns0:id="121"/>
    <ns0:bookmarkStart ns0:id="123" ns0:name="ref-Kabsch1976"/>
    <ns0:p>
      <ns0:pPr>
        <ns0:pStyle ns0:val="Bibliography"/>
      </ns0:pPr>
      <ns0:r>
        <ns0:t xml:space="preserve">Kabsch, W. 1976.</ns0:t>
      </ns0:r>
      <ns0:r>
        <ns0:t xml:space="preserve"> </ns0:t>
      </ns0:r>
      <ns0:r>
        <ns0:t xml:space="preserve">“A Solution for the Best Rotation to Relate Two Sets of Vectors.”</ns0:t>
      </ns0:r>
      <ns0:r>
        <ns0:t xml:space="preserve"> </ns0:t>
      </ns0:r>
      <ns0:r>
        <ns0:rPr>
          <ns0:iCs/>
          <ns0:i/>
        </ns0:rPr>
        <ns0:t xml:space="preserve">Acta Crystallographica Section A</ns0:t>
      </ns0:r>
      <ns0:r>
        <ns0:t xml:space="preserve"> </ns0:t>
      </ns0:r>
      <ns0:r>
        <ns0:t xml:space="preserve">32 (5): 922–23.</ns0:t>
      </ns0:r>
      <ns0:r>
        <ns0:t xml:space="preserve"> </ns0:t>
      </ns0:r>
      <ns0:hyperlink ns5:id="rId122">
        <ns0:r>
          <ns0:rPr>
            <ns0:rStyle ns0:val="Hyperlink"/>
          </ns0:rPr>
          <ns0:t xml:space="preserve">https://doi.org/10.1107/S0567739476001873</ns0:t>
        </ns0:r>
      </ns0:hyperlink>
      <ns0:r>
        <ns0:t xml:space="preserve">.</ns0:t>
      </ns0:r>
    </ns0:p>
    <ns0:bookmarkEnd ns0:id="123"/>
    <ns0:bookmarkStart ns0:id="125" ns0:name="ref-Keller1994"/>
    <ns0:p>
      <ns0:pPr>
        <ns0:pStyle ns0:val="Bibliography"/>
      </ns0:pPr>
      <ns0:r>
        <ns0:t xml:space="preserve">Keller, Tony S. 1994.</ns0:t>
      </ns0:r>
      <ns0:r>
        <ns0:t xml:space="preserve"> </ns0:t>
      </ns0:r>
      <ns0:r>
        <ns0:t xml:space="preserve">“Predicting the Compressive Mechanical Behavior of Bone.”</ns0:t>
      </ns0:r>
      <ns0:r>
        <ns0:t xml:space="preserve"> </ns0:t>
      </ns0:r>
      <ns0:r>
        <ns0:rPr>
          <ns0:iCs/>
          <ns0:i/>
        </ns0:rPr>
        <ns0:t xml:space="preserve">Journal of Biomechanics</ns0:t>
      </ns0:r>
      <ns0:r>
        <ns0:t xml:space="preserve"> </ns0:t>
      </ns0:r>
      <ns0:r>
        <ns0:t xml:space="preserve">27 (9): 1159–68.</ns0:t>
      </ns0:r>
      <ns0:r>
        <ns0:t xml:space="preserve"> </ns0:t>
      </ns0:r>
      <ns0:hyperlink ns5:id="rId124">
        <ns0:r>
          <ns0:rPr>
            <ns0:rStyle ns0:val="Hyperlink"/>
          </ns0:rPr>
          <ns0:t xml:space="preserve">https://doi.org/10.1016/0021-9290(94)90056-6</ns0:t>
        </ns0:r>
      </ns0:hyperlink>
      <ns0:r>
        <ns0:t xml:space="preserve">.</ns0:t>
      </ns0:r>
    </ns0:p>
    <ns0:bookmarkEnd ns0:id="125"/>
    <ns0:bookmarkStart ns0:id="127" ns0:name="ref-MacKinnonWhite1985"/>
    <ns0:p>
      <ns0:pPr>
        <ns0:pStyle ns0:val="Bibliography"/>
      </ns0:pPr>
      <ns0:r>
        <ns0:t xml:space="preserve">MacKinnon, James G., and Halbert White. 1985.</ns0:t>
      </ns0:r>
      <ns0:r>
        <ns0:t xml:space="preserve"> </ns0:t>
      </ns0:r>
      <ns0:r>
        <ns0:t xml:space="preserve">“Some Heteroskedasticity-Consistent Covariance Matrix Estimators with Improved Finite Sample Properties.”</ns0:t>
      </ns0:r>
      <ns0:r>
        <ns0:t xml:space="preserve"> </ns0:t>
      </ns0:r>
      <ns0:r>
        <ns0:rPr>
          <ns0:iCs/>
          <ns0:i/>
        </ns0:rPr>
        <ns0:t xml:space="preserve">Journal of Econometrics</ns0:t>
      </ns0:r>
      <ns0:r>
        <ns0:t xml:space="preserve"> </ns0:t>
      </ns0:r>
      <ns0:r>
        <ns0:t xml:space="preserve">29 (3): 305–25.</ns0:t>
      </ns0:r>
      <ns0:r>
        <ns0:t xml:space="preserve"> </ns0:t>
      </ns0:r>
      <ns0:hyperlink ns5:id="rId126">
        <ns0:r>
          <ns0:rPr>
            <ns0:rStyle ns0:val="Hyperlink"/>
          </ns0:rPr>
          <ns0:t xml:space="preserve">https://doi.org/10.1016/0304-4076(85)90158-7</ns0:t>
        </ns0:r>
      </ns0:hyperlink>
      <ns0:r>
        <ns0:t xml:space="preserve">.</ns0:t>
      </ns0:r>
    </ns0:p>
    <ns0:bookmarkEnd ns0:id="127"/>
    <ns0:bookmarkStart ns0:id="129" ns0:name="ref-Nishi2020"/>
    <ns0:p>
      <ns0:pPr>
        <ns0:pStyle ns0:val="Bibliography"/>
      </ns0:pPr>
      <ns0:r>
        <ns0:t xml:space="preserve">Nishi, Keita, Kazunobu Saiki, Joichi Oyamada, Keishi Okamoto, Keiko Ogami-Takamura, Takashi Hasegawa, Takefumi Moriuchi, et al. 2020.</ns0:t>
      </ns0:r>
      <ns0:r>
        <ns0:t xml:space="preserve"> </ns0:t>
      </ns0:r>
      <ns0:r>
        <ns0:t xml:space="preserve">“Sex-Based Differences in Human Sacroiliac Joint Shape: A Three-Dimensional Morphological Analysis of the Iliac Auricular Surface of Modern Japanese Macerated Bones.”</ns0:t>
      </ns0:r>
      <ns0:r>
        <ns0:t xml:space="preserve"> </ns0:t>
      </ns0:r>
      <ns0:r>
        <ns0:rPr>
          <ns0:iCs/>
          <ns0:i/>
        </ns0:rPr>
        <ns0:t xml:space="preserve">Anatomical Science International</ns0:t>
      </ns0:r>
      <ns0:r>
        <ns0:t xml:space="preserve"> </ns0:t>
      </ns0:r>
      <ns0:r>
        <ns0:t xml:space="preserve">95 (2): 219–29.</ns0:t>
      </ns0:r>
      <ns0:r>
        <ns0:t xml:space="preserve"> </ns0:t>
      </ns0:r>
      <ns0:hyperlink ns5:id="rId128">
        <ns0:r>
          <ns0:rPr>
            <ns0:rStyle ns0:val="Hyperlink"/>
          </ns0:rPr>
          <ns0:t xml:space="preserve">https://doi.org/10.1007/s12565-019-00513-2</ns0:t>
        </ns0:r>
      </ns0:hyperlink>
      <ns0:r>
        <ns0:t xml:space="preserve">.</ns0:t>
      </ns0:r>
    </ns0:p>
    <ns0:bookmarkEnd ns0:id="129"/>
    <ns0:bookmarkStart ns0:id="131" ns0:name="ref-Poilliot2023"/>
    <ns0:p>
      <ns0:pPr>
        <ns0:pStyle ns0:val="Bibliography"/>
      </ns0:pPr>
      <ns0:r>
        <ns0:t xml:space="preserve">Poilliot, Amélie, Niels Hammer, Mireille Toranelli, Terence Doyle, Max Hans-Peter Gay-Dujak, and Magdalena Müller-Gerbl. 2023.</ns0:t>
      </ns0:r>
      <ns0:r>
        <ns0:t xml:space="preserve"> </ns0:t>
      </ns0:r>
      <ns0:r>
        <ns0:t xml:space="preserve">“Influence of Size and Shape of the Auricular Surfaces on Subchondral Bone Density Distribution in the Sacroiliac Joint.”</ns0:t>
      </ns0:r>
      <ns0:r>
        <ns0:t xml:space="preserve"> </ns0:t>
      </ns0:r>
      <ns0:r>
        <ns0:rPr>
          <ns0:iCs/>
          <ns0:i/>
        </ns0:rPr>
        <ns0:t xml:space="preserve">Journal of Anatomy</ns0:t>
      </ns0:r>
      <ns0:r>
        <ns0:t xml:space="preserve"> </ns0:t>
      </ns0:r>
      <ns0:r>
        <ns0:t xml:space="preserve">243 (3): 475–85.</ns0:t>
      </ns0:r>
      <ns0:r>
        <ns0:t xml:space="preserve"> </ns0:t>
      </ns0:r>
      <ns0:hyperlink ns5:id="rId130">
        <ns0:r>
          <ns0:rPr>
            <ns0:rStyle ns0:val="Hyperlink"/>
          </ns0:rPr>
          <ns0:t xml:space="preserve">https://doi.org/10.1111/joa.13857</ns0:t>
        </ns0:r>
      </ns0:hyperlink>
      <ns0:r>
        <ns0:t xml:space="preserve">.</ns0:t>
      </ns0:r>
    </ns0:p>
    <ns0:bookmarkEnd ns0:id="131"/>
    <ns0:bookmarkStart ns0:id="133" ns0:name="ref-Shin2024"/>
    <ns0:p>
      <ns0:pPr>
        <ns0:pStyle ns0:val="Bibliography"/>
      </ns0:pPr>
      <ns0:r>
        <ns0:t xml:space="preserve">Shin, Seonjin, Dai-Soon Kwak, and U-Young Lee. 2024.</ns0:t>
      </ns0:r>
      <ns0:r>
        <ns0:t xml:space="preserve"> </ns0:t>
      </ns0:r>
      <ns0:r>
        <ns0:t xml:space="preserve">“Mobility and Anthropometry of the Sacroiliac Joint: Range of Motion and Morphological Characteristics.”</ns0:t>
      </ns0:r>
      <ns0:r>
        <ns0:t xml:space="preserve"> </ns0:t>
      </ns0:r>
      <ns0:r>
        <ns0:rPr>
          <ns0:iCs/>
          <ns0:i/>
        </ns0:rPr>
        <ns0:t xml:space="preserve">Biomedical Engineering Letters</ns0:t>
      </ns0:r>
      <ns0:r>
        <ns0:t xml:space="preserve"> </ns0:t>
      </ns0:r>
      <ns0:r>
        <ns0:t xml:space="preserve">14 (4): 867–76.</ns0:t>
      </ns0:r>
      <ns0:r>
        <ns0:t xml:space="preserve"> </ns0:t>
      </ns0:r>
      <ns0:hyperlink ns5:id="rId132">
        <ns0:r>
          <ns0:rPr>
            <ns0:rStyle ns0:val="Hyperlink"/>
          </ns0:rPr>
          <ns0:t xml:space="preserve">https://doi.org/10.1007/s13534-024-00382-3</ns0:t>
        </ns0:r>
      </ns0:hyperlink>
      <ns0:r>
        <ns0:t xml:space="preserve">.</ns0:t>
      </ns0:r>
    </ns0:p>
    <ns0:bookmarkEnd ns0:id="133"/>
    <ns0:bookmarkStart ns0:id="135" ns0:name="ref-Snijders1993"/>
    <ns0:p>
      <ns0:pPr>
        <ns0:pStyle ns0:val="Bibliography"/>
      </ns0:pPr>
      <ns0:r>
        <ns0:t xml:space="preserve">Snijders, C. J., A. Vleeming, and R. Stoeckart. 1993.</ns0:t>
      </ns0:r>
      <ns0:r>
        <ns0:t xml:space="preserve"> </ns0:t>
      </ns0:r>
      <ns0:r>
        <ns0:t xml:space="preserve">“Transfer of Lumbosacral Load to Iliac Bones and Legs. Part 1: Biomechanics of Self-Bracing of the Sacroiliac Joints and Its Significance for Treatment and Exercise.”</ns0:t>
      </ns0:r>
      <ns0:r>
        <ns0:t xml:space="preserve"> </ns0:t>
      </ns0:r>
      <ns0:r>
        <ns0:rPr>
          <ns0:iCs/>
          <ns0:i/>
        </ns0:rPr>
        <ns0:t xml:space="preserve">Clinical Biomechanics</ns0:t>
      </ns0:r>
      <ns0:r>
        <ns0:t xml:space="preserve"> </ns0:t>
      </ns0:r>
      <ns0:r>
        <ns0:t xml:space="preserve">8 (6): 285–94.</ns0:t>
      </ns0:r>
      <ns0:r>
        <ns0:t xml:space="preserve"> </ns0:t>
      </ns0:r>
      <ns0:hyperlink ns5:id="rId134">
        <ns0:r>
          <ns0:rPr>
            <ns0:rStyle ns0:val="Hyperlink"/>
          </ns0:rPr>
          <ns0:t xml:space="preserve">https://doi.org/10.1016/0268-0033(93)90002-Y</ns0:t>
        </ns0:r>
      </ns0:hyperlink>
      <ns0:r>
        <ns0:t xml:space="preserve">.</ns0:t>
      </ns0:r>
    </ns0:p>
    <ns0:bookmarkEnd ns0:id="135"/>
    <ns0:bookmarkStart ns0:id="137" ns0:name="ref-Tani2023"/>
    <ns0:p>
      <ns0:pPr>
        <ns0:pStyle ns0:val="Bibliography"/>
      </ns0:pPr>
      <ns0:r>
        <ns0:t xml:space="preserve">Tani, Tetsuro, Masaki Takao, Mazen Soufi, Yoshito Otake, Norio Fukuda, Hidetoshi Hamada, Keisuke Uemura, Yoshinobu Sato, and Nobuhiko Sugano. 2023.</ns0:t>
      </ns0:r>
      <ns0:r>
        <ns0:t xml:space="preserve"> </ns0:t>
      </ns0:r>
      <ns0:r>
        <ns0:t xml:space="preserve">“Rotational-Motion Measurement of the Sacroiliac Joint Using Upright</ns0:t>
      </ns0:r>
      <ns0:r>
        <ns0:t xml:space="preserve"> </ns0:t>
      </ns0:r>
      <ns0:r>
        <ns0:t xml:space="preserve">MRI</ns0:t>
      </ns0:r>
      <ns0:r>
        <ns0:t xml:space="preserve"> </ns0:t>
      </ns0:r>
      <ns0:r>
        <ns0:t xml:space="preserve">Scanning and Intensity-Based Registration: Is There a Sex Difference?”</ns0:t>
      </ns0:r>
      <ns0:r>
        <ns0:t xml:space="preserve"> </ns0:t>
      </ns0:r>
      <ns0:r>
        <ns0:rPr>
          <ns0:iCs/>
          <ns0:i/>
        </ns0:rPr>
        <ns0:t xml:space="preserve">International Journal of Computer Assisted Radiology and Surgery</ns0:t>
      </ns0:r>
      <ns0:r>
        <ns0:t xml:space="preserve"> </ns0:t>
      </ns0:r>
      <ns0:r>
        <ns0:t xml:space="preserve">18 (1): 79–84.</ns0:t>
      </ns0:r>
      <ns0:r>
        <ns0:t xml:space="preserve"> </ns0:t>
      </ns0:r>
      <ns0:hyperlink ns5:id="rId136">
        <ns0:r>
          <ns0:rPr>
            <ns0:rStyle ns0:val="Hyperlink"/>
          </ns0:rPr>
          <ns0:t xml:space="preserve">https://doi.org/10.1007/s11548-022-02806-w</ns0:t>
        </ns0:r>
      </ns0:hyperlink>
      <ns0:r>
        <ns0:t xml:space="preserve">.</ns0:t>
      </ns0:r>
    </ns0:p>
    <ns0:bookmarkEnd ns0:id="137"/>
    <ns0:bookmarkStart ns0:id="139" ns0:name="ref-Vleeming2012"/>
    <ns0:p>
      <ns0:pPr>
        <ns0:pStyle ns0:val="Bibliography"/>
      </ns0:pPr>
      <ns0:r>
        <ns0:t xml:space="preserve">Vleeming, Andry, Michael D. Schuenke, A. T. Masi, Jane E. Carreiro, Lieven Danneels, and F. H. Willard. 2012.</ns0:t>
      </ns0:r>
      <ns0:r>
        <ns0:t xml:space="preserve"> </ns0:t>
      </ns0:r>
      <ns0:r>
        <ns0:t xml:space="preserve">“The Sacroiliac Joint: An Overview of Its Anatomy, Function and Potential Clinical Implications.”</ns0:t>
      </ns0:r>
      <ns0:r>
        <ns0:t xml:space="preserve"> </ns0:t>
      </ns0:r>
      <ns0:r>
        <ns0:rPr>
          <ns0:iCs/>
          <ns0:i/>
        </ns0:rPr>
        <ns0:t xml:space="preserve">Journal of Anatomy</ns0:t>
      </ns0:r>
      <ns0:r>
        <ns0:t xml:space="preserve"> </ns0:t>
      </ns0:r>
      <ns0:r>
        <ns0:t xml:space="preserve">221 (6): 537–67.</ns0:t>
      </ns0:r>
      <ns0:r>
        <ns0:t xml:space="preserve"> </ns0:t>
      </ns0:r>
      <ns0:hyperlink ns5:id="rId138">
        <ns0:r>
          <ns0:rPr>
            <ns0:rStyle ns0:val="Hyperlink"/>
          </ns0:rPr>
          <ns0:t xml:space="preserve">https://doi.org/10.1111/j.1469-7580.2012.01564.x</ns0:t>
        </ns0:r>
      </ns0:hyperlink>
      <ns0:r>
        <ns0:t xml:space="preserve">.</ns0:t>
      </ns0:r>
    </ns0:p>
    <ns0:bookmarkEnd ns0:id="139"/>
    <ns0:bookmarkStart ns0:id="141" ns0:name="ref-Wilcoxon1945"/>
    <ns0:p>
      <ns0:pPr>
        <ns0:pStyle ns0:val="Bibliography"/>
      </ns0:pPr>
      <ns0:r>
        <ns0:t xml:space="preserve">Wilcoxon, Frank. 1945.</ns0:t>
      </ns0:r>
      <ns0:r>
        <ns0:t xml:space="preserve"> </ns0:t>
      </ns0:r>
      <ns0:r>
        <ns0:t xml:space="preserve">“Individual Comparisons by Ranking Methods.”</ns0:t>
      </ns0:r>
      <ns0:r>
        <ns0:t xml:space="preserve"> </ns0:t>
      </ns0:r>
      <ns0:r>
        <ns0:rPr>
          <ns0:iCs/>
          <ns0:i/>
        </ns0:rPr>
        <ns0:t xml:space="preserve">Biometrics Bulletin</ns0:t>
      </ns0:r>
      <ns0:r>
        <ns0:t xml:space="preserve"> </ns0:t>
      </ns0:r>
      <ns0:r>
        <ns0:t xml:space="preserve">1 (6): 80–83.</ns0:t>
      </ns0:r>
      <ns0:r>
        <ns0:t xml:space="preserve"> </ns0:t>
      </ns0:r>
      <ns0:hyperlink ns5:id="rId140">
        <ns0:r>
          <ns0:rPr>
            <ns0:rStyle ns0:val="Hyperlink"/>
          </ns0:rPr>
          <ns0:t xml:space="preserve">https://doi.org/10.2307/3001968</ns0:t>
        </ns0:r>
      </ns0:hyperlink>
      <ns0:r>
        <ns0:t xml:space="preserve">.</ns0:t>
      </ns0:r>
    </ns0:p>
    <ns0:bookmarkEnd ns0:id="141"/>
    <ns0:bookmarkEnd ns0:id="142"/>
    <ns0:bookmarkEnd ns0:id="143"/>
    <ns0:sectPr>
      <ns0:pgSz ns0:w="11906" ns0:h="16838"/>
      <ns0:pgMar ns0:top="1417" ns0:bottom="1417" ns0:left="1417" ns0:right="1417"/>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hyperlink" Id="rId104" Target="https://doi.org/10.1002/ar.23549" TargetMode="External" /><Relationship Type="http://schemas.openxmlformats.org/officeDocument/2006/relationships/hyperlink" Id="rId100" Target="https://doi.org/10.1002/cnm.70171" TargetMode="External" /><Relationship Type="http://schemas.openxmlformats.org/officeDocument/2006/relationships/hyperlink" Id="rId116" Target="https://doi.org/10.1007/s11517-025-03396-w" TargetMode="External" /><Relationship Type="http://schemas.openxmlformats.org/officeDocument/2006/relationships/hyperlink" Id="rId136" Target="https://doi.org/10.1007/s11548-022-02806-w" TargetMode="External" /><Relationship Type="http://schemas.openxmlformats.org/officeDocument/2006/relationships/hyperlink" Id="rId128" Target="https://doi.org/10.1007/s12565-019-00513-2" TargetMode="External" /><Relationship Type="http://schemas.openxmlformats.org/officeDocument/2006/relationships/hyperlink" Id="rId132" Target="https://doi.org/10.1007/s13534-024-00382-3" TargetMode="External" /><Relationship Type="http://schemas.openxmlformats.org/officeDocument/2006/relationships/hyperlink" Id="rId124" Target="https://doi.org/10.1016/0021-9290(94)90056-6" TargetMode="External" /><Relationship Type="http://schemas.openxmlformats.org/officeDocument/2006/relationships/hyperlink" Id="rId134" Target="https://doi.org/10.1016/0268-0033(93)90002-Y" TargetMode="External" /><Relationship Type="http://schemas.openxmlformats.org/officeDocument/2006/relationships/hyperlink" Id="rId126" Target="https://doi.org/10.1016/0304-4076(85)90158-7" TargetMode="External" /><Relationship Type="http://schemas.openxmlformats.org/officeDocument/2006/relationships/hyperlink" Id="rId96" Target="https://doi.org/10.1016/j.jtbi.2008.08.017" TargetMode="External" /><Relationship Type="http://schemas.openxmlformats.org/officeDocument/2006/relationships/hyperlink" Id="rId110" Target="https://doi.org/10.1016/j.spinee.2013.03.050" TargetMode="External" /><Relationship Type="http://schemas.openxmlformats.org/officeDocument/2006/relationships/hyperlink" Id="rId90" Target="https://doi.org/10.1017/CBO9780511755446" TargetMode="External" /><Relationship Type="http://schemas.openxmlformats.org/officeDocument/2006/relationships/hyperlink" Id="rId114" Target="https://doi.org/10.1038/s41597-025-05161-y" TargetMode="External" /><Relationship Type="http://schemas.openxmlformats.org/officeDocument/2006/relationships/hyperlink" Id="rId102" Target="https://doi.org/10.1073/pnas.1420325112" TargetMode="External" /><Relationship Type="http://schemas.openxmlformats.org/officeDocument/2006/relationships/hyperlink" Id="rId118" Target="https://doi.org/10.1073/pnas.1517085113" TargetMode="External" /><Relationship Type="http://schemas.openxmlformats.org/officeDocument/2006/relationships/hyperlink" Id="rId120" Target="https://doi.org/10.1097/brs.0000000000002623" TargetMode="External" /><Relationship Type="http://schemas.openxmlformats.org/officeDocument/2006/relationships/hyperlink" Id="rId122" Target="https://doi.org/10.1107/S0567739476001873" TargetMode="External" /><Relationship Type="http://schemas.openxmlformats.org/officeDocument/2006/relationships/hyperlink" Id="rId138" Target="https://doi.org/10.1111/j.1469-7580.2012.01564.x" TargetMode="External" /><Relationship Type="http://schemas.openxmlformats.org/officeDocument/2006/relationships/hyperlink" Id="rId88" Target="https://doi.org/10.1111/j.2517-6161.1995.tb02031.x" TargetMode="External" /><Relationship Type="http://schemas.openxmlformats.org/officeDocument/2006/relationships/hyperlink" Id="rId108" Target="https://doi.org/10.1111/joa.12924" TargetMode="External" /><Relationship Type="http://schemas.openxmlformats.org/officeDocument/2006/relationships/hyperlink" Id="rId130" Target="https://doi.org/10.1111/joa.13857" TargetMode="External" /><Relationship Type="http://schemas.openxmlformats.org/officeDocument/2006/relationships/hyperlink" Id="rId112" Target="https://doi.org/10.1111/joa.14160" TargetMode="External" /><Relationship Type="http://schemas.openxmlformats.org/officeDocument/2006/relationships/hyperlink" Id="rId86" Target="https://doi.org/10.1115/1.1894148" TargetMode="External" /><Relationship Type="http://schemas.openxmlformats.org/officeDocument/2006/relationships/hyperlink" Id="rId94" Target="https://doi.org/10.1115/1.4049226" TargetMode="External" /><Relationship Type="http://schemas.openxmlformats.org/officeDocument/2006/relationships/hyperlink" Id="rId106" Target="https://doi.org/10.1179/106698108790818639" TargetMode="External" /><Relationship Type="http://schemas.openxmlformats.org/officeDocument/2006/relationships/hyperlink" Id="rId98" Target="https://doi.org/10.1201/9780429246593" TargetMode="External" /><Relationship Type="http://schemas.openxmlformats.org/officeDocument/2006/relationships/hyperlink" Id="rId140" Target="https://doi.org/10.2307/3001968" TargetMode="External" /><Relationship Type="http://schemas.openxmlformats.org/officeDocument/2006/relationships/hyperlink" Id="rId92" Target="https://doi.org/10.3368/jhr.50.2.317" TargetMode="External" /><Relationship Type="http://schemas.openxmlformats.org/officeDocument/2006/relationships/hyperlink" Id="rId83" Target="https://doi.org/10.5281/zenodo.15189761" TargetMode="External" /></Relationships>
</file>

<file path=word/_rels/footnotes.xml.rels><?xml version="1.0" encoding="UTF-8"?><Relationships xmlns="http://schemas.openxmlformats.org/package/2006/relationships"><Relationship Type="http://schemas.openxmlformats.org/officeDocument/2006/relationships/hyperlink" Id="rId104" Target="https://doi.org/10.1002/ar.23549" TargetMode="External" /><Relationship Type="http://schemas.openxmlformats.org/officeDocument/2006/relationships/hyperlink" Id="rId100" Target="https://doi.org/10.1002/cnm.70171" TargetMode="External" /><Relationship Type="http://schemas.openxmlformats.org/officeDocument/2006/relationships/hyperlink" Id="rId116" Target="https://doi.org/10.1007/s11517-025-03396-w" TargetMode="External" /><Relationship Type="http://schemas.openxmlformats.org/officeDocument/2006/relationships/hyperlink" Id="rId136" Target="https://doi.org/10.1007/s11548-022-02806-w" TargetMode="External" /><Relationship Type="http://schemas.openxmlformats.org/officeDocument/2006/relationships/hyperlink" Id="rId128" Target="https://doi.org/10.1007/s12565-019-00513-2" TargetMode="External" /><Relationship Type="http://schemas.openxmlformats.org/officeDocument/2006/relationships/hyperlink" Id="rId132" Target="https://doi.org/10.1007/s13534-024-00382-3" TargetMode="External" /><Relationship Type="http://schemas.openxmlformats.org/officeDocument/2006/relationships/hyperlink" Id="rId124" Target="https://doi.org/10.1016/0021-9290(94)90056-6" TargetMode="External" /><Relationship Type="http://schemas.openxmlformats.org/officeDocument/2006/relationships/hyperlink" Id="rId134" Target="https://doi.org/10.1016/0268-0033(93)90002-Y" TargetMode="External" /><Relationship Type="http://schemas.openxmlformats.org/officeDocument/2006/relationships/hyperlink" Id="rId126" Target="https://doi.org/10.1016/0304-4076(85)90158-7" TargetMode="External" /><Relationship Type="http://schemas.openxmlformats.org/officeDocument/2006/relationships/hyperlink" Id="rId96" Target="https://doi.org/10.1016/j.jtbi.2008.08.017" TargetMode="External" /><Relationship Type="http://schemas.openxmlformats.org/officeDocument/2006/relationships/hyperlink" Id="rId110" Target="https://doi.org/10.1016/j.spinee.2013.03.050" TargetMode="External" /><Relationship Type="http://schemas.openxmlformats.org/officeDocument/2006/relationships/hyperlink" Id="rId90" Target="https://doi.org/10.1017/CBO9780511755446" TargetMode="External" /><Relationship Type="http://schemas.openxmlformats.org/officeDocument/2006/relationships/hyperlink" Id="rId114" Target="https://doi.org/10.1038/s41597-025-05161-y" TargetMode="External" /><Relationship Type="http://schemas.openxmlformats.org/officeDocument/2006/relationships/hyperlink" Id="rId102" Target="https://doi.org/10.1073/pnas.1420325112" TargetMode="External" /><Relationship Type="http://schemas.openxmlformats.org/officeDocument/2006/relationships/hyperlink" Id="rId118" Target="https://doi.org/10.1073/pnas.1517085113" TargetMode="External" /><Relationship Type="http://schemas.openxmlformats.org/officeDocument/2006/relationships/hyperlink" Id="rId120" Target="https://doi.org/10.1097/brs.0000000000002623" TargetMode="External" /><Relationship Type="http://schemas.openxmlformats.org/officeDocument/2006/relationships/hyperlink" Id="rId122" Target="https://doi.org/10.1107/S0567739476001873" TargetMode="External" /><Relationship Type="http://schemas.openxmlformats.org/officeDocument/2006/relationships/hyperlink" Id="rId138" Target="https://doi.org/10.1111/j.1469-7580.2012.01564.x" TargetMode="External" /><Relationship Type="http://schemas.openxmlformats.org/officeDocument/2006/relationships/hyperlink" Id="rId88" Target="https://doi.org/10.1111/j.2517-6161.1995.tb02031.x" TargetMode="External" /><Relationship Type="http://schemas.openxmlformats.org/officeDocument/2006/relationships/hyperlink" Id="rId108" Target="https://doi.org/10.1111/joa.12924" TargetMode="External" /><Relationship Type="http://schemas.openxmlformats.org/officeDocument/2006/relationships/hyperlink" Id="rId130" Target="https://doi.org/10.1111/joa.13857" TargetMode="External" /><Relationship Type="http://schemas.openxmlformats.org/officeDocument/2006/relationships/hyperlink" Id="rId112" Target="https://doi.org/10.1111/joa.14160" TargetMode="External" /><Relationship Type="http://schemas.openxmlformats.org/officeDocument/2006/relationships/hyperlink" Id="rId86" Target="https://doi.org/10.1115/1.1894148" TargetMode="External" /><Relationship Type="http://schemas.openxmlformats.org/officeDocument/2006/relationships/hyperlink" Id="rId94" Target="https://doi.org/10.1115/1.4049226" TargetMode="External" /><Relationship Type="http://schemas.openxmlformats.org/officeDocument/2006/relationships/hyperlink" Id="rId106" Target="https://doi.org/10.1179/106698108790818639" TargetMode="External" /><Relationship Type="http://schemas.openxmlformats.org/officeDocument/2006/relationships/hyperlink" Id="rId98" Target="https://doi.org/10.1201/9780429246593" TargetMode="External" /><Relationship Type="http://schemas.openxmlformats.org/officeDocument/2006/relationships/hyperlink" Id="rId140" Target="https://doi.org/10.2307/3001968" TargetMode="External" /><Relationship Type="http://schemas.openxmlformats.org/officeDocument/2006/relationships/hyperlink" Id="rId92" Target="https://doi.org/10.3368/jhr.50.2.317" TargetMode="External" /><Relationship Type="http://schemas.openxmlformats.org/officeDocument/2006/relationships/hyperlink" Id="rId83" Target="https://doi.org/10.5281/zenodo.151897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Anatomical prediction of sacroiliac motion and its load-dependent limits</dc:title>
  <dc:creator>Petr Henyš^{1,*}, Niels Hammer^{2} ^{1}Institute of New Technologies and Applied Informatics, Faculty of Mechatronics, Informatics and Interdisciplinary Studies, Technical University of Liberec, Studentská 1402/2, 461 17 Liberec, Czech Republic ^{2}Division of Macroscopic and Clinical Anatomy, Gottfried Schatz Research Center, Medical University of Graz, Auenbruggerplatz 25, 8036 Graz, Austria ^{*}Corresponding author: Petr Henyš (petr.henys@tul.cz)</dc:creator>
  <cp:keywords/>
  <dcterms:created xsi:type="dcterms:W3CDTF">2026-10-02T13:32:38Z</dcterms:created>
  <dcterms:modified xsi:type="dcterms:W3CDTF">2026-10-02T13:32:38Z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/mnt/pracovni/Active_projects/Obstretrical_dillema/manuscripts/paper_JAnat_SIJ_micromotion/bib/refs.bib</vt:lpwstr>
  </property>
  <property fmtid="{D5CDD505-2E9C-101B-9397-08002B2CF9AE}" pid="3" name="date">
    <vt:lpwstr/>
  </property>
</Properties>
</file>