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Three pelvic measures improve sacroiliac translation prediction beyond size.</w:t>
      </w:r>
    </w:p>
    <w:p>
      <w:pPr>
        <w:numPr>
          <w:ilvl w:val="0"/>
          <w:numId w:val="1001"/>
        </w:numPr>
        <w:pStyle w:val="Compact"/>
      </w:pPr>
      <w:r>
        <w:t xml:space="preserve">Prediction gains vary across loading configurations and motion endpoints.</w:t>
      </w:r>
    </w:p>
    <w:p>
      <w:pPr>
        <w:numPr>
          <w:ilvl w:val="0"/>
          <w:numId w:val="1001"/>
        </w:numPr>
        <w:pStyle w:val="Compact"/>
      </w:pPr>
      <w:r>
        <w:t xml:space="preserve">Redistributing transverse forces reveals a limit to scalar motion estimates.</w:t>
      </w:r>
    </w:p>
    <w:p>
      <w:pPr>
        <w:numPr>
          <w:ilvl w:val="0"/>
          <w:numId w:val="1001"/>
        </w:numPr>
        <w:pStyle w:val="Compact"/>
      </w:pPr>
      <w:r>
        <w:t xml:space="preserve">Retaining displacement directions nearly recovers mixed-load joint motion.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2026-10-02T13:15:07Z</dcterms:created>
  <dcterms:modified xsi:type="dcterms:W3CDTF">2026-10-02T13:15:07Z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