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Fáze 0: Briefing pro AI programátora</w:t>
      </w:r>
    </w:p>
    <w:p>
      <w:pPr>
        <w:spacing w:after="3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Technický start projektu před Milníkem 1 — tech stack, .env, pravidla chování při nejistotě, repo struktura.</w:t>
      </w:r>
    </w:p>
    <w:p>
      <w:pPr>
        <w:pBdr>
          <w:bottom w:val="single" w:color="1A56A0" w:sz="4" w:space="8"/>
        </w:pBdr>
      </w:pP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A56A0" w:sz="4"/>
              <w:left w:val="single" w:color="1A56A0" w:sz="16"/>
              <w:bottom w:val="single" w:color="1A56A0" w:sz="4"/>
              <w:right w:val="single" w:color="1A56A0" w:sz="4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56A0"/>
                <w:sz w:val="16"/>
                <w:szCs w:val="16"/>
              </w:rPr>
              <w:t xml:space="preserve">ℹ INFO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Tento dokument je určen jako PRVNÍ kontext předaný AI programátorovi (Claude Code, Google Antigravity). Neobsahuje byznys logiku (ta je v jednotlivých milníkových dokumentech) — řeší jen technický start a pravidla práce.</w:t>
            </w:r>
          </w:p>
        </w:tc>
      </w:tr>
    </w:tbl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Soubory, které k tomuto briefingu patří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schema.sql — spustit v Supabase SQL Editoru jako první, jedním během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seed.sql — spustit hned po schema.sql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Milníkové dokumenty (milnik_01_zaklad.mdx až milnik_10_dlouhovekost.mdx) — krmit AGENTOVI POSTUPNĖ, jeden milník v jednu chvíli, NIKDY všech 10 najednou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Tech stack — pevné verze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67E22" w:sz="4"/>
              <w:left w:val="single" w:color="E67E22" w:sz="16"/>
              <w:bottom w:val="single" w:color="E67E22" w:sz="4"/>
              <w:right w:val="single" w:color="E67E22" w:sz="4"/>
            </w:tcBorders>
            <w:shd w:fill="FDF2E3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⚠ VAROVÁNÍ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Pokud se verze ukáže jako nedostupná nebo nekompatibilní, agent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MUSÍ se zastavit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a nahlásit to s návrhem náhrady — nikdy tiše zvolit jinou verzi bez upozornění.</w:t>
            </w:r>
          </w:p>
        </w:tc>
      </w:tr>
    </w:tbl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Pravidlo krmení kontextu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0392B" w:sz="4"/>
              <w:left w:val="single" w:color="C0392B" w:sz="16"/>
              <w:bottom w:val="single" w:color="C0392B" w:sz="4"/>
              <w:right w:val="single" w:color="C0392B" w:sz="4"/>
            </w:tcBorders>
            <w:shd w:fill="FBEAE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⛔ KRITICKÉ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Nejdůležitější procesní pravidlo tohoto projektu: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Pro každý milník přilož AGENTOVI jen milnik_0X_*.mdx dokument, který je aktuálně předmětem práce, plus schema.sql/seed.sql jako referenci. NIKDY nepředkládej všech 10 milníkových dokumentů najednou — to vede k povrchnímu, ne hloubkovému respektování detailů, a agent může omylem začít implementovat funkce z pozdějších milníků předčasně (např. SSO v M1, AI v M2).</w:t>
            </w:r>
          </w:p>
        </w:tc>
      </w:tr>
    </w:tbl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Pravidlo chování při nejistotě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 nejasnosti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 dělat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**Implementační detail** (přesný název komponenty, CSS třída, formát logu)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Zvol konzervativní výklad konzistentní s existující architekturou, pokračuj bez zastavení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**Byznys rozhodnutí** (přesný formát PDF zprávy, konkrétní legislativní hodnota, jak se má systém chovat v hraničním případě)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ZASTAV SE, popiš nejasnost, počkej na odpověď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**Architektonický rozpor** (specifikace milníku N vyžaduje něco, co kontrakt z dřívějšího milníku nepodporuje)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ZASTAV SE, popiš rozpor, NIKDY tiše neměň dřívější kontrakt bez schválení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Pravidlo "žádné tiché přejmenování ani breaking change"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Pokud agent během práce zjistí, že tabulka/sloupec/rozhraní by se mělo jmenovat jinak nebo má chybnou strukturu: 1. Zastavit se 2. Popsat nález a navrhovanou opravu 3. Počkat na potvrzení 4. Teprve po potvrzení provést migraci (číslovaný soubor v /migrations, viz M10.1) se zdůvodněním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Repo struktura</w:t>
      </w:r>
    </w:p>
    <w:p>
      <w:pPr>
        <w:shd w:fill="1E1E1E" w:val="clear"/>
        <w:spacing w:after="120" w:before="12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fosterflow/
├── schema.sql
├── seed.sql
├── migrations/              -- formalizováno od M10.1, ale číslovat od začátku
├── docs/
│   ├── 00_index.mdx
│   ├── milnik_01_zaklad.mdx
│   ├── ... (milnik_02 až milnik_10)
│   ├── registr_rozhodnuti_v8.md
│   └── milnikova_mapa.md
├── src/
│   ├── app/
│   │   ├── (worker)/         -- M1.8: FosterFlow Worker
│   │   ├── (organization)/   -- M1.8: FosterFlow Organization
│   │   └── (client-portal)/  -- M8.1: Klientská zóna
│   ├── lib/
│   │   ├── adapters/         -- M1.1: StorageAdapter/CalendarAdapter/AuthAdapter/AIAdapter
│   │   │   ├── StorageAdapterInterface.ts
│   │   │   ├── InternalSupabaseStorageAdapter.ts   (M1)
│   │   │   ├── GoogleDriveAdapter.ts                (M5.1)
│   │   │   ├── OneDriveAdapter.ts                   (M5.1)
│   │   │   └── ... (analogicky pro Calendar/Auth/AI)
│   │   ├── supabase/
│   │   └── validation/       -- Ajv schémata pro event_definitions (M1.5)
│   └── components/
│       └── DataGridView/     -- M1.9: sdílená komponenta pro konfigurovatelné tabulky
├── .env.example
└── package.json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Definice hotovosti — princip platný pro KAŽDÝ milník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Milník se NEPOVAŽUJE za dokončený na základě "kód je napsaný", ale na základě: 1.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Všech acceptance testů</w:t>
      </w:r>
      <w:r>
        <w:rPr>
          <w:rFonts w:ascii="Arial" w:cs="Arial" w:eastAsia="Arial" w:hAnsi="Arial"/>
          <w:sz w:val="20"/>
          <w:szCs w:val="20"/>
        </w:rPr>
        <w:t xml:space="preserve"> definovaných v jeho .mdx dokumentu, ověřitelně splněných 2.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Regresní sady</w:t>
      </w:r>
      <w:r>
        <w:rPr>
          <w:rFonts w:ascii="Arial" w:cs="Arial" w:eastAsia="Arial" w:hAnsi="Arial"/>
          <w:sz w:val="20"/>
          <w:szCs w:val="20"/>
        </w:rPr>
        <w:t xml:space="preserve"> — všechny acceptance testy VŠECH PŘEDCHOZÍCH milníků stále platí 3.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Gate checklistu</w:t>
      </w:r>
      <w:r>
        <w:rPr>
          <w:rFonts w:ascii="Arial" w:cs="Arial" w:eastAsia="Arial" w:hAnsi="Arial"/>
          <w:sz w:val="20"/>
          <w:szCs w:val="20"/>
        </w:rPr>
        <w:t xml:space="preserve"> na konci milníkového dokumentu, odškrtaného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První promptová instrukce pro AI programátora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&gt; "Spusť schema.sql a seed.sql proti nové Supabase instanci. Ověř, že se vytvořilo všech 143 tabulek bez chyby (kontrolní dotaz: SELECT count(*) FROM information_schema.tables WHERE table_schema='public'). Pak založ Next.js projekt dle package.json výše, implementuj src/lib/adapters/ se 4 rozhraními a jejich internal implementacemi. Poté pokračuj VÝHRADNĖ podle milnik_01_zaklad.mdx — žádné jiné milníkové dokumenty teď nepotřebuješ a neměl bys k nim mít přístup. Až budou splněny všechny acceptance testy a gate checklist Milníku 1, zastav se a nahlas to. Nepokračuj automaticky do Milníku 2."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56A0" w:sz="4" w:space="4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Strana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A0" w:sz="4" w:space="4"/>
      </w:pBdr>
    </w:pPr>
    <w:r>
      <w:rPr>
        <w:rFonts w:ascii="Arial" w:cs="Arial" w:eastAsia="Arial" w:hAnsi="Arial"/>
        <w:color w:val="666666"/>
        <w:sz w:val="16"/>
        <w:szCs w:val="16"/>
      </w:rPr>
      <w:t xml:space="preserve">FosterFlow — Master Blueprint v8</w:t>
    </w:r>
    <w:r>
      <w:rPr>
        <w:rFonts w:ascii="Arial" w:cs="Arial" w:eastAsia="Arial" w:hAnsi="Arial"/>
        <w:color w:val="AAAAAA"/>
        <w:sz w:val="16"/>
        <w:szCs w:val="16"/>
      </w:rPr>
      <w:t xml:space="preserve">     |     Fáze 0: Briefing pro AI programátora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Arial" w:cs="Arial" w:eastAsia="Arial" w:hAnsi="Arial"/>
      <w:b/>
      <w:bCs/>
      <w:color w:val="1A56A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</w:pPr>
    <w:rPr>
      <w:rFonts w:ascii="Arial" w:cs="Arial" w:eastAsia="Arial" w:hAnsi="Arial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Arial" w:cs="Arial" w:eastAsia="Arial" w:hAnsi="Arial"/>
      <w:b/>
      <w:bCs/>
      <w:color w:val="1A56A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2026-06-20T10:19:39.110Z</dcterms:created>
  <dcterms:modified xsi:type="dcterms:W3CDTF">2026-06-20T10:19:39.111Z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