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FosterFlow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Master Blueprint v6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Konsolidace pro implementaci — schema.sql, seed.sql, Fáze 0</w:t>
      </w:r>
    </w:p>
    <w:p>
      <w:pPr>
        <w:pBdr>
          <w:bottom w:val="single" w:color="1A56A0" w:sz="4" w:space="8"/>
        </w:pBdr>
        <w:jc w:val="center"/>
      </w:pP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3483" w:sz="4"/>
              <w:left w:val="single" w:color="6C3483" w:sz="16"/>
              <w:bottom w:val="single" w:color="6C3483" w:sz="4"/>
              <w:right w:val="single" w:color="6C3483" w:sz="4"/>
            </w:tcBorders>
            <w:shd w:fill="F2EA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Co je V6 a co není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V6 NENÍ nová próza nahrazující V5. V5 zůstává platnou byznys specifikací (24 kapitol, Karta kontaktu, hierarchie institucí, sociální prostor, sjednocení 4 konfliktů). V6 je technická konsolidace téže specifikace do spustitelných artefaktů, které V5 ani žádná předchozí verze neměla: jedno bezešvé databázové schéma, seed data a startovní briefing pro agentní vývoj.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Verze: 6.0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Datum: červen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0"/>
          <w:szCs w:val="20"/>
        </w:rPr>
        <w:t xml:space="preserve">Status: Technické artefakty připravené pro Claude Code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Co V6 přidává oproti V5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Obsah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Proč chyběl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 tabulek, 4 views, 35 enum typů, vše v jednom topologicky správném pořadí, spustitelné jedním během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V3-V5 měly SQL rozeseté v textu přes 5 dokumentů, se dvěma jmény pro stejné tabulky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~37 oprávnění, 8 systémových taxonomií s výchozími termíny, ~24 zákonných parametrů, výchozí tabulkové pohledy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Žádná verze neměla spustitelná počáteční data — jen slovní příklady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 rozhodnutí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Tabulka finálních jmen tabulek a binární ENUM/taxonomy rozhodnutí pro každý sporný typ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 řešila konflikty slovně v textu kapitol, ne jako jeden vyhledatelný zdroj pravdy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Fáze 0 briefing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stack s pevnými verzemi, .env šablona, pravidla chování při nejistotě, acceptance testy per fáze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Roadmapa byla popisná ("co se má udělat"), ne ověřitelná ("jak zjistím, že je to hotové")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Validace schema.sql — co bylo strojově ověřeno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Bez živého PostgreSQL serveru nelze provést plné EXPLAIN, ale následující strukturální kontroly byly provedeny skriptem nad finálním souborem:</w:t>
      </w:r>
    </w:p>
    <w:p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6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Vyváženost závorek a $$ blоků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874/874 závorek, 20 (10 párů) $$ blоků — OK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Žádné duplicitní CREATE TABLE / CREATE 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duplicit ve 112 tabulkách a 35 typech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Všechny REFERENCES míří na existující tabulku/view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 odkazů, 0 chybějících cílů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Topologické pořadí (žádný forward reference)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případů ALTER TABLE nebo REFERENCES na ještě nevytvořenou tabulku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Staré/zrušené názvy se už nevyskytují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financial_documents, child_relationships, approval_workflow_templates a 7 dalších — 0 výskytů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seed.sql používá jen tabulky definované v schema.sql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Ověřeno, 0 chybějících</w:t>
            </w:r>
          </w:p>
        </w:tc>
      </w:tr>
    </w:tbl>
    <w:p>
      <w:r>
        <w:t xml:space="preserve"/>
      </w:r>
    </w:p>
    <w:p>
      <w:pPr>
        <w:pBdr>
          <w:left w:val="single" w:color="E67E22" w:sz="12" w:space="8"/>
        </w:pBdr>
        <w:spacing w:after="100" w:before="100"/>
        <w:ind w:left="360"/>
      </w:pPr>
      <w:r>
        <w:rPr>
          <w:rFonts w:ascii="Arial" w:cs="Arial" w:eastAsia="Arial" w:hAnsi="Arial"/>
          <w:color w:val="E67E22"/>
          <w:sz w:val="18"/>
          <w:szCs w:val="18"/>
        </w:rPr>
        <w:t xml:space="preserve">⚠  Toto je strukturální validace, NE běhová. První skutečný test musí proběhnout živým spuštěním v Supabase SQL Editoru — teprve to odhalí případné chyby v datových typech, CHECK constraints nebo RLS syntaxi, které statická analýza nezachytí.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Registr rozhodnutí — shrnutí pro rychlou orientaci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C3483"/>
          <w:sz w:val="15"/>
          <w:szCs w:val="15"/>
        </w:rPr>
        <w:t xml:space="preserve">▸ nové doplnění (Claude)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Plný registr je přiložen jako samostatný soubor (registr_rozhodnuti.md). Zde je shrnutí klíčových rozhodnutí: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Přejmenování a sloučení tabulek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financial_documents → payment_documents (zahrnuje i příjmy SPVPP, ne jen výdaje)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child_relationships + person_relationships (V3, nikdy nenaplněná) → person_relationships (jedna sdílená tabulka pro dítě i pěstouna)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approval_workflow_templates/steps (V4) → approval_workflows/steps (kratší název z doplňkové sady)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bank_statement_lines (V4) → bank_transactions (sjednoceno s bank_statements)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output_templates/generated_outputs (V4) → export_templates/export_logs (sada řešící i accountant_access_tokens)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ENUM vs. taxonomy_term — princip rozhodování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77B12" w:sz="4"/>
              <w:left w:val="single" w:color="C77B12" w:sz="16"/>
              <w:bottom w:val="single" w:color="C77B12" w:sz="4"/>
              <w:right w:val="single" w:color="C77B1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7B12"/>
                <w:sz w:val="18"/>
                <w:szCs w:val="18"/>
              </w:rPr>
              <w:t xml:space="preserve">Pravidlo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Pokud na hodnotě visí CHECK constraint, výpočet částky nebo bezpečnostní pravidlo → ENUM. Pokud je to čistě popisný/organizační štítek bez vlivu na logiku → taxonomy_term.</w:t>
            </w:r>
          </w:p>
        </w:tc>
      </w:tr>
    </w:tbl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rPr>
          <w:tblHeader/>
        </w:trP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Zůstává ENUM (logika)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Stává se taxonomy_term (popis)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person_category, entity_status, foster_care_type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task_status (dříve ENUM, nyní task_states)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foster_parent_status, relationship_rating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document_category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lifecycle_state, crisis_type/status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relationship_type (otec, matka, kamarád...)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contact_form, provider_type, payment_document_status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contact_status, supervision_type, education_form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task_priority, notification_channel/priority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event_category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retention_action, subscription_tier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project_state</w:t>
            </w:r>
          </w:p>
        </w:tc>
      </w:tr>
    </w:tbl>
    <w:p>
      <w:r>
        <w:t xml:space="preserve"/>
      </w:r>
    </w:p>
    <w:p>
      <w:pPr>
        <w:pBdr>
          <w:left w:val="single" w:color="1A56A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event_type (na tabulce events) byl ve V3/V4 ENUM. V6 ho mění na volný TEXT validovaný proti event_definitions.event_type — to byl již ve V4 deklarovaný princip configuration-driven systému, V6 ho dotahuje důsledně i na typovou úroveň, ne jen na validaci payloadu.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Přiložené soubory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Soubor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Účel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Kdy použít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Kompletní spustitelné databázové schéma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První běh v Supabase SQL Editoru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seed.sql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Výchozí oprávnění, číselníky, zákonné parametry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Hned po schema.sql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registr_rozhodnuti.md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Úplný seznam přejmenování a ENUM/taxonomy rozhodnutí s důvody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při řešení nejasností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faze_0_briefing.md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stack, .env šablona, acceptance testy, pravidla chování agenta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První prompt pro Claude Code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Pro úplnou byznys specifikaci (24 kapitol s SQL ukázkami v kontextu prózy, UI popisy, byznys pravidla) zůstává referenčním dokumentem Master Blueprint v5 — V6 ho nenahrazuje, technicky ho zpřesňuje a dělá ho spustitelným.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v6</w:t>
    </w:r>
    <w:r>
      <w:rPr>
        <w:rFonts w:ascii="Arial" w:cs="Arial" w:eastAsia="Arial" w:hAnsi="Arial"/>
        <w:color w:val="AAAAAA"/>
        <w:sz w:val="16"/>
        <w:szCs w:val="16"/>
      </w:rPr>
      <w:t xml:space="preserve">     |     Konsolidace pro implementaci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2026-06-19T21:03:01.002Z</dcterms:created>
  <dcterms:modified xsi:type="dcterms:W3CDTF">2026-06-19T21:03:01.014Z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