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FosterFlow: Master Blueprint v8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Kompletní konsolidované zadání rozdělené do 10 milníků. Tento dokument nahrazuje VŠECHNY předchozí verze (V3-V6) v plném rozsahu.</w:t>
      </w:r>
    </w:p>
    <w:p>
      <w:pPr>
        <w:pBdr>
          <w:bottom w:val="single" w:color="1A56A0" w:sz="4" w:space="8"/>
        </w:pBdr>
      </w:pP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Instrukce pro AI a vývojáře: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Toto je JEDINÝ a ÚPLNÝ zdroj pravdy pro vývoj systému FosterFlow. Nahrazuje všechny předchozí verze Blueprintu beze zbytku. Žádná systémová logika, oprávnění ani procesní krok nesmí být implementovány v rozporu s touto specifikací nebo s předstihem před milníkem, ve kterém jsou popsány.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Jak číst tuto dokumentaci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Blueprint je rozdělen na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 milníků</w:t>
      </w:r>
      <w:r>
        <w:rPr>
          <w:rFonts w:ascii="Arial" w:cs="Arial" w:eastAsia="Arial" w:hAnsi="Arial"/>
          <w:sz w:val="20"/>
          <w:szCs w:val="20"/>
        </w:rPr>
        <w:t xml:space="preserve">, každý ve vlastním dokumentu. Toto rozdělení je záměrné a slouží jednomu cíli: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programátor (Claude Code, Google Antigravity) dostává v každé chvíli jen tu část kontextu, kterou skutečně potřebuje pro aktuálně pracovaný milník</w:t>
      </w:r>
      <w:r>
        <w:rPr>
          <w:rFonts w:ascii="Arial" w:cs="Arial" w:eastAsia="Arial" w:hAnsi="Arial"/>
          <w:sz w:val="20"/>
          <w:szCs w:val="20"/>
        </w:rPr>
        <w:t xml:space="preserve"> — ne celý dokument o desítkách tisíc slov najednou.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1. Začni Fází 0 briefingem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Obsahuje tech stack, .env šablonu, pravidla chování při nejistotě a definici "hotovosti" napříč všemi milníky.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2. Spusť schema.sql a seed.sql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Kompletní databázové schéma pro VŠECH 10 milníků existuje od počátku (143 tabulek, milníkově otagované SQL komentáři), ale aplikační kód se k jednotlivým tabulkám "propracovává" postupně podle milníku, ve kterém se právě pracuje.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3. Pracuj milník po milníku, v pořadí 1 → 10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Nikdy nezačínej milník N+1, dokud milník N nesplnil svůj GATE (acceptance testy + regresní sada). Toto pravidlo nemá výjimku.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4. Po Milníku 1: produkční nasazení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Milník 1 je jediný, který explicitně počítá s tím, že po jeho dokončení systém začne pracovat se skutečnými citlivými daty jedné organizace. Milníky 2-10 se vyvíjejí a testují s větší volností, ale nasazení nad běžící produkci musí být vždy zpětně kompatibilní.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Přehled milníků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Milník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Název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Klíčová otázka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[M1](/milnik-01-zaklad)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Základ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 systém bezpečný a stabilní pro ostrý provoz jedné DO?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[M2](/milnik-02-provozni)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Provozní nezbytnosti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Pracuje DO se soudy, krizemi a úkoly v systému?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[M3](/milnik-03-finance)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a SPVPP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Pracuje ekonomka plně v systému, ne v Excelu?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[M4](/milnik-04-multitenancy)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Multi-tenancy a SaaS základ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Běží druhá nezávislá DO bez kolize s první?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[M5](/milnik-05-providers)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Svoboda volby ekosystému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Může si DO vybrat Google/Microsoft/nezávislost?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[M6](/milnik-06-ai)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vrstva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Jsou AI funkce mocné, bezpečné a vždy volitelné?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[M7](/milnik-07-analytika)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Analytika a měření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Mají DO i provozovatel datově podložené rozhodování?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[M8](/milnik-08-klientska-zona)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Klientská zóna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Mají pěstouni a účetní bezpečný samoobslužný přístup?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[M9](/milnik-09-verejne-api)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Veřejné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Může se externí systém (OSPOD) bezpečně napojit?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[M10](/milnik-10-dlouhovekost)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Dlouhověkost a ekosystém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Zvládne systém 15-20 let evoluce bez rozpadu?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Architektonické principy platné PRO VŠECHNY milníky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Provider-agnostická architektura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Storage, kalendář, autentizace a AI NIKDY nejsou natvrdo navázány na Google/Microsoft/konkrétního AI poskytovatele. Vždy přes interní adaptérová rozhraní definovaná od M1.1, s konkrétními implementacemi přidávanými v M5 (storage/calendar/auth) a M6 (AI).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Karta kontaktu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Pěstoun, dítě, klíčová osoba, biologický příbuzný, sociální okolí — všechno jsou záznamy v persons se stejnou kostrou (identifikace, custom fields, historizace, vztahy). Úřední osoby a platební partneři žijí ve specializovaných registrech, konceptuálně stejný princip, technicky oddělené tabulky.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Žádné tiché breaking changes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Každý milník je migrace NAD existující produkční databází předchozího milníku. Žádný DROP bez deprecation_registry záznamu (od M10.3 formálně, ale princip platí od M1). Regresní sada všech předchozích acceptance testů musí projít po každém novém milníku.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Vlastnictví dat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Plný export dat (M1.15) funguje VE VŠECH tarifech bez výjimky. Data jsou majetkem doprovázející organizace, ne provozovatele systému.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 dělat, když specifikace neřeší konkrétní situaci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Rozlišuj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implementační detail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(jak se to napíše — zvol konzervativní výklad konzistentní s architekturou a pokračuj) od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byznys rozhodnutí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(co se má stát — zastav se a zeptej se). Tichý dohad na byznys rozhodnutí je přesně to riziko, kterému se celý tento postup snaží vyhnout.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Přiložené technické artefakty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schema.sql — kompletní databázové schéma, 143 tabulek, milníkově otagované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seed.sql — výchozí oprávnění, číselníky, zákonné parametry, integration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registr_rozhodnuti_v8.md — úplný seznam pojmenování a architektonických rozhodnutí s důvody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milnikova_mapa.md — pracovní rozvrh všech 70 fází napříč 10 milníky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faze_0_briefing.md — startovní instrukce pro AI programátora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— Master Blueprint v8</w:t>
    </w:r>
    <w:r>
      <w:rPr>
        <w:rFonts w:ascii="Arial" w:cs="Arial" w:eastAsia="Arial" w:hAnsi="Arial"/>
        <w:color w:val="AAAAAA"/>
        <w:sz w:val="16"/>
        <w:szCs w:val="16"/>
      </w:rPr>
      <w:t xml:space="preserve">     |     FosterFlow: Master Blueprint v8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2026-06-20T10:19:38.887Z</dcterms:created>
  <dcterms:modified xsi:type="dcterms:W3CDTF">2026-06-20T10:19:38.887Z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