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Milník 4: Multi-tenancy a SaaS základ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Přechod ze samostatné instalace pro jednu DO na skutečný multi-tenant SaaS — pobočky, vlastní role per organizace, tarify a billing, basic branding, migrace dat mezi organizacemi, provozovatelský admin panel.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Toto je první milník, kde do systému vstupuje DRUHÁ nezávislá organizace.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Vše z M1–M3 bylo navrženo s organization_id od počátku, ale teprve zde se to reálně testuje s víc než jedním tenantem v produkci současně. Pokud RLS politiky z M1 mají skrytou chybu, tady se poprvé objeví.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tento milník obsahuje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JE v M4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Aktivace poboček, custom role per organizace, subscription tiers s feature flags, basic whitelabel (logo+barvy), case transfer mezi organizacemi, provozovatelský cross-tenant admin panel, právní/smluvní evidence (SLA, DPA).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NENÍ v M4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Hloubkový whitelabel (font/layout/CSS čeká na M5.5). Google/Microsoft integrace (M5). Živé bankovní API zůstává podmíněno tarifem tier_custom, ale implementace je až M9.5.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4.1 — Hierarchie multi-tenancy (aktivace pro 2.+ DO)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Šestistupňová hierarchie: Provozovatel → Organizace → Pobočka → Klíčová osoba → Domácnost → Dítě. organization_branches umožňuje sdílet zaměstnance napříč pobočkami, ale omezit jim viditelnost rodin jen na rodiny dané pobočky.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POLICY "Multi-tenant isolation policy"
ON households FOR ALL
USING (
    (organization_id = current_user_org_id())
    OR (is_system_operator() = TRUE)
);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Pokud je uživatel is_system_operator = TRUE, RLS mu umožní náhled pro účely podpory, ale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každé takové zobrazení je striktně zaznamenáno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 audit_logs — toto musí být ověřeno v acceptance testu, ne jen deklarováno.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Druhá organizace (Organizace B) se zaregistruje a vytvoří rodinu. Uživatel Organizace A nikdy nevidí žádné záznamy Organizace B v žádném API endpointu ani exportu, i při manipulaci s ID v URL. is_system_operator přístup k datům Organizace B vytvoří záznam v audit_logs viditelný v rámci Organizace B (transparentnost).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4.2 — Granulární RBAC rozšíření pro custom role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Organizace (Organizace B) si vytvoří vlastní roli "Asistentka" s vybranými oprávněními (cases.view_assigned, documents.upload), bez finance.view — bez nutnosti zásahu programátora.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Nová organizace vytvoří vlastní roli přes UI, přiřadí ji uživateli, a oprávnění se okamžitě promítnou do viditelnosti menu i API odpovědí — bez nasazení nového kódu.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4.3 — Subscription tiers a billing</w:t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free_trial (7 dní) → tier_1_basic → tier_2_pro → tier_3_ultra → tier_custom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Feature flags (feature_branding_allowed, feature_ai_allowed, feature_bank_import_allowed, feature_bank_live_api_allowed...) řídí, co organizace vidí v UI. Limity (max_households, max_ko_users) se vynucují i na backendu — pokus o vytvoření 21. rodiny při limitu 20 vrací HTTP 402.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Právní a smluvní vrstva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organization_legal_agreements evidují podepsané SLA a zpracovatelské smlouvy (DPA dle GDPR) — architektura M1–M3 (multi-tenancy izolace, audit, export dat)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podpírá</w:t>
      </w:r>
      <w:r>
        <w:rPr>
          <w:rFonts w:ascii="Arial" w:cs="Arial" w:eastAsia="Arial" w:hAnsi="Arial"/>
          <w:sz w:val="20"/>
          <w:szCs w:val="20"/>
        </w:rPr>
        <w:t xml:space="preserve"> to, co se zde smluvně garantuje, ale toto je evidence smluv samotných, ne vynucovací mechanismus.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Organizace na tier_1_basic s max_households = 20 při pokusu o 21. rodinu dostane HTTP 402 s jasnou zprávou o překročení limitu, frontend zobrazí výzvu k upgradu. Vypršení 7denního trialu uzamkne zápisy (read-only), ale čtení zůstává funkční.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4.4 — Whitelabeling HLOUBKA 1 (basic: logo + barvy)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organizations.brand_colors JSONB + logo_url. Dynamické CSS proměnné injektované do Tailwindu při načtení podle přihlášené organizace.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7280" w:sz="4"/>
              <w:left w:val="single" w:color="6B7280" w:sz="16"/>
              <w:bottom w:val="single" w:color="6B7280" w:sz="4"/>
              <w:right w:val="single" w:color="6B728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POZNÁMKA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Toto je ZÁKLADNÍ úroveň. Font, layout šablony a vlastní CSS přichází v M5.5 jako "hloubkový" whitelabel — rozdělení do dvou fází je záměrné, aby základní branding (nejčastěji žádaná funkce) nebyl blokován na komplexnější template systém.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Organizace nahraje vlastní logo a změní primární barvu — změna se projeví v UI bez nutnosti redeploy, a další organizace na systému vidí svůj vlastní (nebo výchozí) branding nezměněný.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4.5 — Migrace dat mezi organizacemi (case transfer)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Převod rodiny z Organizace A do Organizace B NESMÍ být řešen přepsáním organization_id — poškodilo by to auditní stopu a ekonomické výkazy zdrojové organizace.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Tři fáze: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Export</w:t>
      </w:r>
      <w:r>
        <w:rPr>
          <w:rFonts w:ascii="Arial" w:cs="Arial" w:eastAsia="Arial" w:hAnsi="Arial"/>
          <w:sz w:val="20"/>
          <w:szCs w:val="20"/>
        </w:rPr>
        <w:t xml:space="preserve"> (manifest.json + ZIP zašifrovaný AES-256, zdrojová rodina → lifecycle_state = termination)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Předání</w:t>
      </w:r>
      <w:r>
        <w:rPr>
          <w:rFonts w:ascii="Arial" w:cs="Arial" w:eastAsia="Arial" w:hAnsi="Arial"/>
          <w:sz w:val="20"/>
          <w:szCs w:val="20"/>
        </w:rPr>
        <w:t xml:space="preserve"> (odkaz platný 7 dní + SMS kód jako heslo)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Import</w:t>
      </w:r>
      <w:r>
        <w:rPr>
          <w:rFonts w:ascii="Arial" w:cs="Arial" w:eastAsia="Arial" w:hAnsi="Arial"/>
          <w:sz w:val="20"/>
          <w:szCs w:val="20"/>
        </w:rPr>
        <w:t xml:space="preserve"> (kontrola SHA-256, remapping na NOVÁ UUID, providers se párují podle IČO aby nevznikaly duplicity).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Export rodiny z Organizace A a import do Organizace B zachová kompletní historii events, vytvoří nová UUID (ne kolize se zdrojovými), a providers vázané k rodině se spárují s existujícími providery cílové organizace podle IČO, pokud existují, jinak se vytvoří nové.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4.6 — Provozovatelský admin panel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Cross-tenant pohled pro is_system_operator = TRUE: přehled všech organizací, jejich tarifů, využití limitů, otevřených bezpečnostních findings. Anonymizace při zobrazení detailních dat (jméno dítěte se nezobrazuje provozovateli bez explicitního "podpora" scénáře s auditním zápisem).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Provozovatel vidí seznam všech organizací s agregovanými čísly (počet rodin, aktivní tarif), ale NEVIDÍ jména konkrétních dětí bez aktivace podpůrného režimu, který se zaznamená do audit_logs.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Souhrnný GATE pro M4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Regresní sada M1–M3 stále projde, NYNÍ testovaná s minimálně 2 organizacemi současně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Druhá nezávislá organizace běží v produkci bez jakékoliv kolize s první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Billing a limity vynucené i na backendu, ne jen v UI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Case transfer ověřen end-to-end mezi dvěma reálnými organizacemi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Pokračuj Milníkem 5 — svoboda volby ekosystému (Google/Microsoft/nezávislost).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Milník 4: Multi-tenancy a SaaS základ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2026-06-20T10:19:40.047Z</dcterms:created>
  <dcterms:modified xsi:type="dcterms:W3CDTF">2026-06-20T10:19:40.047Z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