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Milník 6: AI vrstva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Provider-agnostické AI adaptéry, voice-to-text záznamník, OCR, RAG Knowledge Base s verzovanou legislativou, audit AI trasování, konverzační BI s view-based bezpečností, prompt verzování, AI crawler, etický audit rozhodování.</w:t>
      </w:r>
    </w:p>
    <w:p>
      <w:pPr>
        <w:pBdr>
          <w:bottom w:val="single" w:color="1A56A0" w:sz="4" w:space="8"/>
        </w:pBdr>
      </w:pP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DF2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⚠ VAROVÁNÍ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Proč AI je až M6, ne dřív: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AI funkce jsou mocné, ale zvyšují komplexitu a náklady (token spend), a u systému pracujícího s nejcitlivějšími osobními údaji vyžadují obezřetnost navíc. M6 přichází POTÉ, co finanční vrstva (M3) a multi-tenancy (M4) běží stabilně — AI se nasazuje na ověřený základ, ne paralelně s ním.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 tento milník obsahuje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Co JE v M6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AI adaptér abstrakce (Gemini/OpenAI/Anthropic/self-hosted), voice-to-text záznamník, OCR pipeline, RAG s verzovanou legislativou, audit trasování AI, konverzační BI (text-to-SQL nad bezpečnými views), prompt verzování a A/B testy, crawler s karanténou, etický audit princip.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Co NENÍ v M6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Žádné prediktivní risk-scoring modely (ML detekce rizik) — to zůstává mimo rozsah V8 stejně jako u všech předchozích verzí. Etická vrstva (Fáze 6.8) je příprava PRO BUDOUCNOST, ne aktivace skutečného prediktivního modelu.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6.1 — AI adaptér abstrakce (provider-agnostic)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DF2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⚠ VAROVÁNÍ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Stejný princip jako storage/calendar/auth z M5: AI provider je VOLBA organizace, ne pevná architektonická závislost. DO, která chce "absolutní svobodu" i v AI, může zvolit self_hosted_llm adaptér.</w:t>
            </w:r>
          </w:p>
        </w:tc>
      </w:tr>
    </w:tbl>
    <w:p>
      <w:r>
        <w:t xml:space="preserve"/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GeminiAIAdapter implements AIAdapterInterface {
  async generateText(prompt: string, context: AIContext): Promise&lt;string&gt; { /* ... */ }
  async transcribeAudio(audioBuffer: Buffer): Promise&lt;string&gt; { /* ... */ }
}
// Alternativy implementující STEJNÝ kontrakt: OpenAIAdapter, AnthropicAdapter, SelfHostedLLMAdapter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ai_assistant_profiles.ai_integration_setting_id určuje, který adaptér konkrétní asistent používá. Výchozí pro DO bez explicitní volby: Google Gemini (nejširší ekosystémová integrace s Google Workspace, pokud ho DO již používá z M5).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Organizace s self_hosted_llm providerem pro kategorii ai úspěšně generuje shrnutí návštěvy přes lokálně běžící model, bez jakéhokoliv volání externí AI API. Přepnutí providera v konfiguraci změní, který adaptér se použije, bez nutnosti změny kódu volajícího generateText().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6.2 — Voice-to-text záznamník a OCR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KO nahraje audio → transkripce přes aktivní AI adaptér → Gemini/jiný model strukturuje text dle promptu (formální zápis, krizová rizika, akční kroky)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human-in-the-loop</w:t>
      </w:r>
      <w:r>
        <w:rPr>
          <w:rFonts w:ascii="Arial" w:cs="Arial" w:eastAsia="Arial" w:hAnsi="Arial"/>
          <w:sz w:val="20"/>
          <w:szCs w:val="20"/>
        </w:rPr>
        <w:t xml:space="preserve">: JSON se zobrazí KO ke schválení, data se NEZAPÍŠÍ do events, dokud KO nepotvrdí.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OCR pipeline (Document AI nebo ekvivalent dle providera): upload → text extrakce → AI strukturace metadat (typ dokumentu, datum, instituce, resumé) → KO in-place edituje a potvrzuje.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Nahrávka s diktovaným zápisem z návštěvy vygeneruje strukturovaný draft, který se NEOBJEVÍ na timeline rodiny, dokud KO neklikne "Uložit a potvrdit". Zrušení draftu bez potvrzení nezanechá žádnou stopu v events.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6.3 — RAG Knowledge Base s verzovanou legislativou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392B" w:sz="4"/>
              <w:left w:val="single" w:color="C0392B" w:sz="16"/>
              <w:bottom w:val="single" w:color="C0392B" w:sz="4"/>
              <w:right w:val="single" w:color="C0392B" w:sz="4"/>
            </w:tcBorders>
            <w:shd w:fill="FBEA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⛔ KRITICKÉ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Metodiky se mění, zákony se novelizují. Systém NESMÍ halucinovat na základě zrušeného zákona. Vektorové vyhledávání pustí POUZE články s valid_to IS NULL nebo valid_to &gt;= TODAY — tvrdý databázový filtr PŘED similarity search, ne spoléhání na to, že model "ví", co je aktuální.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legal_frameworks → knowledge_base_articles (s version_number, valid_from/valid_to, section_reference) → pgvector embedding. Nová novela = NOVÁ verze článku, stará dostane valid_to, nepřepisuje se.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Systémový prompt vyžaduje citaci ID článku ke každému tvrzení — pokud informace v kontextu chybí, AI odmítá odpovědět, nespekuluje.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Po vložení novely s valid_from v budoucnosti a nastavení valid_to na starou verzi k dnešnímu dni, dotaz na dané téma vrátí odpověď založenou POUZE na aktuálně platné verzi, nikdy na zastaralé, i kdyby stará verze měla vyšší similarity score.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6.4 — Audit AI trasování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ai_interaction_logs jako append-only log: přesné znění dotazu, odpovědi,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pole všech ID článků</w:t>
      </w:r>
      <w:r>
        <w:rPr>
          <w:rFonts w:ascii="Arial" w:cs="Arial" w:eastAsia="Arial" w:hAnsi="Arial"/>
          <w:sz w:val="20"/>
          <w:szCs w:val="20"/>
        </w:rPr>
        <w:t xml:space="preserve">, které AI dostala jako kontext. Pokud KO po půl roce řekne "AI mi řekla, že to můžu udělat", Ředitel přesně dohledá, na čem AI tvrzení postavila.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Každý RAG dotaz vygeneruje záznam v ai_interaction_logs s retrieved_article_ids obsahujícím skutečně použité články. Smazání/úprava tohoto logu není možná přes běžné API (append-only, žádný UPDATE/DELETE endpoint).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6.5 — Konverzační BI (view-based bezpečnost)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392B" w:sz="4"/>
              <w:left w:val="single" w:color="C0392B" w:sz="16"/>
              <w:bottom w:val="single" w:color="C0392B" w:sz="4"/>
              <w:right w:val="single" w:color="C0392B" w:sz="4"/>
            </w:tcBorders>
            <w:shd w:fill="FBEA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⛔ KRITICKÉ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Architektonicky nejdůležitější bod celého AI milníku.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LLM NESMÍ mít přímý přístup k databázi a nesmí být jediným strážcem oprávnění. Bezpečnost je vlastností DATABÁZE (RLS), ne kroku v aplikační logice.</w:t>
            </w:r>
          </w:p>
        </w:tc>
      </w:tr>
    </w:tbl>
    <w:p>
      <w:r>
        <w:t xml:space="preserve"/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CREATE VIEW ai_bi_finance_view AS SELECT ... FROM payment_documents pd
LEFT JOIN households h ON pd.household_id = h.id
LEFT JOIN providers pr ON pd.provider_id = pr.id;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Workflow: uživatel napíše dotaz přirozeným jazykem → backend pošle AI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pouze DDL strukturu povolených views</w:t>
      </w:r>
      <w:r>
        <w:rPr>
          <w:rFonts w:ascii="Arial" w:cs="Arial" w:eastAsia="Arial" w:hAnsi="Arial"/>
          <w:sz w:val="20"/>
          <w:szCs w:val="20"/>
        </w:rPr>
        <w:t xml:space="preserve"> (ne celé schéma) → AI vygeneruje čistý SELECT → backend zkontroluje zakázané klauzule (DROP/UPDATE/INSERT)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dotaz se spustí POD AUTH TOKENEM AKTUÁLNÍHO UŽIVATELE</w:t>
      </w:r>
      <w:r>
        <w:rPr>
          <w:rFonts w:ascii="Arial" w:cs="Arial" w:eastAsia="Arial" w:hAnsi="Arial"/>
          <w:sz w:val="20"/>
          <w:szCs w:val="20"/>
        </w:rPr>
        <w:t xml:space="preserve">, ne administrátorského účtu → PostgreSQL RLS automaticky vyfiltruje výsledek.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Pěstoun v Klientské zóně (M8) s aktivním ai.use_chatbot se zeptá na "kolik dluží jiná rodina" — AI vygeneruje syntakticky validní SQL, ale RLS vrátí 0 řádků, protože pěstoun nemá přístup k cizí domácnosti, BEZ OHLEDU na obsah vygenerovaného dotazu. Tento test se provádí záměrně s "útočným" promptem navrženým k obejití omezení.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6.6 — Prompt verzování a A/B testování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ai_prompt_versions se stejným principem jako template_versions (M2.6) — prompty se MĖNÍ v čase a stará verze musí zůstat dohledatelná pro zpětné vysvětlení AI chování. ai_prompt_ab_tests umožňuje testovat dvě verze promptu na části provozu s měřením kvality (user_approval_rate).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Aktivace A/B testu rozdělí 50 % požadavků na verzi A, 50 % na verzi B, výsledky se zaznamenávají odděleně, a po skončení testu lze určit winner_version_id na základě zvolené metriky.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6.7 — AI Crawler a karanténa zdrojů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knowledge_base_sources s periodickým crawlováním URL (SHA-256 hash detekce změny) → crawler_discovered_assets se statusem pending_approval → metodik schvaluje PŘED tím, než AI boti k novému obsahu získají přístup.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Změna obsahu sledované URL vytvoří záznam v knowledge_base_sync_logs s requires_admin_approval = TRUE, nový obsah se NEPROPÍŠE do vektorové databáze, dokud metodik explicitně neschválí.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6.8 — Etický audit AI rozhodování (princip a příprava)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0" w:sz="4"/>
              <w:left w:val="single" w:color="1A56A0" w:sz="16"/>
              <w:bottom w:val="single" w:color="1A56A0" w:sz="4"/>
              <w:right w:val="single" w:color="1A56A0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ℹ INFO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Toto je datová a procesní PŘÍPRAVA, ne aktivace prediktivního modelu. Predikce rizika u dětí v pěstounské péči je extrémně citlivá oblast. Pokud se v budoucnu implementuje (mimo rozsah V8), tato infrastruktura zajišťuje, že to bude transparentní od prvního dne.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ai_decision_explanations (lidsky čitelné shrnutí "proč AI takto rozhodla" + contributing_factors) a ai_decision_disputes (formální cesta ke zpochybnění algoritmického rozhodnutí, ne "smazat upozornění a jít dál").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Datový model umožňuje zaznamenat AI rozhodnutí s vysvětlením a následně podat formální dispute, který má vlastní review proces s výsledkem (upheld/overturned/partially_revised). Žádný skutečný prediktivní model není v tomto milníku aktivován — test ověřuje JEN infrastrukturu.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Souhrnný GATE pro M6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Regresní sada M1–M5 stále projde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AI funkce jsou VŽDY vypnutelné/volitelné per DO a per tarif (feature flags z M4.3)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View-based bezpečnost AI BI ověřena "útočným" testem s pokusem o obejití RLS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RAG nikdy nevrátí odpověď založenou na zastaralé legislativě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Human-in-the-loop potvrzen — žádný AI výstup se nezapíše do dat bez explicitního potvrzení člověkem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Pokračuj Milníkem 7 — analytika, měření a benchmarking.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Strana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FosterFlow — Master Blueprint v8</w:t>
    </w:r>
    <w:r>
      <w:rPr>
        <w:rFonts w:ascii="Arial" w:cs="Arial" w:eastAsia="Arial" w:hAnsi="Arial"/>
        <w:color w:val="AAAAAA"/>
        <w:sz w:val="16"/>
        <w:szCs w:val="16"/>
      </w:rPr>
      <w:t xml:space="preserve">     |     Milník 6: AI vrstva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1A56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2026-06-20T10:19:40.485Z</dcterms:created>
  <dcterms:modified xsi:type="dcterms:W3CDTF">2026-06-20T10:19:40.485Z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