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400"/>
      </w:pPr>
      <w:r>
        <w:rPr>
          <w:rFonts w:ascii="Arial" w:cs="Arial" w:eastAsia="Arial" w:hAnsi="Arial"/>
          <w:b/>
          <w:bCs/>
          <w:color w:val="1A56A0"/>
          <w:sz w:val="36"/>
          <w:szCs w:val="36"/>
        </w:rPr>
        <w:t xml:space="preserve">Milník 10: Dlouhověkost, otevřenost a ekosystém</w:t>
      </w:r>
    </w:p>
    <w:p>
      <w:pPr>
        <w:spacing w:after="30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Formální migrační systém, plugin/extension architektura, deprecation politika, dlouhodobá stabilita veřejného API, příprava na app marketplace. Pojistka pro 15-20 let evoluce systému.</w:t>
      </w:r>
    </w:p>
    <w:p>
      <w:pPr>
        <w:pBdr>
          <w:bottom w:val="single" w:color="1A56A0" w:sz="4" w:space="8"/>
        </w:pBdr>
      </w:pPr>
    </w:p>
    <w:p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1A56A0" w:sz="4"/>
              <w:left w:val="single" w:color="1A56A0" w:sz="16"/>
              <w:bottom w:val="single" w:color="1A56A0" w:sz="4"/>
              <w:right w:val="single" w:color="1A56A0" w:sz="4"/>
            </w:tcBorders>
            <w:shd w:fill="D6E4F0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A56A0"/>
                <w:sz w:val="16"/>
                <w:szCs w:val="16"/>
              </w:rPr>
              <w:t xml:space="preserve">ℹ INFO</w:t>
            </w:r>
          </w:p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Proč tento milník existuje samostatně: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Systém má za sebou M1–M9 v produkci. Tady se neřeší nová funkčnost pro uživatele, ale </w:t>
            </w: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proces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, jak bude systém zvládat budoucí, dnes nepředvídatelné požadavky bez nutnosti přepisovat jádro nebo rozbíjet existující integrace. Toto je investice do schopnosti systému růst, ne do konkrétní funkce.</w:t>
            </w:r>
          </w:p>
        </w:tc>
      </w:tr>
    </w:tbl>
    <w:p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Co tento milník obsahuje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6C3483"/>
          <w:sz w:val="22"/>
          <w:szCs w:val="22"/>
        </w:rPr>
        <w:t xml:space="preserve">Co JE v M10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Formální migrační nástroj nahrazující jednorázový schema.sql přístup, plugin/extension architektura s definovanými extension points, deprecation politika s vynucenými lhůtami, dlouhodobá stabilita veřejného API, příprava na app marketplace.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color w:val="6C3483"/>
          <w:sz w:val="22"/>
          <w:szCs w:val="22"/>
        </w:rPr>
        <w:t xml:space="preserve">Co NENÍ v M10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Skutečně spuštěný veřejný marketplace s platbami třetím vývojářům — to je byznysové rozhodnutí nad rámec tohoto Blueprintu, M10.5 jen připravuje technické předpoklady.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Fáze 10.1 — Formální migrační systém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E67E22" w:sz="4"/>
              <w:left w:val="single" w:color="E67E22" w:sz="16"/>
              <w:bottom w:val="single" w:color="E67E22" w:sz="4"/>
              <w:right w:val="single" w:color="E67E22" w:sz="4"/>
            </w:tcBorders>
            <w:shd w:fill="FDF2E3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E67E22"/>
                <w:sz w:val="16"/>
                <w:szCs w:val="16"/>
              </w:rPr>
              <w:t xml:space="preserve">⚠ VAROVÁNÍ</w:t>
            </w:r>
          </w:p>
          <w:p>
            <w:pPr>
              <w:spacing w:after="80" w:before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schema.sql jako jednorázový skript byl vhodný pro M1 start, ale neudržitelný pro systém běžící roky s desítkami inkrementálních změn. Od této fáze every schema change prochází migračním nástrojem (např. Supabase Migrations CLI nebo ekvivalent) s číslovanými, verzovanými migračními soubory.</w:t>
            </w:r>
          </w:p>
        </w:tc>
      </w:tr>
    </w:tbl>
    <w:p>
      <w:r>
        <w:t xml:space="preserve"/>
      </w:r>
    </w:p>
    <w:p>
      <w:pPr>
        <w:shd w:fill="1E1E1E" w:val="clear"/>
        <w:spacing w:after="120" w:before="12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migrations/
  0001_initial_schema.sql       (odpovídá M1.2-M1.15 stavu)
  0002_court_agenda.sql          (M2.1)
  ...
  0058_public_api_clients.sql    (M9.2)
  0059_plugin_architecture.sql   (M10.2)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Každá migrace je ALTER/CREATE, NIKDY destruktivní DROP bez explicitního schválení a záznamu v deprecation_registry (Fáze 10.3).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1E8449" w:sz="4"/>
              <w:left w:val="single" w:color="1E8449" w:sz="16"/>
              <w:bottom w:val="single" w:color="1E8449" w:sz="4"/>
              <w:right w:val="single" w:color="1E8449" w:sz="4"/>
            </w:tcBorders>
            <w:shd w:fill="E8F6EF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E8449"/>
                <w:sz w:val="16"/>
                <w:szCs w:val="16"/>
              </w:rPr>
              <w:t xml:space="preserve">✓ ACCEPTANCE TEST</w:t>
            </w:r>
          </w:p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Acceptance test: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Čerstvá databáze postavená přehráním VŠECH migrací 0001 až N je bit-for-bit ekvivalentní (stejné tabulky, typy, constrainty) jako produkční databáze v aktuálním stavu. Žádná migrace v historii neobsahuje nevysvětlený DROP TABLE/DROP COLUMN bez odpovídajícího záznamu v deprecation_registry.</w:t>
            </w:r>
          </w:p>
        </w:tc>
      </w:tr>
    </w:tbl>
    <w:p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Fáze 10.2 — Plugin/extension architektura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C0392B" w:sz="4"/>
              <w:left w:val="single" w:color="C0392B" w:sz="16"/>
              <w:bottom w:val="single" w:color="C0392B" w:sz="4"/>
              <w:right w:val="single" w:color="C0392B" w:sz="4"/>
            </w:tcBorders>
            <w:shd w:fill="FBEAEA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C0392B"/>
                <w:sz w:val="16"/>
                <w:szCs w:val="16"/>
              </w:rPr>
              <w:t xml:space="preserve">⛔ KRITICKÉ</w:t>
            </w:r>
          </w:p>
          <w:p>
            <w:pPr>
              <w:spacing w:after="80" w:before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Pluginy NESMÍ mít přímý databázový přístup ani schopnost měnit schéma. Komunikují POUZE přes definované extension_points (analogie WordPress hooks) nebo přes veřejné API z M9 se scope omezením.</w:t>
            </w:r>
          </w:p>
        </w:tc>
      </w:tr>
    </w:tbl>
    <w:p>
      <w:r>
        <w:t xml:space="preserve"/>
      </w:r>
    </w:p>
    <w:p>
      <w:pPr>
        <w:shd w:fill="1E1E1E" w:val="clear"/>
        <w:spacing w:after="120" w:before="12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CREATE TABLE extension_points (
    point_key TEXT NOT NULL UNIQUE,  -- 'after_event_created', 'before_payment_approval'
    payload_schema JSONB NOT NULL    -- co plugin obdrží jako vstup
);
CREATE TABLE plugin_extension_registrations (
    plugin_id UUID REFERENCES installed_plugins(id),
    extension_point_id UUID REFERENCES extension_points(id),
    handler_config JSONB NOT NULL,   -- webhook URL nebo interní handler reference
    priority INT DEFAULT 100
);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1A56A0" w:sz="4"/>
              <w:left w:val="single" w:color="1A56A0" w:sz="16"/>
              <w:bottom w:val="single" w:color="1A56A0" w:sz="4"/>
              <w:right w:val="single" w:color="1A56A0" w:sz="4"/>
            </w:tcBorders>
            <w:shd w:fill="D6E4F0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A56A0"/>
                <w:sz w:val="16"/>
                <w:szCs w:val="16"/>
              </w:rPr>
              <w:t xml:space="preserve">ℹ INFO</w:t>
            </w:r>
          </w:p>
          <w:p>
            <w:pPr>
              <w:spacing w:after="80" w:before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Toto je architektonická pojistka pro 20letou životnost. Nový požadavek DO, který nikdo nepředvídal, se řeší NOVÝM PLUGINEM na existujícím extension_point, nebo formálním návrhem NOVÉHO extension_point — nikdy ad-hoc zásahem do jádra.</w:t>
            </w:r>
          </w:p>
        </w:tc>
      </w:tr>
    </w:tbl>
    <w:p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1E8449" w:sz="4"/>
              <w:left w:val="single" w:color="1E8449" w:sz="16"/>
              <w:bottom w:val="single" w:color="1E8449" w:sz="4"/>
              <w:right w:val="single" w:color="1E8449" w:sz="4"/>
            </w:tcBorders>
            <w:shd w:fill="E8F6EF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E8449"/>
                <w:sz w:val="16"/>
                <w:szCs w:val="16"/>
              </w:rPr>
              <w:t xml:space="preserve">✓ ACCEPTANCE TEST</w:t>
            </w:r>
          </w:p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Acceptance test: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Vytvoření testovacího pluginu registrovaného na after_event_created extension_point se spustí při každém vytvoření události a obdrží payload přesně dle payload_schema, BEZ přímého SQL přístupu k tabulce events.</w:t>
            </w:r>
          </w:p>
        </w:tc>
      </w:tr>
    </w:tbl>
    <w:p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Fáze 10.3 — Deprecation politika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C0392B" w:sz="4"/>
              <w:left w:val="single" w:color="C0392B" w:sz="16"/>
              <w:bottom w:val="single" w:color="C0392B" w:sz="4"/>
              <w:right w:val="single" w:color="C0392B" w:sz="4"/>
            </w:tcBorders>
            <w:shd w:fill="FBEAEA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C0392B"/>
                <w:sz w:val="16"/>
                <w:szCs w:val="16"/>
              </w:rPr>
              <w:t xml:space="preserve">⛔ KRITICKÉ</w:t>
            </w:r>
          </w:p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Pravidlo bez výjimky: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žádné pole, tabulka nebo endpoint se nesmí smazat bez záznamu v deprecation_registry s sunset_date minimálně 2 milníky v budoucnosti od deprecated_in_version.</w:t>
            </w:r>
          </w:p>
        </w:tc>
      </w:tr>
    </w:tbl>
    <w:p>
      <w:r>
        <w:t xml:space="preserve"/>
      </w:r>
    </w:p>
    <w:p>
      <w:pPr>
        <w:shd w:fill="1E1E1E" w:val="clear"/>
        <w:spacing w:after="120" w:before="120"/>
      </w:pPr>
      <w:r>
        <w:rPr>
          <w:rFonts w:ascii="Courier New" w:cs="Courier New" w:eastAsia="Courier New" w:hAnsi="Courier New"/>
          <w:color w:val="D4D4D4"/>
          <w:sz w:val="16"/>
          <w:szCs w:val="16"/>
        </w:rPr>
        <w:t xml:space="preserve">CREATE TABLE deprecation_registry (
    target_type deprecation_target_type NOT NULL,  -- 'column','table','api_endpoint','enum_value'
    target_identifier TEXT NOT NULL,
    deprecated_in_version TEXT NOT NULL,
    reason TEXT NOT NULL,
    replacement TEXT,
    sunset_date DATE NOT NULL,
    is_removed BOOLEAN DEFAULT FALSE
);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Toto nahrazuje tiché mazání, které by za 20 let vedlo k nedohledatelným breaking changes pro existující integrace (veřejné API z M9) i interní kód.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1E8449" w:sz="4"/>
              <w:left w:val="single" w:color="1E8449" w:sz="16"/>
              <w:bottom w:val="single" w:color="1E8449" w:sz="4"/>
              <w:right w:val="single" w:color="1E8449" w:sz="4"/>
            </w:tcBorders>
            <w:shd w:fill="E8F6EF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E8449"/>
                <w:sz w:val="16"/>
                <w:szCs w:val="16"/>
              </w:rPr>
              <w:t xml:space="preserve">✓ ACCEPTANCE TEST</w:t>
            </w:r>
          </w:p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Acceptance test: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Pokus o DROP COLUMN v migraci BEZ odpovídajícího záznamu v deprecation_registry je odhalen automatizovanou kontrolou v CI pipeline (lint pravidlo nad migračními soubory) a build selže.</w:t>
            </w:r>
          </w:p>
        </w:tc>
      </w:tr>
    </w:tbl>
    <w:p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Fáze 10.4 — Dlouhodobá stabilita veřejného API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Návazně na public_api_versions z M9.1: formální politika, že verze ve stavu deprecated zůstává funkční minimálně 12 měsíců před sunset. Partneři napojení přes M9 dostávají automatickou notifikaci (webhook api_version.deprecated) při změně stavu.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1E8449" w:sz="4"/>
              <w:left w:val="single" w:color="1E8449" w:sz="16"/>
              <w:bottom w:val="single" w:color="1E8449" w:sz="4"/>
              <w:right w:val="single" w:color="1E8449" w:sz="4"/>
            </w:tcBorders>
            <w:shd w:fill="E8F6EF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E8449"/>
                <w:sz w:val="16"/>
                <w:szCs w:val="16"/>
              </w:rPr>
              <w:t xml:space="preserve">✓ ACCEPTANCE TEST</w:t>
            </w:r>
          </w:p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Acceptance test: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Nastavení public_api_versions.status = 'deprecated' pro /v1/ automaticky odešle webhook všem aktivním external_api_clients používajícím tuto verzi, a /v1/ zůstává funkční po definovanou dobu, ne okamžitě zrušená.</w:t>
            </w:r>
          </w:p>
        </w:tc>
      </w:tr>
    </w:tbl>
    <w:p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Fáze 10.5 — Příprava na app marketplace (volitelné, technická příprava)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1A56A0" w:sz="4"/>
              <w:left w:val="single" w:color="1A56A0" w:sz="16"/>
              <w:bottom w:val="single" w:color="1A56A0" w:sz="4"/>
              <w:right w:val="single" w:color="1A56A0" w:sz="4"/>
            </w:tcBorders>
            <w:shd w:fill="D6E4F0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A56A0"/>
                <w:sz w:val="16"/>
                <w:szCs w:val="16"/>
              </w:rPr>
              <w:t xml:space="preserve">ℹ INFO</w:t>
            </w:r>
          </w:p>
          <w:p>
            <w:pPr>
              <w:spacing w:after="80" w:before="8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Toto NENÍ aktivace skutečného obchodu s platbami třetím vývojářům — to je byznysové rozhodnutí mimo rozsah tohoto Blueprintu. Fáze 10.5 jen zajišťuje, že installed_plugins a extension_points infrastruktura z Fáze 10.2 by technicky UNESLA budoucí marketplace (katalog pluginů, hodnocení, instalace jedním kliknutím), pokud se k tomu provozovatel v budoucnu rozhodne.</w:t>
            </w:r>
          </w:p>
        </w:tc>
      </w:tr>
    </w:tbl>
    <w:p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1E8449" w:sz="4"/>
              <w:left w:val="single" w:color="1E8449" w:sz="16"/>
              <w:bottom w:val="single" w:color="1E8449" w:sz="4"/>
              <w:right w:val="single" w:color="1E8449" w:sz="4"/>
            </w:tcBorders>
            <w:shd w:fill="E8F6EF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b/>
                <w:bCs/>
                <w:color w:val="1E8449"/>
                <w:sz w:val="16"/>
                <w:szCs w:val="16"/>
              </w:rPr>
              <w:t xml:space="preserve">✓ ACCEPTANCE TEST</w:t>
            </w:r>
          </w:p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Acceptance test: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Datový model installed_plugins/extension_points neobsahuje žádné architektonické rozhodnutí, které by znemožnilo budoucí přidání plugin_marketplace_listings tabulky (katalog) bez zásahu do existujících tabulek — pouze nová tabulka a nové API endpointy.</w:t>
            </w:r>
          </w:p>
        </w:tc>
      </w:tr>
    </w:tbl>
    <w:p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Souhrnný GATE pro M10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☐ Regresní sada M1–M9 stále projde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☐ Systém má formální, vynucený proces pro budoucí 15+ let evoluce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☐ Žádná budoucí změna nemůže tiše rozbít existující integraci bez varování (deprecation lhůta)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☐ Plugin architektura ověřena alespoň jedním funkčním testovacím pluginem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Po dokončení M10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Systém FosterFlow má nyní kompletní funkční rozsah popsaný v Master Blueprintu v8, postavený na ověřeném, bezpečném základu z M1, s formálním procesem pro vlastní budoucí evoluci. Další požadavky organizací se řeší buď novým pluginem (Fáze 10.2), nebo — pokud jde o změnu jádra — formálním návrhem nového milníku se stejnou disciplínou: gate podmínky, regresní testy, žádné tiché breaking changes.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A56A0" w:sz="4" w:space="4"/>
      </w:pBdr>
      <w:jc w:val="center"/>
    </w:pPr>
    <w:r>
      <w:rPr>
        <w:rFonts w:ascii="Arial" w:cs="Arial" w:eastAsia="Arial" w:hAnsi="Arial"/>
        <w:color w:val="666666"/>
        <w:sz w:val="16"/>
        <w:szCs w:val="16"/>
      </w:rPr>
      <w:t xml:space="preserve">Strana </w:t>
    </w:r>
    <w:r>
      <w:rPr>
        <w:rFonts w:ascii="Arial" w:cs="Arial" w:eastAsia="Arial" w:hAnsi="Arial"/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A56A0" w:sz="4" w:space="4"/>
      </w:pBdr>
    </w:pPr>
    <w:r>
      <w:rPr>
        <w:rFonts w:ascii="Arial" w:cs="Arial" w:eastAsia="Arial" w:hAnsi="Arial"/>
        <w:color w:val="666666"/>
        <w:sz w:val="16"/>
        <w:szCs w:val="16"/>
      </w:rPr>
      <w:t xml:space="preserve">FosterFlow — Master Blueprint v8</w:t>
    </w:r>
    <w:r>
      <w:rPr>
        <w:rFonts w:ascii="Arial" w:cs="Arial" w:eastAsia="Arial" w:hAnsi="Arial"/>
        <w:color w:val="AAAAAA"/>
        <w:sz w:val="16"/>
        <w:szCs w:val="16"/>
      </w:rPr>
      <w:t xml:space="preserve">     |     Milník 10: Dlouhověkost, otevřenost a ekosystém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1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</w:pPr>
    <w:rPr>
      <w:rFonts w:ascii="Arial" w:cs="Arial" w:eastAsia="Arial" w:hAnsi="Arial"/>
      <w:b/>
      <w:bCs/>
      <w:color w:val="1A56A0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50" w:before="300"/>
    </w:pPr>
    <w:rPr>
      <w:rFonts w:ascii="Arial" w:cs="Arial" w:eastAsia="Arial" w:hAnsi="Arial"/>
      <w:b/>
      <w:bCs/>
      <w:color w:val="1A1A1A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00"/>
    </w:pPr>
    <w:rPr>
      <w:rFonts w:ascii="Arial" w:cs="Arial" w:eastAsia="Arial" w:hAnsi="Arial"/>
      <w:b/>
      <w:bCs/>
      <w:color w:val="1A56A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2026-06-20T10:19:41.253Z</dcterms:created>
  <dcterms:modified xsi:type="dcterms:W3CDTF">2026-06-20T10:19:41.253Z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