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74A4" w14:textId="5B8DBF27" w:rsidR="003B6CE4" w:rsidRPr="00393D5D" w:rsidRDefault="00046D04" w:rsidP="00046D0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3D5D">
        <w:rPr>
          <w:rFonts w:ascii="Times New Roman" w:hAnsi="Times New Roman" w:cs="Times New Roman"/>
          <w:b/>
          <w:bCs/>
          <w:u w:val="single"/>
        </w:rPr>
        <w:t>Short SaMD Design Project Report:</w:t>
      </w:r>
    </w:p>
    <w:p w14:paraId="40A4B2D5" w14:textId="71C4CE29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Final SaMD technology title:</w:t>
      </w:r>
    </w:p>
    <w:p w14:paraId="19B7447D" w14:textId="6B4620A7" w:rsidR="00046D04" w:rsidRP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2708">
        <w:rPr>
          <w:rFonts w:ascii="Times New Roman" w:hAnsi="Times New Roman" w:cs="Times New Roman"/>
        </w:rPr>
        <w:t>PhenoMap</w:t>
      </w:r>
      <w:proofErr w:type="spellEnd"/>
    </w:p>
    <w:p w14:paraId="15FAEDFE" w14:textId="77777777" w:rsidR="00D82708" w:rsidRPr="00393D5D" w:rsidRDefault="00046D04" w:rsidP="00D82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 xml:space="preserve">Final </w:t>
      </w:r>
      <w:proofErr w:type="gramStart"/>
      <w:r w:rsidRPr="00393D5D">
        <w:rPr>
          <w:rFonts w:ascii="Times New Roman" w:hAnsi="Times New Roman" w:cs="Times New Roman"/>
          <w:b/>
          <w:bCs/>
        </w:rPr>
        <w:t>intended use</w:t>
      </w:r>
      <w:proofErr w:type="gramEnd"/>
      <w:r w:rsidRPr="00393D5D">
        <w:rPr>
          <w:rFonts w:ascii="Times New Roman" w:hAnsi="Times New Roman" w:cs="Times New Roman"/>
          <w:b/>
          <w:bCs/>
        </w:rPr>
        <w:t xml:space="preserve"> statement</w:t>
      </w:r>
      <w:r w:rsidR="004E4020" w:rsidRPr="00393D5D">
        <w:rPr>
          <w:rFonts w:ascii="Times New Roman" w:hAnsi="Times New Roman" w:cs="Times New Roman"/>
          <w:b/>
          <w:bCs/>
        </w:rPr>
        <w:t>s</w:t>
      </w:r>
      <w:r w:rsidRPr="00393D5D">
        <w:rPr>
          <w:rFonts w:ascii="Times New Roman" w:hAnsi="Times New Roman" w:cs="Times New Roman"/>
          <w:b/>
          <w:bCs/>
        </w:rPr>
        <w:t>:</w:t>
      </w:r>
    </w:p>
    <w:p w14:paraId="2880E317" w14:textId="1B498151" w:rsidR="00046D04" w:rsidRPr="00D82708" w:rsidRDefault="00D82708" w:rsidP="00D8270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82708">
        <w:rPr>
          <w:rFonts w:ascii="Times New Roman" w:hAnsi="Times New Roman" w:cs="Times New Roman"/>
          <w:color w:val="000000"/>
        </w:rPr>
        <w:t>PhenoMap</w:t>
      </w:r>
      <w:proofErr w:type="spellEnd"/>
      <w:r w:rsidRPr="00D82708">
        <w:rPr>
          <w:rFonts w:ascii="Times New Roman" w:hAnsi="Times New Roman" w:cs="Times New Roman"/>
          <w:color w:val="000000"/>
        </w:rPr>
        <w:t xml:space="preserve"> is a Software as a Medical Device (SaMD) intended for use by pediatric intensive care clinicians and neurosurgeons to identify and visualize objective biological sub</w:t>
      </w:r>
      <w:r w:rsidR="00393D5D">
        <w:rPr>
          <w:rFonts w:ascii="Times New Roman" w:hAnsi="Times New Roman" w:cs="Times New Roman"/>
          <w:color w:val="000000"/>
        </w:rPr>
        <w:t>-</w:t>
      </w:r>
      <w:r w:rsidRPr="00D82708">
        <w:rPr>
          <w:rFonts w:ascii="Times New Roman" w:hAnsi="Times New Roman" w:cs="Times New Roman"/>
          <w:color w:val="000000"/>
        </w:rPr>
        <w:t>phenotypes in pediatric patients. Th</w:t>
      </w:r>
      <w:r w:rsidR="00393D5D">
        <w:rPr>
          <w:rFonts w:ascii="Times New Roman" w:hAnsi="Times New Roman" w:cs="Times New Roman"/>
          <w:color w:val="000000"/>
        </w:rPr>
        <w:t>is</w:t>
      </w:r>
      <w:r w:rsidRPr="00D82708">
        <w:rPr>
          <w:rFonts w:ascii="Times New Roman" w:hAnsi="Times New Roman" w:cs="Times New Roman"/>
          <w:color w:val="000000"/>
        </w:rPr>
        <w:t xml:space="preserve"> technology specifically analyzes temporal dynamics of neuro-specific inflammasomes alongside CNS biomarkers (at 0h and 24h) to group patients into data-driven recovery trajectories that may be invisible to traditional clinical assessments like the Glasgow Coma Scale (GCS). It is designed to be utilized within the first 24 hours following a traumatic brain injury (TBI), exclusively within tertiary trauma centers, emergency rooms, and pediatric intensive care units (PICUs). Clinicians will access the technology via a MATLAB-based graphical user interface (GUI) to review cluster assignments and feature importance to inform personalized neuro-protective strategies. </w:t>
      </w:r>
    </w:p>
    <w:p w14:paraId="443FA0D0" w14:textId="4E250D85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Proposed risk-based device classification:</w:t>
      </w:r>
    </w:p>
    <w:p w14:paraId="3E94D399" w14:textId="1633D0D4" w:rsidR="00046D04" w:rsidRP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II</w:t>
      </w:r>
      <w:r w:rsidR="00393D5D">
        <w:rPr>
          <w:rFonts w:ascii="Times New Roman" w:hAnsi="Times New Roman" w:cs="Times New Roman"/>
        </w:rPr>
        <w:t>.</w:t>
      </w:r>
    </w:p>
    <w:p w14:paraId="58091BF6" w14:textId="6E8663A1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Proposed regulatory pathway:</w:t>
      </w:r>
    </w:p>
    <w:p w14:paraId="53DF6B90" w14:textId="76ED720F" w:rsidR="00046D04" w:rsidRP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Novo classification </w:t>
      </w:r>
      <w:r w:rsidR="00393D5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equest</w:t>
      </w:r>
      <w:r w:rsidR="00393D5D">
        <w:rPr>
          <w:rFonts w:ascii="Times New Roman" w:hAnsi="Times New Roman" w:cs="Times New Roman"/>
        </w:rPr>
        <w:t>.</w:t>
      </w:r>
    </w:p>
    <w:p w14:paraId="70828262" w14:textId="3D2E6641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Overview of final ML approach:</w:t>
      </w:r>
    </w:p>
    <w:p w14:paraId="2F627CDE" w14:textId="7863B08C" w:rsidR="00046D04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SaMD uses an unsupervised to supervised pipeline.</w:t>
      </w:r>
    </w:p>
    <w:p w14:paraId="1EDE7988" w14:textId="77777777" w:rsid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 xml:space="preserve">Dimensionality Reduction: Principal Component Analysis (PCA) is used to reduce high-dimensional biomarker data (inflammasomes and clinical </w:t>
      </w:r>
      <w:r>
        <w:rPr>
          <w:rFonts w:ascii="Times New Roman" w:hAnsi="Times New Roman" w:cs="Times New Roman"/>
        </w:rPr>
        <w:t>information</w:t>
      </w:r>
      <w:r w:rsidRPr="00D82708">
        <w:rPr>
          <w:rFonts w:ascii="Times New Roman" w:hAnsi="Times New Roman" w:cs="Times New Roman"/>
        </w:rPr>
        <w:t>), retaining components explaining &gt;80% of total variance.</w:t>
      </w:r>
    </w:p>
    <w:p w14:paraId="6F231623" w14:textId="1313C082" w:rsid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 xml:space="preserve">Clustering: Partitioning Around Medoids (PAM) with k=3 </w:t>
      </w:r>
      <w:r>
        <w:rPr>
          <w:rFonts w:ascii="Times New Roman" w:hAnsi="Times New Roman" w:cs="Times New Roman"/>
        </w:rPr>
        <w:t>(compared to k=</w:t>
      </w:r>
      <w:r w:rsidR="00393D5D">
        <w:rPr>
          <w:rFonts w:ascii="Times New Roman" w:hAnsi="Times New Roman" w:cs="Times New Roman"/>
        </w:rPr>
        <w:t>6 (</w:t>
      </w:r>
      <w:r>
        <w:rPr>
          <w:rFonts w:ascii="Times New Roman" w:hAnsi="Times New Roman" w:cs="Times New Roman"/>
        </w:rPr>
        <w:t>optimal</w:t>
      </w:r>
      <w:r w:rsidR="00393D5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) </w:t>
      </w:r>
      <w:r w:rsidRPr="00D82708">
        <w:rPr>
          <w:rFonts w:ascii="Times New Roman" w:hAnsi="Times New Roman" w:cs="Times New Roman"/>
        </w:rPr>
        <w:t>was implemented on PCA scores to ensure robust, deterministic phenotype assignment.</w:t>
      </w:r>
    </w:p>
    <w:p w14:paraId="6C845324" w14:textId="77777777" w:rsidR="00D82708" w:rsidRDefault="00D82708" w:rsidP="00D8270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 xml:space="preserve">Interpretability: A Random Forest </w:t>
      </w:r>
      <w:r>
        <w:rPr>
          <w:rFonts w:ascii="Times New Roman" w:hAnsi="Times New Roman" w:cs="Times New Roman"/>
        </w:rPr>
        <w:t>“</w:t>
      </w:r>
      <w:r w:rsidRPr="00D82708">
        <w:rPr>
          <w:rFonts w:ascii="Times New Roman" w:hAnsi="Times New Roman" w:cs="Times New Roman"/>
        </w:rPr>
        <w:t>One-vs-Rest</w:t>
      </w:r>
      <w:r>
        <w:rPr>
          <w:rFonts w:ascii="Times New Roman" w:hAnsi="Times New Roman" w:cs="Times New Roman"/>
        </w:rPr>
        <w:t>”</w:t>
      </w:r>
      <w:r w:rsidRPr="00D82708">
        <w:rPr>
          <w:rFonts w:ascii="Times New Roman" w:hAnsi="Times New Roman" w:cs="Times New Roman"/>
        </w:rPr>
        <w:t xml:space="preserve"> analysis identifies top feature drivers (e.g., NFL, Weight, Age) to provide clinical transparency for each cluster assignment.</w:t>
      </w:r>
    </w:p>
    <w:p w14:paraId="59D0D785" w14:textId="705D2949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Overview of final ML performance metrics:</w:t>
      </w:r>
    </w:p>
    <w:p w14:paraId="033F2CD3" w14:textId="43A069E3" w:rsidR="00393D5D" w:rsidRPr="00393D5D" w:rsidRDefault="00393D5D" w:rsidP="00393D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>Supervised Validation: A Random Forest classifier was trained on the cluster assignments to assess phenotype separability. The model achieved a low Out-of-Bag (OOB) error and high accuracy, confirming that the identified clusters are defined by distinct, non-overlapping biological signatures.</w:t>
      </w:r>
    </w:p>
    <w:p w14:paraId="7706AED0" w14:textId="6DEB9EFC" w:rsid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 xml:space="preserve">Prognostic Significance: The primary performance metric was the differentiation of 12-month recovery outcomes. The k=3 model achieved a significant </w:t>
      </w:r>
      <w:r w:rsidR="00393D5D">
        <w:rPr>
          <w:rFonts w:ascii="Times New Roman" w:hAnsi="Times New Roman" w:cs="Times New Roman"/>
          <w:i/>
          <w:iCs/>
        </w:rPr>
        <w:t>p</w:t>
      </w:r>
      <w:r w:rsidR="00393D5D">
        <w:rPr>
          <w:rFonts w:ascii="Times New Roman" w:hAnsi="Times New Roman" w:cs="Times New Roman"/>
        </w:rPr>
        <w:t xml:space="preserve"> =</w:t>
      </w:r>
      <w:r w:rsidRPr="00D82708">
        <w:rPr>
          <w:rFonts w:ascii="Times New Roman" w:hAnsi="Times New Roman" w:cs="Times New Roman"/>
        </w:rPr>
        <w:t xml:space="preserve"> 0.0286 (Kruskal-Wallis) for GOS-E Peds scores at </w:t>
      </w:r>
      <w:r>
        <w:rPr>
          <w:rFonts w:ascii="Times New Roman" w:hAnsi="Times New Roman" w:cs="Times New Roman"/>
        </w:rPr>
        <w:t>6 – 12 months</w:t>
      </w:r>
      <w:r w:rsidRPr="00D8270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This is then compared to the k=6 (optimal) model, which achieved a </w:t>
      </w:r>
      <w:r>
        <w:rPr>
          <w:rFonts w:ascii="Times New Roman" w:hAnsi="Times New Roman" w:cs="Times New Roman"/>
          <w:i/>
          <w:iCs/>
        </w:rPr>
        <w:t xml:space="preserve">p </w:t>
      </w:r>
      <w:r>
        <w:rPr>
          <w:rFonts w:ascii="Times New Roman" w:hAnsi="Times New Roman" w:cs="Times New Roman"/>
        </w:rPr>
        <w:t xml:space="preserve">= </w:t>
      </w:r>
      <w:r w:rsidR="00393D5D">
        <w:rPr>
          <w:rFonts w:ascii="Times New Roman" w:hAnsi="Times New Roman" w:cs="Times New Roman"/>
        </w:rPr>
        <w:t>0.0283 for GOS-E scores at 2 – 6 weeks.</w:t>
      </w:r>
    </w:p>
    <w:p w14:paraId="3DB3CCCD" w14:textId="6C691705" w:rsidR="00393D5D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>Clustering Quality: Achieved a positive average Silhouette Coefficient</w:t>
      </w:r>
      <w:r w:rsidR="00393D5D">
        <w:rPr>
          <w:rFonts w:ascii="Times New Roman" w:hAnsi="Times New Roman" w:cs="Times New Roman"/>
        </w:rPr>
        <w:t xml:space="preserve"> of 0.38 for both clustering assignments (k=3 vs. k=6 (optimal))</w:t>
      </w:r>
      <w:r w:rsidRPr="00D82708">
        <w:rPr>
          <w:rFonts w:ascii="Times New Roman" w:hAnsi="Times New Roman" w:cs="Times New Roman"/>
        </w:rPr>
        <w:t>.</w:t>
      </w:r>
    </w:p>
    <w:p w14:paraId="173593EC" w14:textId="785A5D22" w:rsidR="00046D04" w:rsidRPr="00D82708" w:rsidRDefault="00D82708" w:rsidP="00046D0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82708">
        <w:rPr>
          <w:rFonts w:ascii="Times New Roman" w:hAnsi="Times New Roman" w:cs="Times New Roman"/>
        </w:rPr>
        <w:t>Reliability: The model demonstrated 100% reproducibility in phenotype assignment using a deterministic PCA-based coordinate system.</w:t>
      </w:r>
    </w:p>
    <w:p w14:paraId="3BE8F524" w14:textId="7D787489" w:rsidR="00046D04" w:rsidRPr="00393D5D" w:rsidRDefault="00046D04" w:rsidP="00046D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93D5D">
        <w:rPr>
          <w:rFonts w:ascii="Times New Roman" w:hAnsi="Times New Roman" w:cs="Times New Roman"/>
          <w:b/>
          <w:bCs/>
        </w:rPr>
        <w:t>Overview of additional related information (as needed):</w:t>
      </w:r>
    </w:p>
    <w:p w14:paraId="60A8A916" w14:textId="2E3824B2" w:rsidR="00046D04" w:rsidRPr="00393D5D" w:rsidRDefault="00393D5D" w:rsidP="00393D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93D5D">
        <w:rPr>
          <w:rFonts w:ascii="Times New Roman" w:hAnsi="Times New Roman" w:cs="Times New Roman"/>
        </w:rPr>
        <w:t xml:space="preserve">Human-in-the-Loop (HITL): The SaMD includes a </w:t>
      </w:r>
      <w:r>
        <w:rPr>
          <w:rFonts w:ascii="Times New Roman" w:hAnsi="Times New Roman" w:cs="Times New Roman"/>
        </w:rPr>
        <w:t>“</w:t>
      </w:r>
      <w:r w:rsidRPr="00393D5D">
        <w:rPr>
          <w:rFonts w:ascii="Times New Roman" w:hAnsi="Times New Roman" w:cs="Times New Roman"/>
        </w:rPr>
        <w:t>Phenotype Fingerprint</w:t>
      </w:r>
      <w:r>
        <w:rPr>
          <w:rFonts w:ascii="Times New Roman" w:hAnsi="Times New Roman" w:cs="Times New Roman"/>
        </w:rPr>
        <w:t>”</w:t>
      </w:r>
      <w:r w:rsidRPr="00393D5D">
        <w:rPr>
          <w:rFonts w:ascii="Times New Roman" w:hAnsi="Times New Roman" w:cs="Times New Roman"/>
        </w:rPr>
        <w:t xml:space="preserve"> heatmap and </w:t>
      </w:r>
      <w:r>
        <w:rPr>
          <w:rFonts w:ascii="Times New Roman" w:hAnsi="Times New Roman" w:cs="Times New Roman"/>
        </w:rPr>
        <w:t>“</w:t>
      </w:r>
      <w:r w:rsidRPr="00393D5D">
        <w:rPr>
          <w:rFonts w:ascii="Times New Roman" w:hAnsi="Times New Roman" w:cs="Times New Roman"/>
        </w:rPr>
        <w:t>Explain Plots</w:t>
      </w:r>
      <w:r>
        <w:rPr>
          <w:rFonts w:ascii="Times New Roman" w:hAnsi="Times New Roman" w:cs="Times New Roman"/>
        </w:rPr>
        <w:t>”</w:t>
      </w:r>
      <w:r w:rsidRPr="00393D5D">
        <w:rPr>
          <w:rFonts w:ascii="Times New Roman" w:hAnsi="Times New Roman" w:cs="Times New Roman"/>
        </w:rPr>
        <w:t xml:space="preserve"> (Pareto) to allow clinicians to manually verify the AI's logic against raw patient lab values.</w:t>
      </w:r>
    </w:p>
    <w:sectPr w:rsidR="00046D04" w:rsidRPr="003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3DD"/>
    <w:multiLevelType w:val="hybridMultilevel"/>
    <w:tmpl w:val="430EEC30"/>
    <w:lvl w:ilvl="0" w:tplc="EEFC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157AEF"/>
    <w:multiLevelType w:val="multilevel"/>
    <w:tmpl w:val="CA6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23676">
    <w:abstractNumId w:val="0"/>
  </w:num>
  <w:num w:numId="2" w16cid:durableId="36209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04"/>
    <w:rsid w:val="00046D04"/>
    <w:rsid w:val="00097FE3"/>
    <w:rsid w:val="00393D5D"/>
    <w:rsid w:val="003B6CE4"/>
    <w:rsid w:val="004E4020"/>
    <w:rsid w:val="008F572B"/>
    <w:rsid w:val="00CF79EC"/>
    <w:rsid w:val="00D82708"/>
    <w:rsid w:val="00F2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472F"/>
  <w15:chartTrackingRefBased/>
  <w15:docId w15:val="{711A8B1E-7DFB-134C-9F44-8E31BE0E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Ganzer, Patrick</dc:creator>
  <cp:keywords/>
  <dc:description/>
  <cp:lastModifiedBy>Kristian, Petra Aubrianna</cp:lastModifiedBy>
  <cp:revision>3</cp:revision>
  <dcterms:created xsi:type="dcterms:W3CDTF">2025-04-04T01:25:00Z</dcterms:created>
  <dcterms:modified xsi:type="dcterms:W3CDTF">2026-05-05T23:47:00Z</dcterms:modified>
</cp:coreProperties>
</file>