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d3ba92db6494a7248297b133e1c29bef201f1b9"/>
    <w:p>
      <w:pPr>
        <w:pStyle w:val="Heading1"/>
      </w:pPr>
      <w:r>
        <w:t xml:space="preserve">Unified PLX Document and Knowledge Architecture</w:t>
      </w:r>
    </w:p>
    <w:p>
      <w:pPr>
        <w:pStyle w:val="FirstParagraph"/>
      </w:pPr>
      <w:r>
        <w:t xml:space="preserve">Executive architecture report ·</w:t>
      </w:r>
      <w:r>
        <w:t xml:space="preserve"> </w:t>
      </w:r>
      <w:r>
        <w:rPr>
          <w:rStyle w:val="VerbatimChar"/>
        </w:rPr>
        <w:t xml:space="preserve">TASK-477</w:t>
      </w:r>
      <w:r>
        <w:t xml:space="preserve"> </w:t>
      </w:r>
      <w:r>
        <w:t xml:space="preserve">· 2026-08-04</w:t>
      </w:r>
    </w:p>
    <w:p>
      <w:pPr>
        <w:pStyle w:val="BodyText"/>
      </w:pPr>
      <w:r>
        <w:t xml:space="preserve">Accountable human: Vince (</w:t>
      </w:r>
      <w:r>
        <w:rPr>
          <w:rStyle w:val="VerbatimChar"/>
        </w:rPr>
        <w:t xml:space="preserve">vince@petrasoap.com</w:t>
      </w:r>
      <w:r>
        <w:t xml:space="preserve">)</w:t>
      </w:r>
    </w:p>
    <w:bookmarkStart w:id="20" w:name="executive-decision"/>
    <w:p>
      <w:pPr>
        <w:pStyle w:val="Heading2"/>
      </w:pPr>
      <w:r>
        <w:t xml:space="preserve">Executive decision</w:t>
      </w:r>
    </w:p>
    <w:p>
      <w:pPr>
        <w:pStyle w:val="FirstParagraph"/>
      </w:pPr>
      <w:r>
        <w:t xml:space="preserve">PLX should adopt</w:t>
      </w:r>
      <w:r>
        <w:t xml:space="preserve"> </w:t>
      </w:r>
      <w:r>
        <w:rPr>
          <w:bCs/>
          <w:b/>
        </w:rPr>
        <w:t xml:space="preserve">Knowledge Ledger with Disposable Projections</w:t>
      </w:r>
      <w:r>
        <w:t xml:space="preserve">.</w:t>
      </w:r>
    </w:p>
    <w:p>
      <w:pPr>
        <w:pStyle w:val="BodyText"/>
      </w:pPr>
      <w:r>
        <w:t xml:space="preserve">Business documents and records remain authoritative in SharePoint/Microsoft 365;</w:t>
      </w:r>
      <w:r>
        <w:t xml:space="preserve"> </w:t>
      </w:r>
      <w:r>
        <w:t xml:space="preserve">customer, product, and vendor workflow state remains authoritative in Portal</w:t>
      </w:r>
      <w:r>
        <w:t xml:space="preserve"> </w:t>
      </w:r>
      <w:r>
        <w:t xml:space="preserve">gold tables; technical content remains authoritative in Git; execution remains</w:t>
      </w:r>
      <w:r>
        <w:t xml:space="preserve"> </w:t>
      </w:r>
      <w:r>
        <w:t xml:space="preserve">authoritative in Mission Control; DocuSign remains authoritative for envelope</w:t>
      </w:r>
      <w:r>
        <w:t xml:space="preserve"> </w:t>
      </w:r>
      <w:r>
        <w:t xml:space="preserve">execution evidence; registries remain authoritative for identities, tools, and</w:t>
      </w:r>
      <w:r>
        <w:t xml:space="preserve"> </w:t>
      </w:r>
      <w:r>
        <w:t xml:space="preserve">skills.</w:t>
      </w:r>
    </w:p>
    <w:p>
      <w:pPr>
        <w:pStyle w:val="BodyText"/>
      </w:pPr>
      <w:r>
        <w:t xml:space="preserve">A Postgres-first bitemporal ledger records versioned assertions, provenance,</w:t>
      </w:r>
      <w:r>
        <w:t xml:space="preserve"> </w:t>
      </w:r>
      <w:r>
        <w:t xml:space="preserve">ontology releases, ingestion/projection receipts, and tombstones. It does not</w:t>
      </w:r>
      <w:r>
        <w:t xml:space="preserve"> </w:t>
      </w:r>
      <w:r>
        <w:t xml:space="preserve">become another editable document store. Graph, vector, full-text, cache, and PLX</w:t>
      </w:r>
      <w:r>
        <w:t xml:space="preserve"> </w:t>
      </w:r>
      <w:r>
        <w:t xml:space="preserve">Second-Brain surfaces are derived, version-stamped, security-trimmed, and</w:t>
      </w:r>
      <w:r>
        <w:t xml:space="preserve"> </w:t>
      </w:r>
      <w:r>
        <w:t xml:space="preserve">rebuildable.</w:t>
      </w:r>
    </w:p>
    <w:bookmarkEnd w:id="20"/>
    <w:bookmarkStart w:id="21" w:name="why-this-architecture"/>
    <w:p>
      <w:pPr>
        <w:pStyle w:val="Heading2"/>
      </w:pPr>
      <w:r>
        <w:t xml:space="preserve">Why this architecture</w:t>
      </w:r>
    </w:p>
    <w:p>
      <w:pPr>
        <w:pStyle w:val="FirstParagraph"/>
      </w:pPr>
      <w:r>
        <w:t xml:space="preserve">PLX needs cross-system discovery and explanation without weakening ownership.</w:t>
      </w:r>
      <w:r>
        <w:t xml:space="preserve"> </w:t>
      </w:r>
      <w:r>
        <w:t xml:space="preserve">The selected pattern:</w:t>
      </w:r>
    </w:p>
    <w:p>
      <w:pPr>
        <w:numPr>
          <w:ilvl w:val="0"/>
          <w:numId w:val="1001"/>
        </w:numPr>
        <w:pStyle w:val="Compact"/>
      </w:pPr>
      <w:r>
        <w:t xml:space="preserve">identifies one canonical source and authoring return path for every object;</w:t>
      </w:r>
    </w:p>
    <w:p>
      <w:pPr>
        <w:numPr>
          <w:ilvl w:val="0"/>
          <w:numId w:val="1001"/>
        </w:numPr>
        <w:pStyle w:val="Compact"/>
      </w:pPr>
      <w:r>
        <w:t xml:space="preserve">reconstructs what was believed, when it was valid, and when PLX learned it;</w:t>
      </w:r>
    </w:p>
    <w:p>
      <w:pPr>
        <w:numPr>
          <w:ilvl w:val="0"/>
          <w:numId w:val="1001"/>
        </w:numPr>
        <w:pStyle w:val="Compact"/>
      </w:pPr>
      <w:r>
        <w:t xml:space="preserve">exposes source, revision, owner, derivation, confidence, and conflicts;</w:t>
      </w:r>
    </w:p>
    <w:p>
      <w:pPr>
        <w:numPr>
          <w:ilvl w:val="0"/>
          <w:numId w:val="1001"/>
        </w:numPr>
        <w:pStyle w:val="Compact"/>
      </w:pPr>
      <w:r>
        <w:t xml:space="preserve">lets administrators evolve business vocabulary safely in a Portal workbench;</w:t>
      </w:r>
    </w:p>
    <w:p>
      <w:pPr>
        <w:numPr>
          <w:ilvl w:val="0"/>
          <w:numId w:val="1001"/>
        </w:numPr>
        <w:pStyle w:val="Compact"/>
      </w:pPr>
      <w:r>
        <w:t xml:space="preserve">detects duplicate, stale, and contradictory content without deleting it;</w:t>
      </w:r>
    </w:p>
    <w:p>
      <w:pPr>
        <w:numPr>
          <w:ilvl w:val="0"/>
          <w:numId w:val="1001"/>
        </w:numPr>
        <w:pStyle w:val="Compact"/>
      </w:pPr>
      <w:r>
        <w:t xml:space="preserve">keeps customer/vendor and source ACL boundaries ahead of retrieval;</w:t>
      </w:r>
    </w:p>
    <w:p>
      <w:pPr>
        <w:numPr>
          <w:ilvl w:val="0"/>
          <w:numId w:val="1001"/>
        </w:numPr>
        <w:pStyle w:val="Compact"/>
      </w:pPr>
      <w:r>
        <w:t xml:space="preserve">maps retention, privacy, residency, and Part 11 controls to explicit owners;</w:t>
      </w:r>
    </w:p>
    <w:p>
      <w:pPr>
        <w:numPr>
          <w:ilvl w:val="0"/>
          <w:numId w:val="1001"/>
        </w:numPr>
        <w:pStyle w:val="Compact"/>
      </w:pPr>
      <w:r>
        <w:t xml:space="preserve">lets department heads remain accountable while teams and agents execute</w:t>
      </w:r>
      <w:r>
        <w:t xml:space="preserve"> </w:t>
      </w:r>
      <w:r>
        <w:t xml:space="preserve">within bounded, revocable autonomy;</w:t>
      </w:r>
    </w:p>
    <w:p>
      <w:pPr>
        <w:numPr>
          <w:ilvl w:val="0"/>
          <w:numId w:val="1001"/>
        </w:numPr>
        <w:pStyle w:val="Compact"/>
      </w:pPr>
      <w:r>
        <w:t xml:space="preserve">turns the roadmap into schema-validated milestones, dependencies, tasks,</w:t>
      </w:r>
      <w:r>
        <w:t xml:space="preserve"> </w:t>
      </w:r>
      <w:r>
        <w:t xml:space="preserve">risks, gates, and evidence.</w:t>
      </w:r>
    </w:p>
    <w:bookmarkEnd w:id="21"/>
    <w:bookmarkStart w:id="22" w:name="architecture-at-a-glance"/>
    <w:p>
      <w:pPr>
        <w:pStyle w:val="Heading2"/>
      </w:pPr>
      <w:r>
        <w:t xml:space="preserve">Architecture at a glance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sources["Canonical sources\nM365 · Portal · Git · MC · DocuSign · Registries"]</w:t>
      </w:r>
      <w:r>
        <w:br/>
      </w:r>
      <w:r>
        <w:rPr>
          <w:rStyle w:val="VerbatimChar"/>
        </w:rPr>
        <w:t xml:space="preserve">  ledger[("Versioned Knowledge Ledger\nassertions · provenance · ontology · receipts")]</w:t>
      </w:r>
      <w:r>
        <w:br/>
      </w:r>
      <w:r>
        <w:rPr>
          <w:rStyle w:val="VerbatimChar"/>
        </w:rPr>
        <w:t xml:space="preserve">  builders["Policy-aware projection builders"]</w:t>
      </w:r>
      <w:r>
        <w:br/>
      </w:r>
      <w:r>
        <w:rPr>
          <w:rStyle w:val="VerbatimChar"/>
        </w:rPr>
        <w:t xml:space="preserve">  projections["Disposable projections\ntext · vector · graph · cache · Second-Brain"]</w:t>
      </w:r>
      <w:r>
        <w:br/>
      </w:r>
      <w:r>
        <w:rPr>
          <w:rStyle w:val="VerbatimChar"/>
        </w:rPr>
        <w:t xml:space="preserve">  workbench["Portal\nsearch · evidence · ontology workbench"]</w:t>
      </w:r>
      <w:r>
        <w:br/>
      </w:r>
      <w:r>
        <w:br/>
      </w:r>
      <w:r>
        <w:rPr>
          <w:rStyle w:val="VerbatimChar"/>
        </w:rPr>
        <w:t xml:space="preserve">  sources --&gt;|"versioned observations"| ledger</w:t>
      </w:r>
      <w:r>
        <w:br/>
      </w:r>
      <w:r>
        <w:rPr>
          <w:rStyle w:val="VerbatimChar"/>
        </w:rPr>
        <w:t xml:space="preserve">  ledger --&gt; builders</w:t>
      </w:r>
      <w:r>
        <w:br/>
      </w:r>
      <w:r>
        <w:rPr>
          <w:rStyle w:val="VerbatimChar"/>
        </w:rPr>
        <w:t xml:space="preserve">  builders --&gt; projections</w:t>
      </w:r>
      <w:r>
        <w:br/>
      </w:r>
      <w:r>
        <w:rPr>
          <w:rStyle w:val="VerbatimChar"/>
        </w:rPr>
        <w:t xml:space="preserve">  projections --&gt; workbench</w:t>
      </w:r>
      <w:r>
        <w:br/>
      </w:r>
      <w:r>
        <w:rPr>
          <w:rStyle w:val="VerbatimChar"/>
        </w:rPr>
        <w:t xml:space="preserve">  workbench --&gt;|"edit at source / governed proposal"| sources</w:t>
      </w:r>
    </w:p>
    <w:p>
      <w:pPr>
        <w:pStyle w:val="FirstParagraph"/>
      </w:pPr>
      <w:r>
        <w:t xml:space="preserve">The key control is the direction of authority: a search result or memory can</w:t>
      </w:r>
      <w:r>
        <w:t xml:space="preserve"> </w:t>
      </w:r>
      <w:r>
        <w:t xml:space="preserve">lead back to its source; it cannot silently replace it.</w:t>
      </w:r>
    </w:p>
    <w:bookmarkEnd w:id="22"/>
    <w:bookmarkStart w:id="23" w:name="portal-ontology-workbench"/>
    <w:p>
      <w:pPr>
        <w:pStyle w:val="Heading2"/>
      </w:pPr>
      <w:r>
        <w:t xml:space="preserve">Portal ontology workbench</w:t>
      </w:r>
    </w:p>
    <w:p>
      <w:pPr>
        <w:pStyle w:val="FirstParagraph"/>
      </w:pPr>
      <w:r>
        <w:t xml:space="preserve">Administrators and department stewards can:</w:t>
      </w:r>
    </w:p>
    <w:p>
      <w:pPr>
        <w:numPr>
          <w:ilvl w:val="0"/>
          <w:numId w:val="1002"/>
        </w:numPr>
        <w:pStyle w:val="Compact"/>
      </w:pPr>
      <w:r>
        <w:t xml:space="preserve">propose a stable concept, label, synonym, mapping, hierarchy, or deprecation;</w:t>
      </w:r>
    </w:p>
    <w:p>
      <w:pPr>
        <w:numPr>
          <w:ilvl w:val="0"/>
          <w:numId w:val="1002"/>
        </w:numPr>
        <w:pStyle w:val="Compact"/>
      </w:pPr>
      <w:r>
        <w:t xml:space="preserve">run structural and policy validation;</w:t>
      </w:r>
    </w:p>
    <w:p>
      <w:pPr>
        <w:numPr>
          <w:ilvl w:val="0"/>
          <w:numId w:val="1002"/>
        </w:numPr>
        <w:pStyle w:val="Compact"/>
      </w:pPr>
      <w:r>
        <w:t xml:space="preserve">preview affected documents, assertions, searches, rules, skills, and agents;</w:t>
      </w:r>
    </w:p>
    <w:p>
      <w:pPr>
        <w:numPr>
          <w:ilvl w:val="0"/>
          <w:numId w:val="1002"/>
        </w:numPr>
        <w:pStyle w:val="Compact"/>
      </w:pPr>
      <w:r>
        <w:t xml:space="preserve">collect department, Security, Quality, or Legal review based on impact;</w:t>
      </w:r>
    </w:p>
    <w:p>
      <w:pPr>
        <w:numPr>
          <w:ilvl w:val="0"/>
          <w:numId w:val="1002"/>
        </w:numPr>
        <w:pStyle w:val="Compact"/>
      </w:pPr>
      <w:r>
        <w:t xml:space="preserve">publish an immutable, effective-dated ontology version;</w:t>
      </w:r>
    </w:p>
    <w:p>
      <w:pPr>
        <w:numPr>
          <w:ilvl w:val="0"/>
          <w:numId w:val="1002"/>
        </w:numPr>
        <w:pStyle w:val="Compact"/>
      </w:pPr>
      <w:r>
        <w:t xml:space="preserve">rebuild only affected projections and inspect quality changes;</w:t>
      </w:r>
    </w:p>
    <w:p>
      <w:pPr>
        <w:numPr>
          <w:ilvl w:val="0"/>
          <w:numId w:val="1002"/>
        </w:numPr>
        <w:pStyle w:val="Compact"/>
      </w:pPr>
      <w:r>
        <w:t xml:space="preserve">roll back by publishing a new attributable version.</w:t>
      </w:r>
    </w:p>
    <w:p>
      <w:pPr>
        <w:pStyle w:val="FirstParagraph"/>
      </w:pPr>
      <w:r>
        <w:t xml:space="preserve">Direct database/RDF editing and self-approval of high-impact changes are outside</w:t>
      </w:r>
      <w:r>
        <w:t xml:space="preserve"> </w:t>
      </w:r>
      <w:r>
        <w:t xml:space="preserve">the operating model.</w:t>
      </w:r>
    </w:p>
    <w:bookmarkEnd w:id="23"/>
    <w:bookmarkStart w:id="24" w:name="discovery-and-knowledge-quality"/>
    <w:p>
      <w:pPr>
        <w:pStyle w:val="Heading2"/>
      </w:pPr>
      <w:r>
        <w:t xml:space="preserve">Discovery and knowledge quality</w:t>
      </w:r>
    </w:p>
    <w:p>
      <w:pPr>
        <w:pStyle w:val="FirstParagraph"/>
      </w:pPr>
      <w:r>
        <w:t xml:space="preserve">Retrieval is deny by default. Tenant, actor, source ACL, classification,</w:t>
      </w:r>
      <w:r>
        <w:t xml:space="preserve"> </w:t>
      </w:r>
      <w:r>
        <w:t xml:space="preserve">purpose, retention, and policy filters are applied before ranking, cache reuse,</w:t>
      </w:r>
      <w:r>
        <w:t xml:space="preserve"> </w:t>
      </w:r>
      <w:r>
        <w:t xml:space="preserve">or generation. Answers display canonical citations, revision time, derivation,</w:t>
      </w:r>
      <w:r>
        <w:t xml:space="preserve"> </w:t>
      </w:r>
      <w:r>
        <w:t xml:space="preserve">confidence, and unresolved conflicts.</w:t>
      </w:r>
    </w:p>
    <w:p>
      <w:pPr>
        <w:pStyle w:val="BodyText"/>
      </w:pPr>
      <w:r>
        <w:t xml:space="preserve">Duplicate and stale-document controls are non-destructive:</w:t>
      </w:r>
    </w:p>
    <w:p>
      <w:pPr>
        <w:numPr>
          <w:ilvl w:val="0"/>
          <w:numId w:val="1003"/>
        </w:numPr>
        <w:pStyle w:val="Compact"/>
      </w:pPr>
      <w:r>
        <w:t xml:space="preserve">exact IDs and hashes identify byte/source duplicates;</w:t>
      </w:r>
    </w:p>
    <w:p>
      <w:pPr>
        <w:numPr>
          <w:ilvl w:val="0"/>
          <w:numId w:val="1003"/>
        </w:numPr>
        <w:pStyle w:val="Compact"/>
      </w:pPr>
      <w:r>
        <w:t xml:space="preserve">normalized hashes and similarity identify near duplicates;</w:t>
      </w:r>
    </w:p>
    <w:p>
      <w:pPr>
        <w:numPr>
          <w:ilvl w:val="0"/>
          <w:numId w:val="1003"/>
        </w:numPr>
        <w:pStyle w:val="Compact"/>
      </w:pPr>
      <w:r>
        <w:t xml:space="preserve">semantic similarity proposes conceptual duplicates;</w:t>
      </w:r>
    </w:p>
    <w:p>
      <w:pPr>
        <w:numPr>
          <w:ilvl w:val="0"/>
          <w:numId w:val="1003"/>
        </w:numPr>
        <w:pStyle w:val="Compact"/>
      </w:pPr>
      <w:r>
        <w:t xml:space="preserve">source version and authority distinguish revision from duplication;</w:t>
      </w:r>
    </w:p>
    <w:p>
      <w:pPr>
        <w:numPr>
          <w:ilvl w:val="0"/>
          <w:numId w:val="1003"/>
        </w:numPr>
        <w:pStyle w:val="Compact"/>
      </w:pPr>
      <w:r>
        <w:t xml:space="preserve">review queues route candidates to the accountable department owner.</w:t>
      </w:r>
    </w:p>
    <w:p>
      <w:pPr>
        <w:pStyle w:val="FirstParagraph"/>
      </w:pPr>
      <w:r>
        <w:t xml:space="preserve">Staleness is source-aware: an old approved record can be current, while a recent</w:t>
      </w:r>
      <w:r>
        <w:t xml:space="preserve"> </w:t>
      </w:r>
      <w:r>
        <w:t xml:space="preserve">copy can already be stale. Permission freshness fails closed.</w:t>
      </w:r>
    </w:p>
    <w:bookmarkEnd w:id="24"/>
    <w:bookmarkStart w:id="25" w:name="records-privacy-residency-and-part-11"/>
    <w:p>
      <w:pPr>
        <w:pStyle w:val="Heading2"/>
      </w:pPr>
      <w:r>
        <w:t xml:space="preserve">Records, privacy, residency, and Part 11</w:t>
      </w:r>
    </w:p>
    <w:p>
      <w:pPr>
        <w:pStyle w:val="FirstParagraph"/>
      </w:pPr>
      <w:r>
        <w:t xml:space="preserve">Purview remains the source for M365 retention, record labels, legal holds,</w:t>
      </w:r>
      <w:r>
        <w:t xml:space="preserve"> </w:t>
      </w:r>
      <w:r>
        <w:t xml:space="preserve">disposition, and proof of disposition. The ledger stores policy references and</w:t>
      </w:r>
      <w:r>
        <w:t xml:space="preserve"> </w:t>
      </w:r>
      <w:r>
        <w:t xml:space="preserve">receipts; derived stores cannot outlive approved source policy or cross</w:t>
      </w:r>
      <w:r>
        <w:t xml:space="preserve"> </w:t>
      </w:r>
      <w:r>
        <w:t xml:space="preserve">unapproved regions.</w:t>
      </w:r>
    </w:p>
    <w:p>
      <w:pPr>
        <w:pStyle w:val="BodyText"/>
      </w:pPr>
      <w:r>
        <w:t xml:space="preserve">For records that Quality and Legal place inside the validated-system boundary,</w:t>
      </w:r>
      <w:r>
        <w:t xml:space="preserve"> </w:t>
      </w:r>
      <w:r>
        <w:t xml:space="preserve">the design traces:</w:t>
      </w:r>
    </w:p>
    <w:p>
      <w:pPr>
        <w:numPr>
          <w:ilvl w:val="0"/>
          <w:numId w:val="1004"/>
        </w:numPr>
        <w:pStyle w:val="Compact"/>
      </w:pPr>
      <w:r>
        <w:t xml:space="preserve">validation for intended use;</w:t>
      </w:r>
    </w:p>
    <w:p>
      <w:pPr>
        <w:numPr>
          <w:ilvl w:val="0"/>
          <w:numId w:val="1004"/>
        </w:numPr>
        <w:pStyle w:val="Compact"/>
      </w:pPr>
      <w:r>
        <w:t xml:space="preserve">accurate and complete record copies;</w:t>
      </w:r>
    </w:p>
    <w:p>
      <w:pPr>
        <w:numPr>
          <w:ilvl w:val="0"/>
          <w:numId w:val="1004"/>
        </w:numPr>
        <w:pStyle w:val="Compact"/>
      </w:pPr>
      <w:r>
        <w:t xml:space="preserve">protection, retrieval, and approved retention;</w:t>
      </w:r>
    </w:p>
    <w:p>
      <w:pPr>
        <w:numPr>
          <w:ilvl w:val="0"/>
          <w:numId w:val="1004"/>
        </w:numPr>
        <w:pStyle w:val="Compact"/>
      </w:pPr>
      <w:r>
        <w:t xml:space="preserve">limited system access;</w:t>
      </w:r>
    </w:p>
    <w:p>
      <w:pPr>
        <w:numPr>
          <w:ilvl w:val="0"/>
          <w:numId w:val="1004"/>
        </w:numPr>
        <w:pStyle w:val="Compact"/>
      </w:pPr>
      <w:r>
        <w:t xml:space="preserve">secure, computer-generated, time-stamped audit trails that preserve prior</w:t>
      </w:r>
      <w:r>
        <w:t xml:space="preserve"> </w:t>
      </w:r>
      <w:r>
        <w:t xml:space="preserve">information;</w:t>
      </w:r>
    </w:p>
    <w:p>
      <w:pPr>
        <w:numPr>
          <w:ilvl w:val="0"/>
          <w:numId w:val="1004"/>
        </w:numPr>
        <w:pStyle w:val="Compact"/>
      </w:pPr>
      <w:r>
        <w:t xml:space="preserve">operational and authority checks;</w:t>
      </w:r>
    </w:p>
    <w:p>
      <w:pPr>
        <w:numPr>
          <w:ilvl w:val="0"/>
          <w:numId w:val="1004"/>
        </w:numPr>
        <w:pStyle w:val="Compact"/>
      </w:pPr>
      <w:r>
        <w:t xml:space="preserve">training and accountability;</w:t>
      </w:r>
    </w:p>
    <w:p>
      <w:pPr>
        <w:numPr>
          <w:ilvl w:val="0"/>
          <w:numId w:val="1004"/>
        </w:numPr>
        <w:pStyle w:val="Compact"/>
      </w:pPr>
      <w:r>
        <w:t xml:space="preserve">signature name/date/time/meaning;</w:t>
      </w:r>
    </w:p>
    <w:p>
      <w:pPr>
        <w:numPr>
          <w:ilvl w:val="0"/>
          <w:numId w:val="1004"/>
        </w:numPr>
        <w:pStyle w:val="Compact"/>
      </w:pPr>
      <w:r>
        <w:t xml:space="preserve">signature uniqueness, identity verification, and record linkage.</w:t>
      </w:r>
    </w:p>
    <w:p>
      <w:pPr>
        <w:pStyle w:val="FirstParagraph"/>
      </w:pPr>
      <w:r>
        <w:t xml:space="preserve">This package is an architecture and validation plan, not a Part 11 compliance</w:t>
      </w:r>
      <w:r>
        <w:t xml:space="preserve"> </w:t>
      </w:r>
      <w:r>
        <w:t xml:space="preserve">certificate.</w:t>
      </w:r>
    </w:p>
    <w:bookmarkEnd w:id="25"/>
    <w:bookmarkStart w:id="26" w:name="human-and-agent-operating-model"/>
    <w:p>
      <w:pPr>
        <w:pStyle w:val="Heading2"/>
      </w:pPr>
      <w:r>
        <w:t xml:space="preserve">Human and agent operating model</w:t>
      </w:r>
    </w:p>
    <w:p>
      <w:pPr>
        <w:pStyle w:val="FirstParagraph"/>
      </w:pPr>
      <w:r>
        <w:t xml:space="preserve">Department heads own meaning, risk, publication, and remediation. Quality and</w:t>
      </w:r>
      <w:r>
        <w:t xml:space="preserve"> </w:t>
      </w:r>
      <w:r>
        <w:t xml:space="preserve">Legal own regulated-use and validation decisions. Security owns authorization,</w:t>
      </w:r>
      <w:r>
        <w:t xml:space="preserve"> </w:t>
      </w:r>
      <w:r>
        <w:t xml:space="preserve">privacy, and residency approval.</w:t>
      </w:r>
    </w:p>
    <w:p>
      <w:pPr>
        <w:pStyle w:val="BodyText"/>
      </w:pPr>
      <w:r>
        <w:t xml:space="preserve">Registered teams and agents may inventory, classify, propose, build disposable</w:t>
      </w:r>
      <w:r>
        <w:t xml:space="preserve"> </w:t>
      </w:r>
      <w:r>
        <w:t xml:space="preserve">projections, execute tests, and draft evidence. They cannot decide regulatory</w:t>
      </w:r>
      <w:r>
        <w:t xml:space="preserve"> </w:t>
      </w:r>
      <w:r>
        <w:t xml:space="preserve">scope, delete canonical records, weaken retention/access/residency, self-register</w:t>
      </w:r>
      <w:r>
        <w:t xml:space="preserve"> </w:t>
      </w:r>
      <w:r>
        <w:t xml:space="preserve">capabilities, sign for a person, approve their own high-impact ontology change,</w:t>
      </w:r>
      <w:r>
        <w:t xml:space="preserve"> </w:t>
      </w:r>
      <w:r>
        <w:t xml:space="preserve">or authorize live cutover.</w:t>
      </w:r>
    </w:p>
    <w:bookmarkEnd w:id="26"/>
    <w:bookmarkStart w:id="27" w:name="zero-drift-program"/>
    <w:p>
      <w:pPr>
        <w:pStyle w:val="Heading2"/>
      </w:pPr>
      <w:r>
        <w:t xml:space="preserve">Zero-drift program</w:t>
      </w:r>
    </w:p>
    <w:p>
      <w:pPr>
        <w:pStyle w:val="FirstParagraph"/>
      </w:pPr>
      <w:r>
        <w:t xml:space="preserve">The proposed Mission Control project is</w:t>
      </w:r>
      <w:r>
        <w:t xml:space="preserve"> </w:t>
      </w:r>
      <w:r>
        <w:rPr>
          <w:rStyle w:val="VerbatimChar"/>
        </w:rPr>
        <w:t xml:space="preserve">PRJ-UNIFIED-KNOWLEDGE</w:t>
      </w:r>
      <w:r>
        <w:t xml:space="preserve">.</w:t>
      </w:r>
      <w:r>
        <w:t xml:space="preserve"> </w:t>
      </w:r>
      <w:r>
        <w:rPr>
          <w:rStyle w:val="VerbatimChar"/>
        </w:rPr>
        <w:t xml:space="preserve">TASK-477</w:t>
      </w:r>
      <w:r>
        <w:t xml:space="preserve"> </w:t>
      </w:r>
      <w:r>
        <w:t xml:space="preserve">should be re-homed without duplication. Seven buckets cover foundation,</w:t>
      </w:r>
      <w:r>
        <w:t xml:space="preserve"> </w:t>
      </w:r>
      <w:r>
        <w:t xml:space="preserve">connectors, ontology, controls, discovery, autonomy, and rollout.</w:t>
      </w:r>
    </w:p>
    <w:p>
      <w:pPr>
        <w:pStyle w:val="BodyText"/>
      </w:pPr>
      <w:r>
        <w:t xml:space="preserve">The committed program defines:</w:t>
      </w:r>
    </w:p>
    <w:p>
      <w:pPr>
        <w:numPr>
          <w:ilvl w:val="0"/>
          <w:numId w:val="1005"/>
        </w:numPr>
        <w:pStyle w:val="Compact"/>
      </w:pPr>
      <w:r>
        <w:t xml:space="preserve">26 traced requirements;</w:t>
      </w:r>
    </w:p>
    <w:p>
      <w:pPr>
        <w:numPr>
          <w:ilvl w:val="0"/>
          <w:numId w:val="1005"/>
        </w:numPr>
        <w:pStyle w:val="Compact"/>
      </w:pPr>
      <w:r>
        <w:t xml:space="preserve">8 dependency-ordered milestones;</w:t>
      </w:r>
    </w:p>
    <w:p>
      <w:pPr>
        <w:numPr>
          <w:ilvl w:val="0"/>
          <w:numId w:val="1005"/>
        </w:numPr>
        <w:pStyle w:val="Compact"/>
      </w:pPr>
      <w:r>
        <w:t xml:space="preserve">20 tasks with owners, executors, autonomy bounds, dependencies, repositories,</w:t>
      </w:r>
      <w:r>
        <w:t xml:space="preserve"> </w:t>
      </w:r>
      <w:r>
        <w:t xml:space="preserve">and done-when evidence;</w:t>
      </w:r>
    </w:p>
    <w:p>
      <w:pPr>
        <w:numPr>
          <w:ilvl w:val="0"/>
          <w:numId w:val="1005"/>
        </w:numPr>
        <w:pStyle w:val="Compact"/>
      </w:pPr>
      <w:r>
        <w:t xml:space="preserve">10 risks;</w:t>
      </w:r>
    </w:p>
    <w:p>
      <w:pPr>
        <w:numPr>
          <w:ilvl w:val="0"/>
          <w:numId w:val="1005"/>
        </w:numPr>
        <w:pStyle w:val="Compact"/>
      </w:pPr>
      <w:r>
        <w:t xml:space="preserve">8 approval gates;</w:t>
      </w:r>
    </w:p>
    <w:p>
      <w:pPr>
        <w:numPr>
          <w:ilvl w:val="0"/>
          <w:numId w:val="1005"/>
        </w:numPr>
        <w:pStyle w:val="Compact"/>
      </w:pPr>
      <w:r>
        <w:t xml:space="preserve">5 validation commands.</w:t>
      </w:r>
    </w:p>
    <w:p>
      <w:pPr>
        <w:pStyle w:val="FirstParagraph"/>
      </w:pPr>
      <w:r>
        <w:rPr>
          <w:rStyle w:val="VerbatimChar"/>
        </w:rPr>
        <w:t xml:space="preserve">program.schema.json</w:t>
      </w:r>
      <w:r>
        <w:t xml:space="preserve"> </w:t>
      </w:r>
      <w:r>
        <w:t xml:space="preserve">freezes the shape.</w:t>
      </w:r>
      <w:r>
        <w:t xml:space="preserve"> </w:t>
      </w:r>
      <w:r>
        <w:rPr>
          <w:rStyle w:val="VerbatimChar"/>
        </w:rPr>
        <w:t xml:space="preserve">scripts/check-unified-knowledge-program.py</w:t>
      </w:r>
      <w:r>
        <w:t xml:space="preserve"> </w:t>
      </w:r>
      <w:r>
        <w:t xml:space="preserve">validates schema, unique IDs,</w:t>
      </w:r>
      <w:r>
        <w:t xml:space="preserve"> </w:t>
      </w:r>
      <w:r>
        <w:t xml:space="preserve">references, dependency DAGs, required invariants, milestone task coverage, and</w:t>
      </w:r>
      <w:r>
        <w:t xml:space="preserve"> </w:t>
      </w:r>
      <w:r>
        <w:t xml:space="preserve">requirement task coverage. Its</w:t>
      </w:r>
      <w:r>
        <w:t xml:space="preserve"> </w:t>
      </w:r>
      <w:r>
        <w:rPr>
          <w:rStyle w:val="VerbatimChar"/>
        </w:rPr>
        <w:t xml:space="preserve">--print-mc-plan</w:t>
      </w:r>
      <w:r>
        <w:t xml:space="preserve"> </w:t>
      </w:r>
      <w:r>
        <w:t xml:space="preserve">mode is deterministic and</w:t>
      </w:r>
      <w:r>
        <w:t xml:space="preserve"> </w:t>
      </w:r>
      <w:r>
        <w:t xml:space="preserve">non-mutating.</w:t>
      </w:r>
    </w:p>
    <w:bookmarkEnd w:id="27"/>
    <w:bookmarkStart w:id="28" w:name="delivery-sequence"/>
    <w:p>
      <w:pPr>
        <w:pStyle w:val="Heading2"/>
      </w:pPr>
      <w:r>
        <w:t xml:space="preserve">Delivery sequence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MS-00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Estate, authority, compliance, privacy, authorization, and deployment facts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Phase 0 decisions 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Bitemporal ledger and processing receipts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Integrity, backup, and recovery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Canonical-source connectors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ACL, deletion, replay, deep-link, degradation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ontology workbench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 usability and reversible publication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Records, privacy, residency, and Part 11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Quality/Legal/Security qualification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Rebuildable projections and semantic discovery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Rebuild, quality, explanation, and leakage benchmarks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Bounded agent/human workflows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Capability, revocation, approval, and MC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pilot and cutover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Recovery, rollback, SLO, and owner approvals</w:t>
            </w:r>
          </w:p>
        </w:tc>
      </w:tr>
    </w:tbl>
    <w:bookmarkEnd w:id="28"/>
    <w:bookmarkStart w:id="29" w:name="phase-0-blockers"/>
    <w:p>
      <w:pPr>
        <w:pStyle w:val="Heading2"/>
      </w:pPr>
      <w:r>
        <w:t xml:space="preserve">Phase 0 blockers</w:t>
      </w:r>
    </w:p>
    <w:p>
      <w:pPr>
        <w:pStyle w:val="FirstParagraph"/>
      </w:pPr>
      <w:r>
        <w:t xml:space="preserve">No implementation should proceed until:</w:t>
      </w:r>
    </w:p>
    <w:p>
      <w:pPr>
        <w:numPr>
          <w:ilvl w:val="0"/>
          <w:numId w:val="1006"/>
        </w:numPr>
        <w:pStyle w:val="Compact"/>
      </w:pPr>
      <w:r>
        <w:t xml:space="preserve">the live Microsoft 365 estate, licenses, Purview features, regions,</w:t>
      </w:r>
      <w:r>
        <w:t xml:space="preserve"> </w:t>
      </w:r>
      <w:r>
        <w:t xml:space="preserve">administrators, and Graph permissions are evidenced;</w:t>
      </w:r>
    </w:p>
    <w:p>
      <w:pPr>
        <w:numPr>
          <w:ilvl w:val="0"/>
          <w:numId w:val="1006"/>
        </w:numPr>
        <w:pStyle w:val="Compact"/>
      </w:pPr>
      <w:r>
        <w:t xml:space="preserve">pinned Portal and PLX Second-Brain repositories and runtime contracts are</w:t>
      </w:r>
      <w:r>
        <w:t xml:space="preserve"> </w:t>
      </w:r>
      <w:r>
        <w:t xml:space="preserve">accessible;</w:t>
      </w:r>
    </w:p>
    <w:p>
      <w:pPr>
        <w:numPr>
          <w:ilvl w:val="0"/>
          <w:numId w:val="1006"/>
        </w:numPr>
        <w:pStyle w:val="Compact"/>
      </w:pPr>
      <w:r>
        <w:t xml:space="preserve">Quality and Legal approve Part 11 intended use and the validated-system</w:t>
      </w:r>
      <w:r>
        <w:t xml:space="preserve"> </w:t>
      </w:r>
      <w:r>
        <w:t xml:space="preserve">boundary;</w:t>
      </w:r>
    </w:p>
    <w:p>
      <w:pPr>
        <w:numPr>
          <w:ilvl w:val="0"/>
          <w:numId w:val="1006"/>
        </w:numPr>
        <w:pStyle w:val="Compact"/>
      </w:pPr>
      <w:r>
        <w:t xml:space="preserve">identity, tenant isolation, privacy, purpose, and authorization policy is</w:t>
      </w:r>
      <w:r>
        <w:t xml:space="preserve"> </w:t>
      </w:r>
      <w:r>
        <w:t xml:space="preserve">approved;</w:t>
      </w:r>
    </w:p>
    <w:p>
      <w:pPr>
        <w:numPr>
          <w:ilvl w:val="0"/>
          <w:numId w:val="1006"/>
        </w:numPr>
        <w:pStyle w:val="Compact"/>
      </w:pPr>
      <w:r>
        <w:t xml:space="preserve">ledger/audit-store hosting, encryption, backups, recovery, residency, and</w:t>
      </w:r>
      <w:r>
        <w:t xml:space="preserve"> </w:t>
      </w:r>
      <w:r>
        <w:t xml:space="preserve">bitemporal semantics are approved.</w:t>
      </w:r>
    </w:p>
    <w:p>
      <w:pPr>
        <w:pStyle w:val="FirstParagraph"/>
      </w:pPr>
      <w:r>
        <w:t xml:space="preserve">The Portal repository was not readable by this Cloud Agent, so the recorded</w:t>
      </w:r>
      <w:r>
        <w:t xml:space="preserve"> </w:t>
      </w:r>
      <w:r>
        <w:t xml:space="preserve">decision to reuse Ricardo’s Portal document stack is preserved but not</w:t>
      </w:r>
      <w:r>
        <w:t xml:space="preserve"> </w:t>
      </w:r>
      <w:r>
        <w:t xml:space="preserve">misrepresented as independently verified.</w:t>
      </w:r>
    </w:p>
    <w:bookmarkEnd w:id="29"/>
    <w:bookmarkStart w:id="30" w:name="pilot"/>
    <w:p>
      <w:pPr>
        <w:pStyle w:val="Heading2"/>
      </w:pPr>
      <w:r>
        <w:t xml:space="preserve">Pilot</w:t>
      </w:r>
    </w:p>
    <w:p>
      <w:pPr>
        <w:pStyle w:val="FirstParagraph"/>
      </w:pPr>
      <w:r>
        <w:t xml:space="preserve">Use the existing Git-authoritative architecture collection first. It already</w:t>
      </w:r>
      <w:r>
        <w:t xml:space="preserve"> </w:t>
      </w:r>
      <w:r>
        <w:t xml:space="preserve">declares generated-consumer status, provenance, canonical links, authoring</w:t>
      </w:r>
      <w:r>
        <w:t xml:space="preserve"> </w:t>
      </w:r>
      <w:r>
        <w:t xml:space="preserve">return paths, and degraded behavior when Second-Brain is unavailable.</w:t>
      </w:r>
    </w:p>
    <w:p>
      <w:pPr>
        <w:pStyle w:val="BodyText"/>
      </w:pPr>
      <w:r>
        <w:t xml:space="preserve">Pilot success requires complete provenance, correct authority recovery by</w:t>
      </w:r>
      <w:r>
        <w:t xml:space="preserve"> </w:t>
      </w:r>
      <w:r>
        <w:t xml:space="preserve">technical and nontechnical users, no ACL/tenant leakage, visible staleness and</w:t>
      </w:r>
      <w:r>
        <w:t xml:space="preserve"> </w:t>
      </w:r>
      <w:r>
        <w:t xml:space="preserve">conflict, usable canonical links during projection outages, zero-state</w:t>
      </w:r>
      <w:r>
        <w:t xml:space="preserve"> </w:t>
      </w:r>
      <w:r>
        <w:t xml:space="preserve">projection rebuilds, deletion/ACL propagation, ontology rollback, and Mission</w:t>
      </w:r>
      <w:r>
        <w:t xml:space="preserve"> </w:t>
      </w:r>
      <w:r>
        <w:t xml:space="preserve">Control evidence for every action.</w:t>
      </w:r>
    </w:p>
    <w:bookmarkEnd w:id="30"/>
    <w:bookmarkStart w:id="31" w:name="rollback"/>
    <w:p>
      <w:pPr>
        <w:pStyle w:val="Heading2"/>
      </w:pPr>
      <w:r>
        <w:t xml:space="preserve">Rollback</w:t>
      </w:r>
    </w:p>
    <w:p>
      <w:pPr>
        <w:pStyle w:val="FirstParagraph"/>
      </w:pPr>
      <w:r>
        <w:t xml:space="preserve">Disable the affected connector, capability, or projection; return users to</w:t>
      </w:r>
      <w:r>
        <w:t xml:space="preserve"> </w:t>
      </w:r>
      <w:r>
        <w:t xml:space="preserve">canonical links and the prior approved projection; publish ontology rollback as</w:t>
      </w:r>
      <w:r>
        <w:t xml:space="preserve"> </w:t>
      </w:r>
      <w:r>
        <w:t xml:space="preserve">a new version; rebuild from the last approved ledger watermark; preserve all</w:t>
      </w:r>
      <w:r>
        <w:t xml:space="preserve"> </w:t>
      </w:r>
      <w:r>
        <w:t xml:space="preserve">source, ledger, audit, validation, and incident evidence; reopen the controlling</w:t>
      </w:r>
      <w:r>
        <w:t xml:space="preserve"> </w:t>
      </w:r>
      <w:r>
        <w:t xml:space="preserve">Mission Control task before resuming.</w:t>
      </w:r>
    </w:p>
    <w:p>
      <w:pPr>
        <w:pStyle w:val="BodyText"/>
      </w:pPr>
      <w:r>
        <w:t xml:space="preserve">Rollback never rewrites canonical documents or deletes ledger history.</w:t>
      </w:r>
    </w:p>
    <w:bookmarkEnd w:id="31"/>
    <w:bookmarkStart w:id="32" w:name="package"/>
    <w:p>
      <w:pPr>
        <w:pStyle w:val="Heading2"/>
      </w:pPr>
      <w:r>
        <w:t xml:space="preserve">Package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index.md</w:t>
      </w:r>
      <w:r>
        <w:t xml:space="preserve"> </w:t>
      </w:r>
      <w:r>
        <w:t xml:space="preserve">— canonical entry point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REQUIREMENTS.md</w:t>
      </w:r>
      <w:r>
        <w:t xml:space="preserve"> </w:t>
      </w:r>
      <w:r>
        <w:t xml:space="preserve">— requirement and acceptance contract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RESEARCH.md</w:t>
      </w:r>
      <w:r>
        <w:t xml:space="preserve"> </w:t>
      </w:r>
      <w:r>
        <w:t xml:space="preserve">— recovered evidence, independent source research, alternatives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SPEC.md</w:t>
      </w:r>
      <w:r>
        <w:t xml:space="preserve"> </w:t>
      </w:r>
      <w:r>
        <w:t xml:space="preserve">— detailed architecture and rollout specification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DECISIONS.md</w:t>
      </w:r>
      <w:r>
        <w:t xml:space="preserve"> </w:t>
      </w:r>
      <w:r>
        <w:t xml:space="preserve">— approved decisions and unresolved gates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REPORT.md</w:t>
      </w:r>
      <w:r>
        <w:t xml:space="preserve"> </w:t>
      </w:r>
      <w:r>
        <w:t xml:space="preserve">— this executive report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program.json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program.schema.json</w:t>
      </w:r>
      <w:r>
        <w:t xml:space="preserve"> </w:t>
      </w:r>
      <w:r>
        <w:t xml:space="preserve">— zero-drift execution contract</w:t>
      </w:r>
    </w:p>
    <w:p>
      <w:pPr>
        <w:numPr>
          <w:ilvl w:val="0"/>
          <w:numId w:val="1007"/>
        </w:numPr>
        <w:pStyle w:val="Compact"/>
      </w:pPr>
      <w:r>
        <w:t xml:space="preserve">PDF / DOCX — generated, shareable consumers of this report</w:t>
      </w:r>
    </w:p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2026-08-04T18:24:06Z</dcterms:created>
  <dcterms:modified xsi:type="dcterms:W3CDTF">2026-08-04T18:24:06Z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