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 w:before="0" w:after="0"/>
        <w:jc w:val="center"/>
        <w:rPr>
          <w:rFonts w:ascii="Times New Roman CYR" w:hAnsi="Times New Roman CYR" w:cs="Times New Roman CYR"/>
          <w:b/>
          <w:b/>
          <w:bCs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Визначення параметрів ГАД, як об’єкта управління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b/>
          <w:b/>
          <w:bCs/>
          <w:sz w:val="28"/>
          <w:szCs w:val="28"/>
          <w:lang w:val="ru-RU"/>
        </w:rPr>
      </w:pPr>
      <w:r>
        <w:rPr>
          <w:rFonts w:cs="Times New Roman CYR" w:ascii="Times New Roman CYR" w:hAnsi="Times New Roman CYR"/>
          <w:b/>
          <w:bCs/>
          <w:sz w:val="28"/>
          <w:szCs w:val="28"/>
          <w:lang w:val="ru-RU"/>
        </w:rPr>
      </w:r>
    </w:p>
    <w:p>
      <w:pPr>
        <w:pStyle w:val="Normal"/>
        <w:widowControl w:val="false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b/>
          <w:bCs/>
          <w:sz w:val="28"/>
          <w:szCs w:val="28"/>
        </w:rPr>
        <w:t>ГАД</w:t>
      </w:r>
      <w:r>
        <w:rPr>
          <w:rFonts w:cs="Times New Roman CYR" w:ascii="Times New Roman CYR" w:hAnsi="Times New Roman CYR"/>
          <w:sz w:val="28"/>
          <w:szCs w:val="28"/>
        </w:rPr>
        <w:t xml:space="preserve"> - це виробнича система, в якій реалізується автоматизоване групове багатономенклатурне виробництво, що оперативно переналагоджується у визначеному параметричному діапазоні продукції через синхронну роботу всіх функціональних модулів за допомогою системи оперативного управління. Будь-яка ГАД має у своєму складі такі модулі: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tabs>
          <w:tab w:val="left" w:pos="720" w:leader="none"/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 </w:t>
      </w:r>
      <w:r>
        <w:rPr>
          <w:rFonts w:cs="Times New Roman CYR" w:ascii="Times New Roman CYR" w:hAnsi="Times New Roman CYR"/>
          <w:sz w:val="28"/>
          <w:szCs w:val="28"/>
        </w:rPr>
        <w:t>гнучкі виробничі модулі (ГВМ) основного технологічного обладнання (верстати, складальні машини, тощо);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автоматизований склад (виробів, напівфабрикатів, комплектуючих, інструментів);</w:t>
      </w:r>
    </w:p>
    <w:p>
      <w:pPr>
        <w:pStyle w:val="Normal"/>
        <w:widowControl w:val="false"/>
        <w:numPr>
          <w:ilvl w:val="0"/>
          <w:numId w:val="1"/>
        </w:numPr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автоматизовану транспортну систему.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В даному курсовому проекті розглядається ГАД, яка складається з 5 ГВМ, автоматизованого складу, та транспортних модулів, що обслуговують ГВМ, дорівнює - 8.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</w:rPr>
        <w:t>Структурно-компонувальна схема даного ГАД має наступний вигляд (рис.1):</w:t>
      </w:r>
    </w:p>
    <w:p>
      <w:pPr>
        <w:pStyle w:val="Normal"/>
        <w:widowControl w:val="false"/>
        <w:shd w:val="clear" w:color="auto" w:fill="FFFFFF"/>
        <w:tabs>
          <w:tab w:val="left" w:pos="993" w:leader="none"/>
        </w:tabs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posOffset>753110</wp:posOffset>
            </wp:positionH>
            <wp:positionV relativeFrom="paragraph">
              <wp:posOffset>401320</wp:posOffset>
            </wp:positionV>
            <wp:extent cx="4614545" cy="34607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Рис.1. Структурно-компонувальна схема ГАД.</w:t>
      </w:r>
    </w:p>
    <w:p>
      <w:pPr>
        <w:pStyle w:val="Normal"/>
        <w:widowControl w:val="false"/>
        <w:shd w:val="clear" w:color="auto" w:fill="FFFFFF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Вихідним завданням до курсового проекту є матриця деталеоперацій. </w:t>
      </w:r>
    </w:p>
    <w:p>
      <w:pPr>
        <w:pStyle w:val="Normal"/>
        <w:widowControl w:val="false"/>
        <w:spacing w:lineRule="auto" w:line="240" w:before="0" w:after="0"/>
        <w:ind w:firstLine="709"/>
        <w:rPr/>
      </w:pPr>
      <w:r>
        <w:rPr>
          <w:rFonts w:cs="Times New Roman CYR" w:ascii="Times New Roman CYR" w:hAnsi="Times New Roman CYR"/>
          <w:sz w:val="28"/>
          <w:szCs w:val="28"/>
        </w:rPr>
        <w:t>Оброблюється 14 деталей з наступною номенклатурою операцій, яка проводиться над кожною з них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б, представлених у </w:t>
      </w:r>
      <w:r>
        <w:rPr>
          <w:rFonts w:cs="Times New Roman CYR" w:ascii="Times New Roman CYR" w:hAnsi="Times New Roman CYR"/>
          <w:sz w:val="28"/>
          <w:szCs w:val="28"/>
          <w:lang w:val="uk-UA"/>
        </w:rPr>
        <w:t>таблиці 1</w:t>
      </w:r>
      <w:r>
        <w:rPr>
          <w:rFonts w:cs="Times New Roman CYR" w:ascii="Times New Roman CYR" w:hAnsi="Times New Roman CYR"/>
          <w:sz w:val="28"/>
          <w:szCs w:val="28"/>
        </w:rPr>
        <w:t>.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 xml:space="preserve"> </w:t>
      </w:r>
    </w:p>
    <w:p>
      <w:pPr>
        <w:pStyle w:val="Normal"/>
        <w:widowControl w:val="false"/>
        <w:spacing w:lineRule="auto" w:line="240" w:before="0" w:after="0"/>
        <w:ind w:firstLine="709"/>
        <w:jc w:val="right"/>
        <w:rPr>
          <w:i/>
          <w:i/>
          <w:iCs/>
          <w:lang w:val="uk-UA"/>
        </w:rPr>
      </w:pPr>
      <w:r>
        <w:rPr>
          <w:rFonts w:cs="Times New Roman CYR" w:ascii="Times New Roman CYR" w:hAnsi="Times New Roman CYR"/>
          <w:i/>
          <w:iCs/>
          <w:sz w:val="28"/>
          <w:szCs w:val="28"/>
          <w:lang w:val="uk-UA"/>
        </w:rPr>
        <w:t>Таблиця 1</w:t>
      </w:r>
    </w:p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tbl>
      <w:tblPr>
        <w:tblW w:w="9639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Номер деталі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Операц</w:t>
            </w:r>
            <w:r>
              <w:rPr>
                <w:sz w:val="28"/>
                <w:szCs w:val="28"/>
                <w:lang w:val="uk-UA"/>
              </w:rPr>
              <w:t>ії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T1 T2 T3 Ф1 C1 C2 P2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 C1 C2 P2 T4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 C3 T2 T3 C1 C2 P2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 T3 C1 C2 P2 Ф1 Ф2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T3 C1 C2 P2 Ф1 T4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6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 C3 Ф1 Ф2 C1 C2 P2 T4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7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 C3 T3 C1 C2 P2 Ф1 Ф2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T2 T3 T4 C1 C2 P1 Ф1 Ф2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9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Ф2 Ф3 C3 T2 T3 T4 C1 C2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10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Ф2 T4 C1 C2 T1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T1 Ф1 Ф2 T4 C1 C2 T2 T3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T1 </w:t>
            </w:r>
            <w:r>
              <w:rPr>
                <w:sz w:val="28"/>
                <w:szCs w:val="28"/>
                <w:lang w:val="ru-RU"/>
              </w:rPr>
              <w:t>Ф</w:t>
            </w:r>
            <w:r>
              <w:rPr>
                <w:sz w:val="28"/>
                <w:szCs w:val="28"/>
                <w:lang w:val="en-US"/>
              </w:rPr>
              <w:t>1 T4 C1 C2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T2 T3 Ф1 Ф2 P1 T4 C1 C2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20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Деталь номер 14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ListParagraph"/>
              <w:numPr>
                <w:ilvl w:val="0"/>
                <w:numId w:val="0"/>
              </w:numPr>
              <w:spacing w:lineRule="auto" w:line="276" w:before="0" w:after="120"/>
              <w:ind w:left="720" w:hanging="0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 w:eastAsia="uk-UA"/>
              </w:rPr>
              <w:t>T4 C1 C2 Ф1 Ф2</w:t>
            </w:r>
          </w:p>
        </w:tc>
      </w:tr>
    </w:tbl>
    <w:p>
      <w:pPr>
        <w:pStyle w:val="Normal"/>
        <w:widowControl w:val="false"/>
        <w:spacing w:lineRule="auto" w:line="240" w:before="0" w:after="0"/>
        <w:ind w:firstLine="709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де   </w:t>
        <w:tab/>
        <w:t xml:space="preserve">  </w:t>
      </w:r>
    </w:p>
    <w:p>
      <w:pPr>
        <w:pStyle w:val="ListParagraph"/>
        <w:spacing w:lineRule="auto" w:line="276"/>
        <w:rPr/>
      </w:pPr>
      <w:r>
        <w:rPr>
          <w:szCs w:val="28"/>
        </w:rPr>
        <w:t>T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– токарські операції;                                  </w:t>
      </w:r>
    </w:p>
    <w:p>
      <w:pPr>
        <w:pStyle w:val="ListParagraph"/>
        <w:spacing w:lineRule="auto" w:line="276"/>
        <w:rPr/>
      </w:pPr>
      <w:r>
        <w:rPr/>
        <w:t>C</w:t>
      </w:r>
      <w:r>
        <w:rPr>
          <w:vertAlign w:val="subscript"/>
        </w:rPr>
        <w:t>i</w:t>
      </w:r>
      <w:r>
        <w:rPr/>
        <w:t>– свердлильні операції;</w:t>
      </w:r>
    </w:p>
    <w:p>
      <w:pPr>
        <w:pStyle w:val="ListParagraph"/>
        <w:spacing w:lineRule="auto" w:line="276"/>
        <w:rPr/>
      </w:pPr>
      <w:r>
        <w:rPr/>
        <w:t>Ф</w:t>
      </w:r>
      <w:r>
        <w:rPr>
          <w:vertAlign w:val="subscript"/>
        </w:rPr>
        <w:t>і</w:t>
      </w:r>
      <w:r>
        <w:rPr/>
        <w:t>– фрезерувальні операції;</w:t>
      </w:r>
    </w:p>
    <w:p>
      <w:pPr>
        <w:pStyle w:val="ListParagraph"/>
        <w:spacing w:lineRule="auto" w:line="276"/>
        <w:rPr/>
      </w:pPr>
      <w:r>
        <w:rPr>
          <w:szCs w:val="28"/>
        </w:rPr>
        <w:t xml:space="preserve"> </w:t>
      </w:r>
      <w:r>
        <w:rPr>
          <w:szCs w:val="28"/>
        </w:rPr>
        <w:t>Р</w:t>
      </w:r>
      <w:r>
        <w:rPr>
          <w:szCs w:val="28"/>
          <w:vertAlign w:val="subscript"/>
        </w:rPr>
        <w:t>i</w:t>
      </w:r>
      <w:r>
        <w:rPr>
          <w:szCs w:val="28"/>
        </w:rPr>
        <w:t xml:space="preserve"> -  операції різьблення.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  <w:t>Модулі та номенклатура операцій, що виконують дані модулі вказані в таблиці 2</w:t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right"/>
        <w:rPr>
          <w:rFonts w:ascii="Times New Roman CYR" w:hAnsi="Times New Roman CYR" w:cs="Times New Roman CYR"/>
          <w:i/>
          <w:i/>
          <w:iCs/>
          <w:sz w:val="28"/>
          <w:szCs w:val="28"/>
        </w:rPr>
      </w:pPr>
      <w:r>
        <w:rPr>
          <w:rFonts w:cs="Times New Roman CYR" w:ascii="Times New Roman CYR" w:hAnsi="Times New Roman CYR"/>
          <w:i/>
          <w:iCs/>
          <w:sz w:val="28"/>
          <w:szCs w:val="28"/>
        </w:rPr>
        <w:t>Таблиця 2</w:t>
      </w:r>
    </w:p>
    <w:tbl>
      <w:tblPr>
        <w:tblW w:w="9639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 xml:space="preserve">№ </w:t>
            </w:r>
            <w:r>
              <w:rPr/>
              <w:t>ГВМ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Операції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1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2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Ф3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3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Т2 С3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4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С1 С2 Е1 Р2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ГВМ 5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ListParagraph"/>
              <w:spacing w:lineRule="auto" w:line="360" w:before="0" w:after="120"/>
              <w:ind w:left="720" w:hanging="0"/>
              <w:contextualSpacing/>
              <w:jc w:val="both"/>
              <w:rPr/>
            </w:pPr>
            <w:r>
              <w:rPr/>
              <w:t>Т4 Ф1 Ф2 Р1</w:t>
            </w:r>
          </w:p>
        </w:tc>
      </w:tr>
    </w:tbl>
    <w:p>
      <w:pPr>
        <w:pStyle w:val="Normal"/>
        <w:widowControl w:val="false"/>
        <w:tabs>
          <w:tab w:val="left" w:pos="8860" w:leader="none"/>
        </w:tabs>
        <w:spacing w:before="0" w:after="0"/>
        <w:ind w:hanging="0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cs="Times New Roman CYR" w:ascii="Times New Roman CYR" w:hAnsi="Times New Roman CYR"/>
          <w:sz w:val="28"/>
          <w:szCs w:val="28"/>
        </w:rPr>
      </w:r>
    </w:p>
    <w:p>
      <w:pPr>
        <w:pStyle w:val="Normal"/>
        <w:widowControl w:val="false"/>
        <w:tabs>
          <w:tab w:val="left" w:pos="8860" w:leader="none"/>
        </w:tabs>
        <w:spacing w:before="0" w:after="0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_DdeLink__230_1859573485"/>
      <w:r>
        <w:rPr>
          <w:rFonts w:cs="Times New Roman CYR" w:ascii="Times New Roman CYR" w:hAnsi="Times New Roman CYR"/>
          <w:sz w:val="28"/>
          <w:szCs w:val="28"/>
        </w:rPr>
        <w:t>Структу</w:t>
      </w:r>
      <w:bookmarkEnd w:id="0"/>
      <w:r>
        <w:rPr>
          <w:rFonts w:cs="Times New Roman CYR" w:ascii="Times New Roman CYR" w:hAnsi="Times New Roman CYR"/>
          <w:sz w:val="28"/>
          <w:szCs w:val="28"/>
        </w:rPr>
        <w:t>рно-технологічна схема ГАД з урахуванням того, які операції виконуються на кожному з ГВМ, має такий вигляд (рис.2):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  <w:drawing>
          <wp:anchor behindDoc="0" distT="0" distB="127000" distL="0" distR="0" simplePos="0" locked="0" layoutInCell="1" allowOverlap="1" relativeHeight="3">
            <wp:simplePos x="0" y="0"/>
            <wp:positionH relativeFrom="column">
              <wp:posOffset>186055</wp:posOffset>
            </wp:positionH>
            <wp:positionV relativeFrom="paragraph">
              <wp:posOffset>203200</wp:posOffset>
            </wp:positionV>
            <wp:extent cx="5486400" cy="18459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cs="Times New Roman CYR" w:ascii="Times New Roman CYR" w:hAnsi="Times New Roman CYR"/>
          <w:sz w:val="28"/>
          <w:szCs w:val="28"/>
          <w:lang w:val="en-US"/>
        </w:rPr>
      </w:r>
    </w:p>
    <w:p>
      <w:pPr>
        <w:pStyle w:val="Normal"/>
        <w:widowControl w:val="false"/>
        <w:spacing w:lineRule="auto" w:line="360" w:before="0" w:after="0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>Рис.2. Оптимізована структурно-технологічна схема ГАД</w:t>
      </w:r>
      <w:r>
        <w:br w:type="page"/>
      </w:r>
    </w:p>
    <w:p>
      <w:pPr>
        <w:pStyle w:val="Normal"/>
        <w:widowControl w:val="false"/>
        <w:spacing w:lineRule="auto" w:line="360" w:before="0" w:after="0"/>
        <w:ind w:firstLine="709"/>
        <w:jc w:val="both"/>
        <w:rPr/>
      </w:pPr>
      <w:r>
        <w:rPr>
          <w:rFonts w:cs="Times New Roman CYR" w:ascii="Times New Roman CYR" w:hAnsi="Times New Roman CYR"/>
          <w:sz w:val="28"/>
          <w:szCs w:val="28"/>
        </w:rPr>
        <w:t xml:space="preserve">Основні параметри ГАД представлені у таблиці </w:t>
      </w:r>
      <w:r>
        <w:rPr>
          <w:rFonts w:cs="Times New Roman CYR" w:ascii="Times New Roman CYR" w:hAnsi="Times New Roman CYR"/>
          <w:sz w:val="28"/>
          <w:szCs w:val="28"/>
          <w:lang w:val="ru-RU"/>
        </w:rPr>
        <w:t>3</w:t>
      </w:r>
      <w:r>
        <w:rPr>
          <w:rFonts w:cs="Times New Roman CYR" w:ascii="Times New Roman CYR" w:hAnsi="Times New Roman CYR"/>
          <w:sz w:val="28"/>
          <w:szCs w:val="28"/>
        </w:rPr>
        <w:t>: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 CYR" w:hAnsi="Times New Roman CYR" w:cs="Times New Roman CYR"/>
          <w:sz w:val="28"/>
          <w:szCs w:val="28"/>
          <w:lang w:val="ru-RU"/>
        </w:rPr>
      </w:pPr>
      <w:r>
        <w:rPr>
          <w:rFonts w:cs="Times New Roman CYR" w:ascii="Times New Roman CYR" w:hAnsi="Times New Roman CYR"/>
          <w:sz w:val="28"/>
          <w:szCs w:val="28"/>
          <w:lang w:val="ru-RU"/>
        </w:rPr>
      </w:r>
    </w:p>
    <w:p>
      <w:pPr>
        <w:pStyle w:val="Normal"/>
        <w:widowControl w:val="false"/>
        <w:spacing w:lineRule="auto" w:line="360" w:before="0" w:after="0"/>
        <w:ind w:firstLine="709"/>
        <w:jc w:val="right"/>
        <w:rPr/>
      </w:pPr>
      <w:r>
        <w:rPr>
          <w:rFonts w:cs="Times New Roman CYR" w:ascii="Times New Roman CYR" w:hAnsi="Times New Roman CYR"/>
          <w:i/>
          <w:sz w:val="28"/>
          <w:szCs w:val="28"/>
        </w:rPr>
        <w:t xml:space="preserve">Таблиця </w:t>
      </w:r>
      <w:r>
        <w:rPr>
          <w:rFonts w:cs="Times New Roman CYR" w:ascii="Times New Roman CYR" w:hAnsi="Times New Roman CYR"/>
          <w:i/>
          <w:sz w:val="28"/>
          <w:szCs w:val="28"/>
          <w:lang w:val="ru-RU"/>
        </w:rPr>
        <w:t>3</w:t>
      </w:r>
    </w:p>
    <w:tbl>
      <w:tblPr>
        <w:tblW w:w="8568" w:type="dxa"/>
        <w:jc w:val="left"/>
        <w:tblInd w:w="512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1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475"/>
        <w:gridCol w:w="1797"/>
        <w:gridCol w:w="1510"/>
        <w:gridCol w:w="1785"/>
      </w:tblGrid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Найменування параметрів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Позначення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Значення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Од. вимірювання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Середня трудомісткість обробки однієї ДУ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год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завантаження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з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розвантаження ГПМ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Довжина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Швидкість переміщення РШ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V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м/хв</w:t>
            </w:r>
          </w:p>
        </w:tc>
      </w:tr>
      <w:tr>
        <w:trPr/>
        <w:tc>
          <w:tcPr>
            <w:tcW w:w="34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Час на операцію взяти/поставити</w:t>
            </w:r>
          </w:p>
        </w:tc>
        <w:tc>
          <w:tcPr>
            <w:tcW w:w="179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вз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=t</w:t>
            </w:r>
            <w:r>
              <w:rPr>
                <w:rFonts w:cs="Times New Roman" w:ascii="Times New Roman" w:hAnsi="Times New Roman"/>
                <w:sz w:val="28"/>
                <w:szCs w:val="28"/>
                <w:vertAlign w:val="subscript"/>
              </w:rPr>
              <w:t>пост</w:t>
            </w:r>
          </w:p>
        </w:tc>
        <w:tc>
          <w:tcPr>
            <w:tcW w:w="15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78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1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хв</w:t>
            </w:r>
          </w:p>
        </w:tc>
      </w:tr>
    </w:tbl>
    <w:p>
      <w:pPr>
        <w:pStyle w:val="Normal"/>
        <w:widowControl/>
        <w:bidi w:val="0"/>
        <w:spacing w:before="0" w:after="200"/>
        <w:jc w:val="left"/>
        <w:rPr/>
      </w:pPr>
      <w:r>
        <w:rPr/>
      </w:r>
    </w:p>
    <w:sectPr>
      <w:type w:val="nextPage"/>
      <w:pgSz w:w="11906" w:h="16838"/>
      <w:pgMar w:left="1417" w:right="850" w:header="0" w:top="850" w:footer="0" w:bottom="42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 CYR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7fc6"/>
    <w:pPr>
      <w:widowControl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00000A"/>
      <w:sz w:val="22"/>
      <w:szCs w:val="22"/>
      <w:lang w:val="uk-UA" w:eastAsia="uk-UA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uiPriority w:val="99"/>
    <w:semiHidden/>
    <w:qFormat/>
    <w:rsid w:val="001d7fc6"/>
    <w:rPr>
      <w:rFonts w:ascii="Tahoma" w:hAnsi="Tahoma" w:eastAsia="" w:cs="Tahoma" w:eastAsiaTheme="minorEastAsia"/>
      <w:sz w:val="16"/>
      <w:szCs w:val="16"/>
      <w:lang w:eastAsia="uk-UA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BalloonText">
    <w:name w:val="Balloon Text"/>
    <w:basedOn w:val="Normal"/>
    <w:uiPriority w:val="99"/>
    <w:semiHidden/>
    <w:unhideWhenUsed/>
    <w:qFormat/>
    <w:rsid w:val="001d7fc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7fc6"/>
    <w:pPr>
      <w:spacing w:lineRule="auto" w:line="360" w:before="0" w:after="120"/>
      <w:ind w:left="720" w:hanging="0"/>
      <w:contextualSpacing/>
      <w:jc w:val="both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rsid w:val="00d727b1"/>
    <w:pPr>
      <w:spacing w:line="240" w:lineRule="auto"/>
    </w:pPr>
    <w:rPr>
      <w:lang w:val="ru-RU"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8">
    <w:name w:val="Table Grid"/>
    <w:basedOn w:val="a1"/>
    <w:uiPriority w:val="59"/>
    <w:rsid w:val="00d727b1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LibreOffice/5.0.3.2$Linux_X86_64 LibreOffice_project/00m0$Build-2</Application>
  <Paragraphs>92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2016-03-09T19:07:00Z</dcterms:created>
  <dc:creator>Leonid</dc:creator>
  <dc:language>en-US</dc:language>
  <cp:lastModifiedBy>Ivan </cp:lastModifiedBy>
  <cp:lastPrinted>2016-03-22T08:31:00Z</cp:lastPrinted>
  <dcterms:modified xsi:type="dcterms:W3CDTF">2016-03-23T21:40:08Z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