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Podcast: Obesidad desde la Medicina de Familia</w:t>
      </w:r>
    </w:p>
    <w:p>
      <w:pPr/>
      <w:r>
        <w:t xml:space="preserve">Oct 13, 2026</w:t>
      </w:r>
      <w:r>
        <w:t xml:space="preserve"> · </w:t>
      </w:r>
      <w:r>
        <w:t xml:space="preserve">@cris</w:t>
      </w:r>
    </w:p>
    <w:p>
      <w:pPr/>
      <w:r>
        <w:t xml:space="preserve">Un episodio de 45 minutos, a dos voces, entre dos médicas de familia que tratan la obesidad como enfermedad crónica: rigor científico contado con cercanía de consulta.</w:t>
      </w:r>
    </w:p>
    <w:p>
      <w:pPr>
        <w:pStyle w:val="Heading2"/>
      </w:pPr>
      <w:r>
        <w:t xml:space="preserve">Ficha técnica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Título provisional</w:t>
            </w:r>
          </w:p>
        </w:tc>
        <w:tc>
          <w:tcPr>
            <w:tcW w:w="4680" w:type="dxa"/>
          </w:tcPr>
          <w:p>
            <w:pPr/>
            <w:r>
              <w:t xml:space="preserve">«Más allá de la báscula: obesidad, fármacos nuevos y lo que nunca pasa de moda»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Alternativas</w:t>
            </w:r>
          </w:p>
        </w:tc>
        <w:tc>
          <w:tcPr>
            <w:tcW w:w="4680" w:type="dxa"/>
          </w:tcPr>
          <w:p>
            <w:pPr/>
            <w:r>
              <w:t xml:space="preserve">«La consulta de las 9:00» · «Del congreso a la consulta» · «Pinchazo, plato y pesas»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Duración</w:t>
            </w:r>
          </w:p>
        </w:tc>
        <w:tc>
          <w:tcPr>
            <w:tcW w:w="4680" w:type="dxa"/>
          </w:tcPr>
          <w:p>
            <w:pPr/>
            <w:r>
              <w:t xml:space="preserve">45 min (6 bloques + 2 cápsulas cortas)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Voces</w:t>
            </w:r>
          </w:p>
        </w:tc>
        <w:tc>
          <w:tcPr>
            <w:tcW w:w="4680" w:type="dxa"/>
          </w:tcPr>
          <w:p>
            <w:pPr/>
            <w:r>
              <w:t xml:space="preserve">Cristina (conduce) y Ana (co-conduce). Ambas preguntan y ambas responden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Público</w:t>
            </w:r>
          </w:p>
        </w:tc>
        <w:tc>
          <w:tcPr>
            <w:tcW w:w="4680" w:type="dxa"/>
          </w:tcPr>
          <w:p>
            <w:pPr/>
            <w:r>
              <w:t xml:space="preserve">Población general interesada en salud metabólica; también profesionales sanitarios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Tono</w:t>
            </w:r>
          </w:p>
        </w:tc>
        <w:tc>
          <w:tcPr>
            <w:tcW w:w="4680" w:type="dxa"/>
          </w:tcPr>
          <w:p>
            <w:pPr/>
            <w:r>
              <w:t xml:space="preserve">Cercano, basado en evidencia, sin estigma, con casos reales anonimizados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Idea fuerza</w:t>
            </w:r>
          </w:p>
        </w:tc>
        <w:tc>
          <w:tcPr>
            <w:tcW w:w="4680" w:type="dxa"/>
          </w:tcPr>
          <w:p>
            <w:pPr/>
            <w:r>
              <w:t xml:space="preserve">Los fármacos cambian el juego, pero el tablero sigue siendo la dieta, el músculo, el sueño y el seguimiento</w:t>
            </w:r>
          </w:p>
        </w:tc>
      </w:tr>
    </w:tbl>
    <w:p>
      <w:pPr/>
      <w:r>
        <w:rPr>
          <w:b/>
        </w:rPr>
        <w:t xml:space="preserve">Reglas de estilo para la grabación</w:t>
      </w:r>
    </w:p>
    <w:p>
      <w:pPr>
        <w:pStyle w:val="ListParagraph"/>
        <w:numPr>
          <w:ilvl w:val="0"/>
          <w:numId w:val="2"/>
        </w:numPr>
      </w:pPr>
      <w:r>
        <w:t xml:space="preserve">Lenguaje centrado en la persona: «persona con obesidad», no «obeso».</w:t>
      </w:r>
    </w:p>
    <w:p>
      <w:pPr>
        <w:pStyle w:val="ListParagraph"/>
        <w:numPr>
          <w:ilvl w:val="0"/>
          <w:numId w:val="2"/>
        </w:numPr>
      </w:pPr>
      <w:r>
        <w:t xml:space="preserve">Cada cifra con su fuente y en palabras sencillas («uno de cada cinco kilos»).</w:t>
      </w:r>
    </w:p>
    <w:p>
      <w:pPr>
        <w:pStyle w:val="ListParagraph"/>
        <w:numPr>
          <w:ilvl w:val="0"/>
          <w:numId w:val="2"/>
        </w:numPr>
      </w:pPr>
      <w:r>
        <w:t xml:space="preserve">Nada de nombres comerciales como recomendación; principio activo primero.</w:t>
      </w:r>
    </w:p>
    <w:p>
      <w:pPr>
        <w:pStyle w:val="ListParagraph"/>
        <w:numPr>
          <w:ilvl w:val="0"/>
          <w:numId w:val="2"/>
        </w:numPr>
      </w:pPr>
      <w:r>
        <w:t xml:space="preserve">Aviso final: el contenido es divulgativo y no sustituye a la consulta individual.</w:t>
      </w:r>
    </w:p>
    <w:p>
      <w:pPr>
        <w:pStyle w:val="Heading2"/>
      </w:pPr>
      <w:r>
        <w:t xml:space="preserve">Escaleta (45 min)</w:t>
      </w:r>
    </w:p>
    <w:p>
      <w:pPr/>
      <w:r>
        <w:t xml:space="preserve">La conducción se alterna por bloques para que ninguna de las dos quede solo como entrevistada.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Minuto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Bloque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Conduce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Objetivo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00:00–03:00</w:t>
            </w:r>
          </w:p>
        </w:tc>
        <w:tc>
          <w:tcPr>
            <w:tcW w:w="2340" w:type="dxa"/>
          </w:tcPr>
          <w:p>
            <w:pPr/>
            <w:r>
              <w:t xml:space="preserve">Apertura y gancho</w:t>
            </w:r>
          </w:p>
        </w:tc>
        <w:tc>
          <w:tcPr>
            <w:tcW w:w="2340" w:type="dxa"/>
          </w:tcPr>
          <w:p>
            <w:pPr/>
            <w:r>
              <w:t xml:space="preserve">Cristina</w:t>
            </w:r>
          </w:p>
        </w:tc>
        <w:tc>
          <w:tcPr>
            <w:tcW w:w="2340" w:type="dxa"/>
          </w:tcPr>
          <w:p>
            <w:pPr/>
            <w:r>
              <w:t xml:space="preserve">Captar con un dato potente y presentar a Ana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03:00–08:00</w:t>
            </w:r>
          </w:p>
        </w:tc>
        <w:tc>
          <w:tcPr>
            <w:tcW w:w="2340" w:type="dxa"/>
          </w:tcPr>
          <w:p>
            <w:pPr/>
            <w:r>
              <w:t xml:space="preserve">1. Cómo nos conocimos</w:t>
            </w:r>
          </w:p>
        </w:tc>
        <w:tc>
          <w:tcPr>
            <w:tcW w:w="2340" w:type="dxa"/>
          </w:tcPr>
          <w:p>
            <w:pPr/>
            <w:r>
              <w:t xml:space="preserve">Ana</w:t>
            </w:r>
          </w:p>
        </w:tc>
        <w:tc>
          <w:tcPr>
            <w:tcW w:w="2340" w:type="dxa"/>
          </w:tcPr>
          <w:p>
            <w:pPr/>
            <w:r>
              <w:t xml:space="preserve">Historia del congreso y de la divulgación en redes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08:00–15:00</w:t>
            </w:r>
          </w:p>
        </w:tc>
        <w:tc>
          <w:tcPr>
            <w:tcW w:w="2340" w:type="dxa"/>
          </w:tcPr>
          <w:p>
            <w:pPr/>
            <w:r>
              <w:t xml:space="preserve">2. La obesidad es una enfermedad</w:t>
            </w:r>
          </w:p>
        </w:tc>
        <w:tc>
          <w:tcPr>
            <w:tcW w:w="2340" w:type="dxa"/>
          </w:tcPr>
          <w:p>
            <w:pPr/>
            <w:r>
              <w:t xml:space="preserve">Cristina</w:t>
            </w:r>
          </w:p>
        </w:tc>
        <w:tc>
          <w:tcPr>
            <w:tcW w:w="2340" w:type="dxa"/>
          </w:tcPr>
          <w:p>
            <w:pPr/>
            <w:r>
              <w:t xml:space="preserve">Epidemiología, estigma y nueva definición de obesidad clínica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15:00–24:00</w:t>
            </w:r>
          </w:p>
        </w:tc>
        <w:tc>
          <w:tcPr>
            <w:tcW w:w="2340" w:type="dxa"/>
          </w:tcPr>
          <w:p>
            <w:pPr/>
            <w:r>
              <w:t xml:space="preserve">3. La base: plato, músculo y sueño</w:t>
            </w:r>
          </w:p>
        </w:tc>
        <w:tc>
          <w:tcPr>
            <w:tcW w:w="2340" w:type="dxa"/>
          </w:tcPr>
          <w:p>
            <w:pPr/>
            <w:r>
              <w:t xml:space="preserve">Ana</w:t>
            </w:r>
          </w:p>
        </w:tc>
        <w:tc>
          <w:tcPr>
            <w:tcW w:w="2340" w:type="dxa"/>
          </w:tcPr>
          <w:p>
            <w:pPr/>
            <w:r>
              <w:t xml:space="preserve">Dieta, proteína, fuerza, conducta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24:00–34:00</w:t>
            </w:r>
          </w:p>
        </w:tc>
        <w:tc>
          <w:tcPr>
            <w:tcW w:w="2340" w:type="dxa"/>
          </w:tcPr>
          <w:p>
            <w:pPr/>
            <w:r>
              <w:t xml:space="preserve">4. La revolución farmacológica</w:t>
            </w:r>
          </w:p>
        </w:tc>
        <w:tc>
          <w:tcPr>
            <w:tcW w:w="2340" w:type="dxa"/>
          </w:tcPr>
          <w:p>
            <w:pPr/>
            <w:r>
              <w:t xml:space="preserve">Cristina</w:t>
            </w:r>
          </w:p>
        </w:tc>
        <w:tc>
          <w:tcPr>
            <w:tcW w:w="2340" w:type="dxa"/>
          </w:tcPr>
          <w:p>
            <w:pPr/>
            <w:r>
              <w:t xml:space="preserve">GLP-1, duales, triples, orales: qué dicen los ensayos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34:00–41:00</w:t>
            </w:r>
          </w:p>
        </w:tc>
        <w:tc>
          <w:tcPr>
            <w:tcW w:w="2340" w:type="dxa"/>
          </w:tcPr>
          <w:p>
            <w:pPr/>
            <w:r>
              <w:t xml:space="preserve">5. La consulta real</w:t>
            </w:r>
          </w:p>
        </w:tc>
        <w:tc>
          <w:tcPr>
            <w:tcW w:w="2340" w:type="dxa"/>
          </w:tcPr>
          <w:p>
            <w:pPr/>
            <w:r>
              <w:t xml:space="preserve">Ana</w:t>
            </w:r>
          </w:p>
        </w:tc>
        <w:tc>
          <w:tcPr>
            <w:tcW w:w="2340" w:type="dxa"/>
          </w:tcPr>
          <w:p>
            <w:pPr/>
            <w:r>
              <w:t xml:space="preserve">Efectos adversos, músculo, suspensión, acceso, mitos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41:00–45:00</w:t>
            </w:r>
          </w:p>
        </w:tc>
        <w:tc>
          <w:tcPr>
            <w:tcW w:w="2340" w:type="dxa"/>
          </w:tcPr>
          <w:p>
            <w:pPr/>
            <w:r>
              <w:t xml:space="preserve">6. Ronda rápida y cierre</w:t>
            </w:r>
          </w:p>
        </w:tc>
        <w:tc>
          <w:tcPr>
            <w:tcW w:w="2340" w:type="dxa"/>
          </w:tcPr>
          <w:p>
            <w:pPr/>
            <w:r>
              <w:t xml:space="preserve">Ambas</w:t>
            </w:r>
          </w:p>
        </w:tc>
        <w:tc>
          <w:tcPr>
            <w:tcW w:w="2340" w:type="dxa"/>
          </w:tcPr>
          <w:p>
            <w:pPr/>
            <w:r>
              <w:t xml:space="preserve">Mensajes clave y despedida</w:t>
            </w:r>
          </w:p>
        </w:tc>
      </w:tr>
    </w:tbl>
    <w:p>
      <w:pPr/>
      <w:r>
        <w:t xml:space="preserve">Dos cápsulas de 30 segundos para insertar en edición: </w:t>
      </w:r>
      <w:r>
        <w:rPr>
          <w:b/>
        </w:rPr>
        <w:t xml:space="preserve">«Mito o evidencia»</w:t>
      </w:r>
      <w:r>
        <w:t xml:space="preserve"> (tras el bloque 3) y </w:t>
      </w:r>
      <w:r>
        <w:rPr>
          <w:b/>
        </w:rPr>
        <w:t xml:space="preserve">«El dato del congreso»</w:t>
      </w:r>
      <w:r>
        <w:t xml:space="preserve"> (tras el bloque 4).</w:t>
      </w:r>
    </w:p>
    <w:p>
      <w:pPr>
        <w:pStyle w:val="Heading2"/>
      </w:pPr>
      <w:r>
        <w:t xml:space="preserve">Apertura y Bloque 1 — Cómo nos conocimos (00:00–08:00)</w:t>
      </w:r>
    </w:p>
    <w:p>
      <w:pPr/>
      <w:r>
        <w:rPr>
          <w:b/>
        </w:rPr>
        <w:t xml:space="preserve">Gancho de apertura (Cristina, guion sugerido)</w:t>
      </w:r>
    </w:p>
    <w:p>
      <w:pPr>
        <w:pStyle w:val="Quote"/>
      </w:pPr>
      <w:r>
        <w:t xml:space="preserve">«Hace unos años, perder un 20 % del peso corporal solo era posible con cirugía. Hoy hay fármacos que se acercan a esa cifra en los ensayos. Y aun así, la pregunta que más me hacen en consulta sigue siendo: ‘Doctora, ¿y qué como?’. De esa tensión va este episodio. Y para hablarlo he invitado a alguien a quien conocí en Milán, en el congreso europeo de diabetes, el EASD 2026…»</w:t>
      </w:r>
    </w:p>
    <w:p>
      <w:pPr/>
      <w:r>
        <w:rPr>
          <w:b/>
        </w:rPr>
        <w:t xml:space="preserve">Preguntas de Cristina a Ana</w:t>
      </w:r>
    </w:p>
    <w:p>
      <w:pPr>
        <w:pStyle w:val="ListParagraph"/>
        <w:numPr>
          <w:ilvl w:val="0"/>
          <w:numId w:val="3"/>
        </w:numPr>
      </w:pPr>
      <w:r>
        <w:t xml:space="preserve">Ana, preséntate como lo harías a un paciente nuevo: ¿quién eres y por qué la obesidad?</w:t>
      </w:r>
    </w:p>
    <w:p>
      <w:pPr>
        <w:pStyle w:val="ListParagraph"/>
        <w:numPr>
          <w:ilvl w:val="0"/>
          <w:numId w:val="3"/>
        </w:numPr>
      </w:pPr>
      <w:r>
        <w:t xml:space="preserve">Nos conocimos en el EASD 2026 en Milán, en una sesión con médicos que divulgamos en redes. ¿Qué te llevó allí y qué te llevó de vuelta a casa?</w:t>
      </w:r>
    </w:p>
    <w:p>
      <w:pPr>
        <w:pStyle w:val="ListParagraph"/>
        <w:numPr>
          <w:ilvl w:val="0"/>
          <w:numId w:val="3"/>
        </w:numPr>
      </w:pPr>
      <w:r>
        <w:t xml:space="preserve">¿Qué aporta la medicina de familia en obesidad que no aporta ninguna otra especialidad?</w:t>
      </w:r>
    </w:p>
    <w:p>
      <w:pPr/>
      <w:r>
        <w:rPr>
          <w:b/>
        </w:rPr>
        <w:t xml:space="preserve">Preguntas de Ana a Cristina</w:t>
      </w:r>
    </w:p>
    <w:p>
      <w:pPr>
        <w:pStyle w:val="ListParagraph"/>
        <w:numPr>
          <w:ilvl w:val="0"/>
          <w:numId w:val="4"/>
        </w:numPr>
      </w:pPr>
      <w:r>
        <w:t xml:space="preserve">¿Por qué decidiste divulgar en redes? ¿Qué es lo más difícil de explicar ciencia en 60 segundos?</w:t>
      </w:r>
    </w:p>
    <w:p>
      <w:pPr>
        <w:pStyle w:val="ListParagraph"/>
        <w:numPr>
          <w:ilvl w:val="0"/>
          <w:numId w:val="4"/>
        </w:numPr>
      </w:pPr>
      <w:r>
        <w:t xml:space="preserve">¿Qué bulo sobre obesidad te has encontrado en redes que te hizo decir «esto hay que contarlo»?</w:t>
      </w:r>
    </w:p>
    <w:p>
      <w:pPr/>
      <w:r>
        <w:rPr>
          <w:b/>
        </w:rPr>
        <w:t xml:space="preserve">Para las dos</w:t>
      </w:r>
    </w:p>
    <w:p>
      <w:pPr>
        <w:pStyle w:val="ListParagraph"/>
        <w:numPr>
          <w:ilvl w:val="0"/>
          <w:numId w:val="5"/>
        </w:numPr>
      </w:pPr>
      <w:r>
        <w:t xml:space="preserve">Si tuviéramos que resumir el congreso en una frase para nuestros pacientes, ¿cuál sería?</w:t>
      </w:r>
    </w:p>
    <w:p>
      <w:pPr/>
      <w:r>
        <w:t xml:space="preserve">Nota de producción: el congreso es el EASD 2026, celebrado en Milán.</w:t>
      </w:r>
    </w:p>
    <w:p>
      <w:pPr>
        <w:pStyle w:val="Heading2"/>
      </w:pPr>
      <w:r>
        <w:t xml:space="preserve">Bloque 2 — La obesidad es una enfermedad (08:00–15:00)</w:t>
      </w:r>
    </w:p>
    <w:p>
      <w:pPr/>
      <w:r>
        <w:t xml:space="preserve">Mensaje: el IMC ya no basta; desde 2025 hablamos de obesidad </w:t>
      </w:r>
      <w:r>
        <w:rPr>
          <w:i/>
        </w:rPr>
        <w:t xml:space="preserve">preclínica</w:t>
      </w:r>
      <w:r>
        <w:t xml:space="preserve"> y </w:t>
      </w:r>
      <w:r>
        <w:rPr>
          <w:i/>
        </w:rPr>
        <w:t xml:space="preserve">clínica</w:t>
      </w:r>
      <w:r>
        <w:t xml:space="preserve">, y eso cambia a quién tratamos y cuándo.</w:t>
      </w:r>
    </w:p>
    <w:p>
      <w:pPr/>
      <w:r>
        <w:rPr>
          <w:b/>
        </w:rPr>
        <w:t xml:space="preserve">Datos para soltar en antena (aproximados, verificar fuente antes de grabar)</w:t>
      </w:r>
    </w:p>
    <w:p>
      <w:pPr>
        <w:pStyle w:val="ListParagraph"/>
        <w:numPr>
          <w:ilvl w:val="0"/>
          <w:numId w:val="6"/>
        </w:numPr>
      </w:pPr>
      <w:r>
        <w:t xml:space="preserve">Más de 1.000 millones de personas viven con obesidad en el mundo (NCD-RisC, </w:t>
      </w:r>
      <w:r>
        <w:rPr>
          <w:i/>
        </w:rPr>
        <w:t xml:space="preserve">The Lancet</w:t>
      </w:r>
      <w:r>
        <w:t xml:space="preserve">, 2024).</w:t>
      </w:r>
    </w:p>
    <w:p>
      <w:pPr>
        <w:pStyle w:val="ListParagraph"/>
        <w:numPr>
          <w:ilvl w:val="0"/>
          <w:numId w:val="6"/>
        </w:numPr>
      </w:pPr>
      <w:r>
        <w:t xml:space="preserve">En España, alrededor de 1 de cada 5 adultos tiene obesidad y más de la mitad tiene exceso de peso.</w:t>
      </w:r>
    </w:p>
    <w:p>
      <w:pPr>
        <w:pStyle w:val="ListParagraph"/>
        <w:numPr>
          <w:ilvl w:val="0"/>
          <w:numId w:val="6"/>
        </w:numPr>
      </w:pPr>
      <w:r>
        <w:t xml:space="preserve">La Comisión de </w:t>
      </w:r>
      <w:r>
        <w:rPr>
          <w:i/>
        </w:rPr>
        <w:t xml:space="preserve">The Lancet Diabetes &amp; Endocrinology</w:t>
      </w:r>
      <w:r>
        <w:t xml:space="preserve"> (Rubino et al., enero 2025) define la </w:t>
      </w:r>
      <w:r>
        <w:rPr>
          <w:b/>
        </w:rPr>
        <w:t xml:space="preserve">obesidad clínica</w:t>
      </w:r>
      <w:r>
        <w:t xml:space="preserve"> como enfermedad con disfunción de órganos o limitación de la vida diaria, y la </w:t>
      </w:r>
      <w:r>
        <w:rPr>
          <w:b/>
        </w:rPr>
        <w:t xml:space="preserve">preclínica</w:t>
      </w:r>
      <w:r>
        <w:t xml:space="preserve"> como exceso de adiposidad con riesgo pero sin daño todavía.</w:t>
      </w:r>
    </w:p>
    <w:p>
      <w:pPr>
        <w:pStyle w:val="ListParagraph"/>
        <w:numPr>
          <w:ilvl w:val="0"/>
          <w:numId w:val="6"/>
        </w:numPr>
      </w:pPr>
      <w:r>
        <w:t xml:space="preserve">Propone confirmar el exceso de grasa con al menos una medida adicional al IMC: perímetro de cintura, índice cintura/talla (&gt; 0,5) o medición directa (DXA).</w:t>
      </w:r>
    </w:p>
    <w:p>
      <w:pPr/>
      <w:r>
        <w:rPr>
          <w:b/>
        </w:rPr>
        <w:t xml:space="preserve">Preguntas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(Cristina → Ana)</w:t>
      </w:r>
      <w:r>
        <w:t xml:space="preserve"> ¿Cómo le explicas a un paciente que la obesidad es una enfermedad y no una falta de voluntad, sin que suene a excusa?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(Ana → Cristina)</w:t>
      </w:r>
      <w:r>
        <w:t xml:space="preserve"> ¿Qué cambia en tu consulta de mañana la distinción entre obesidad clínica y preclínica?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(Cristina → Ana)</w:t>
      </w:r>
      <w:r>
        <w:t xml:space="preserve"> Cinta métrica frente a báscula: ¿mides la cintura en cada visita? ¿Es realista con 7 minutos por paciente?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(Ana → Cristina)</w:t>
      </w:r>
      <w:r>
        <w:t xml:space="preserve"> Estigma de peso en el propio sistema sanitario: ¿lo hemos ejercido los médicos sin darnos cuenta? ¿Cómo se nota en una consulta?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(Las dos)</w:t>
      </w:r>
      <w:r>
        <w:t xml:space="preserve"> La obesidad como puerta de entrada: diabetes tipo 2, hígado graso (MASLD), apnea, artrosis, enfermedad renal, cáncer. ¿Cuál es la comorbilidad que más infravaloran los pacientes?</w:t>
      </w:r>
    </w:p>
    <w:p>
      <w:pPr/>
      <w:r>
        <w:rPr>
          <w:b/>
        </w:rPr>
        <w:t xml:space="preserve">Pregunta trampa para el oyente:</w:t>
      </w:r>
      <w:r>
        <w:t xml:space="preserve"> «¿Una persona con IMC 27 puede tener obesidad clínica y otra con IMC 32 no?». Respuesta: sí, según el nuevo marco, porque cuenta la grasa y el daño, no solo el número.</w:t>
      </w:r>
    </w:p>
    <w:p>
      <w:pPr>
        <w:pStyle w:val="Heading2"/>
      </w:pPr>
      <w:r>
        <w:t xml:space="preserve">Bloque 3 — La base: plato, músculo y sueño (15:00–24:00)</w:t>
      </w:r>
    </w:p>
    <w:p>
      <w:pPr/>
      <w:r>
        <w:t xml:space="preserve">Mensaje: con o sin fármaco, la dieta y el ejercicio deciden la calidad del peso que se pierde y se mantiene.</w:t>
      </w:r>
    </w:p>
    <w:p>
      <w:pPr/>
      <w:r>
        <w:rPr>
          <w:b/>
        </w:rPr>
        <w:t xml:space="preserve">Datos de apoyo (aproximados, verificar)</w:t>
      </w:r>
    </w:p>
    <w:p>
      <w:pPr>
        <w:pStyle w:val="ListParagraph"/>
        <w:numPr>
          <w:ilvl w:val="0"/>
          <w:numId w:val="8"/>
        </w:numPr>
      </w:pPr>
      <w:r>
        <w:t xml:space="preserve">Con intervención intensiva en estilo de vida, la pérdida media ronda el 5–10 % (Look AHEAD, DPP). Un 5 % ya mejora glucemia y presión arterial.</w:t>
      </w:r>
    </w:p>
    <w:p>
      <w:pPr>
        <w:pStyle w:val="ListParagraph"/>
        <w:numPr>
          <w:ilvl w:val="0"/>
          <w:numId w:val="8"/>
        </w:numPr>
      </w:pPr>
      <w:r>
        <w:t xml:space="preserve">DiRECT: remisión de diabetes tipo 2 en torno al 46 % al año con dieta de muy bajo contenido calórico en atención primaria.</w:t>
      </w:r>
    </w:p>
    <w:p>
      <w:pPr>
        <w:pStyle w:val="ListParagraph"/>
        <w:numPr>
          <w:ilvl w:val="0"/>
          <w:numId w:val="8"/>
        </w:numPr>
      </w:pPr>
      <w:r>
        <w:t xml:space="preserve">PREDIMED: la dieta mediterránea con aceite de oliva virgen extra o frutos secos redujo eventos cardiovasculares mayores en torno a un 30 %.</w:t>
      </w:r>
    </w:p>
    <w:p>
      <w:pPr>
        <w:pStyle w:val="ListParagraph"/>
        <w:numPr>
          <w:ilvl w:val="0"/>
          <w:numId w:val="8"/>
        </w:numPr>
      </w:pPr>
      <w:r>
        <w:t xml:space="preserve">Proteína orientativa durante la pérdida de peso: 1,2–1,6 g/kg/día, repartida en las comidas.</w:t>
      </w:r>
    </w:p>
    <w:p>
      <w:pPr>
        <w:pStyle w:val="ListParagraph"/>
        <w:numPr>
          <w:ilvl w:val="0"/>
          <w:numId w:val="8"/>
        </w:numPr>
      </w:pPr>
      <w:r>
        <w:t xml:space="preserve">Actividad física: ≥ 150–300 min/semana de aeróbico moderado + fuerza ≥ 2 días/semana (OMS).</w:t>
      </w:r>
    </w:p>
    <w:p>
      <w:pPr/>
      <w:r>
        <w:rPr>
          <w:b/>
        </w:rPr>
        <w:t xml:space="preserve">Preguntas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(Ana → Cristina)</w:t>
      </w:r>
      <w:r>
        <w:t xml:space="preserve"> Si un paciente solo pudiera cambiar una cosa de su plato mañana, ¿cuál le dirías?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(Cristina → Ana)</w:t>
      </w:r>
      <w:r>
        <w:t xml:space="preserve"> Dieta mediterránea, ayuno intermitente, keto, low-carb… ¿hay una dieta ganadora o gana la que se mantiene?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(Ana → Cristina)</w:t>
      </w:r>
      <w:r>
        <w:t xml:space="preserve"> Ultraprocesados: ¿son el enemigo número uno o un chivo expiatorio cómodo?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(Cristina → Ana)</w:t>
      </w:r>
      <w:r>
        <w:t xml:space="preserve"> ¿Por qué insistimos tanto en el ejercicio de fuerza y no solo en caminar?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(Ana → Cristina)</w:t>
      </w:r>
      <w:r>
        <w:t xml:space="preserve"> Sueño, estrés y salud mental: ¿cuánto pesan de verdad en el peso?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(Las dos)</w:t>
      </w:r>
      <w:r>
        <w:t xml:space="preserve"> ¿Cómo hablamos de comida sin culpa? Ejemplos de frases que usamos y frases que hemos desterrado.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(Las dos)</w:t>
      </w:r>
      <w:r>
        <w:t xml:space="preserve"> Con un paciente en tratamiento con un GLP-1 que «ya no tiene hambre»: ¿cómo evitamos que coma poco y mal?</w:t>
      </w:r>
    </w:p>
    <w:p>
      <w:pPr/>
      <w:r>
        <w:rPr>
          <w:b/>
        </w:rPr>
        <w:t xml:space="preserve">Cápsula «Mito o evidencia» (30 s)</w:t>
      </w:r>
      <w:r>
        <w:t xml:space="preserve"> — una lanza el mito, la otra responde:</w:t>
      </w:r>
    </w:p>
    <w:p>
      <w:pPr>
        <w:pStyle w:val="ListParagraph"/>
        <w:numPr>
          <w:ilvl w:val="0"/>
          <w:numId w:val="10"/>
        </w:numPr>
      </w:pPr>
      <w:r>
        <w:t xml:space="preserve">«Cenar fruta engorda» → mito.</w:t>
      </w:r>
    </w:p>
    <w:p>
      <w:pPr>
        <w:pStyle w:val="ListParagraph"/>
        <w:numPr>
          <w:ilvl w:val="0"/>
          <w:numId w:val="10"/>
        </w:numPr>
      </w:pPr>
      <w:r>
        <w:t xml:space="preserve">«El desayuno es la comida más importante» → depende de la persona.</w:t>
      </w:r>
    </w:p>
    <w:p>
      <w:pPr>
        <w:pStyle w:val="ListParagraph"/>
        <w:numPr>
          <w:ilvl w:val="0"/>
          <w:numId w:val="10"/>
        </w:numPr>
      </w:pPr>
      <w:r>
        <w:t xml:space="preserve">«Si haces ejercicio puedes comer lo que quieras» → mito; el ejercicio es clave para mantener, menos para perder.</w:t>
      </w:r>
    </w:p>
    <w:p>
      <w:pPr>
        <w:pStyle w:val="Heading2"/>
      </w:pPr>
      <w:r>
        <w:t xml:space="preserve">Bloque 4 — La revolución farmacológica (24:00–34:00)</w:t>
      </w:r>
    </w:p>
    <w:p>
      <w:pPr/>
      <w:r>
        <w:t xml:space="preserve">Mensaje: hemos pasado de fármacos que quitaban un 5–8 % del peso a moléculas que superan el 20 %, con beneficio cardiovascular, renal y hepático demostrado en algunas de ellas.</w:t>
      </w:r>
    </w:p>
    <w:p>
      <w:pPr/>
      <w:r>
        <w:rPr>
          <w:b/>
        </w:rPr>
        <w:t xml:space="preserve">Chuleta de ensayos</w:t>
      </w:r>
      <w:r>
        <w:t xml:space="preserve"> (pérdida media de peso frente a placebo en personas sin diabetes; cifras aproximadas de memoria, verificar en la publicación original)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Molécula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Mecanismo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Vía / pauta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Ensayo clave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Pérdida media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Situación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Liraglutida 3 mg</w:t>
            </w:r>
          </w:p>
        </w:tc>
        <w:tc>
          <w:tcPr>
            <w:tcW w:w="1560" w:type="dxa"/>
          </w:tcPr>
          <w:p>
            <w:pPr/>
            <w:r>
              <w:t xml:space="preserve">GLP-1</w:t>
            </w:r>
          </w:p>
        </w:tc>
        <w:tc>
          <w:tcPr>
            <w:tcW w:w="1560" w:type="dxa"/>
          </w:tcPr>
          <w:p>
            <w:pPr/>
            <w:r>
              <w:t xml:space="preserve">SC diaria</w:t>
            </w:r>
          </w:p>
        </w:tc>
        <w:tc>
          <w:tcPr>
            <w:tcW w:w="1560" w:type="dxa"/>
          </w:tcPr>
          <w:p>
            <w:pPr/>
            <w:r>
              <w:t xml:space="preserve">SCALE</w:t>
            </w:r>
          </w:p>
        </w:tc>
        <w:tc>
          <w:tcPr>
            <w:tcW w:w="1560" w:type="dxa"/>
          </w:tcPr>
          <w:p>
            <w:pPr/>
            <w:r>
              <w:t xml:space="preserve">~8 % a 56 semanas</w:t>
            </w:r>
          </w:p>
        </w:tc>
        <w:tc>
          <w:tcPr>
            <w:tcW w:w="1560" w:type="dxa"/>
          </w:tcPr>
          <w:p>
            <w:pPr/>
            <w:r>
              <w:t xml:space="preserve">Comercializada; ya hay genéricos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Semaglutida 2,4 mg</w:t>
            </w:r>
          </w:p>
        </w:tc>
        <w:tc>
          <w:tcPr>
            <w:tcW w:w="1560" w:type="dxa"/>
          </w:tcPr>
          <w:p>
            <w:pPr/>
            <w:r>
              <w:t xml:space="preserve">GLP-1</w:t>
            </w:r>
          </w:p>
        </w:tc>
        <w:tc>
          <w:tcPr>
            <w:tcW w:w="1560" w:type="dxa"/>
          </w:tcPr>
          <w:p>
            <w:pPr/>
            <w:r>
              <w:t xml:space="preserve">SC semanal</w:t>
            </w:r>
          </w:p>
        </w:tc>
        <w:tc>
          <w:tcPr>
            <w:tcW w:w="1560" w:type="dxa"/>
          </w:tcPr>
          <w:p>
            <w:pPr/>
            <w:r>
              <w:t xml:space="preserve">STEP-1 / SELECT</w:t>
            </w:r>
          </w:p>
        </w:tc>
        <w:tc>
          <w:tcPr>
            <w:tcW w:w="1560" w:type="dxa"/>
          </w:tcPr>
          <w:p>
            <w:pPr/>
            <w:r>
              <w:t xml:space="preserve">~15 % a 68 sem.; −20 % eventos CV mayores</w:t>
            </w:r>
          </w:p>
        </w:tc>
        <w:tc>
          <w:tcPr>
            <w:tcW w:w="1560" w:type="dxa"/>
          </w:tcPr>
          <w:p>
            <w:pPr/>
            <w:r>
              <w:t xml:space="preserve">Comercializada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Semaglutida oral 25 mg</w:t>
            </w:r>
          </w:p>
        </w:tc>
        <w:tc>
          <w:tcPr>
            <w:tcW w:w="1560" w:type="dxa"/>
          </w:tcPr>
          <w:p>
            <w:pPr/>
            <w:r>
              <w:t xml:space="preserve">GLP-1</w:t>
            </w:r>
          </w:p>
        </w:tc>
        <w:tc>
          <w:tcPr>
            <w:tcW w:w="1560" w:type="dxa"/>
          </w:tcPr>
          <w:p>
            <w:pPr/>
            <w:r>
              <w:t xml:space="preserve">Oral diaria</w:t>
            </w:r>
          </w:p>
        </w:tc>
        <w:tc>
          <w:tcPr>
            <w:tcW w:w="1560" w:type="dxa"/>
          </w:tcPr>
          <w:p>
            <w:pPr/>
            <w:r>
              <w:t xml:space="preserve">OASIS 4</w:t>
            </w:r>
          </w:p>
        </w:tc>
        <w:tc>
          <w:tcPr>
            <w:tcW w:w="1560" w:type="dxa"/>
          </w:tcPr>
          <w:p>
            <w:pPr/>
            <w:r>
              <w:t xml:space="preserve">~14 % a 64 sem.</w:t>
            </w:r>
          </w:p>
        </w:tc>
        <w:tc>
          <w:tcPr>
            <w:tcW w:w="1560" w:type="dxa"/>
          </w:tcPr>
          <w:p>
            <w:pPr/>
            <w:r>
              <w:t xml:space="preserve">Aprobada en EE. UU. (dic. 2025); revisar Europa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Tirzepatida</w:t>
            </w:r>
          </w:p>
        </w:tc>
        <w:tc>
          <w:tcPr>
            <w:tcW w:w="1560" w:type="dxa"/>
          </w:tcPr>
          <w:p>
            <w:pPr/>
            <w:r>
              <w:t xml:space="preserve">GIP + GLP-1 (dual)</w:t>
            </w:r>
          </w:p>
        </w:tc>
        <w:tc>
          <w:tcPr>
            <w:tcW w:w="1560" w:type="dxa"/>
          </w:tcPr>
          <w:p>
            <w:pPr/>
            <w:r>
              <w:t xml:space="preserve">SC semanal</w:t>
            </w:r>
          </w:p>
        </w:tc>
        <w:tc>
          <w:tcPr>
            <w:tcW w:w="1560" w:type="dxa"/>
          </w:tcPr>
          <w:p>
            <w:pPr/>
            <w:r>
              <w:t xml:space="preserve">SURMOUNT-1 / SURMOUNT-5</w:t>
            </w:r>
          </w:p>
        </w:tc>
        <w:tc>
          <w:tcPr>
            <w:tcW w:w="1560" w:type="dxa"/>
          </w:tcPr>
          <w:p>
            <w:pPr/>
            <w:r>
              <w:t xml:space="preserve">~21 % a 72 sem.; 20,2 % vs 13,7 % frente a semaglutida</w:t>
            </w:r>
          </w:p>
        </w:tc>
        <w:tc>
          <w:tcPr>
            <w:tcW w:w="1560" w:type="dxa"/>
          </w:tcPr>
          <w:p>
            <w:pPr/>
            <w:r>
              <w:t xml:space="preserve">Comercializada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Orforglipron</w:t>
            </w:r>
          </w:p>
        </w:tc>
        <w:tc>
          <w:tcPr>
            <w:tcW w:w="1560" w:type="dxa"/>
          </w:tcPr>
          <w:p>
            <w:pPr/>
            <w:r>
              <w:t xml:space="preserve">GLP-1 no peptídico</w:t>
            </w:r>
          </w:p>
        </w:tc>
        <w:tc>
          <w:tcPr>
            <w:tcW w:w="1560" w:type="dxa"/>
          </w:tcPr>
          <w:p>
            <w:pPr/>
            <w:r>
              <w:t xml:space="preserve">Oral diaria, sin ayuno</w:t>
            </w:r>
          </w:p>
        </w:tc>
        <w:tc>
          <w:tcPr>
            <w:tcW w:w="1560" w:type="dxa"/>
          </w:tcPr>
          <w:p>
            <w:pPr/>
            <w:r>
              <w:t xml:space="preserve">ATTAIN-1</w:t>
            </w:r>
          </w:p>
        </w:tc>
        <w:tc>
          <w:tcPr>
            <w:tcW w:w="1560" w:type="dxa"/>
          </w:tcPr>
          <w:p>
            <w:pPr/>
            <w:r>
              <w:t xml:space="preserve">~12 % a 72 sem.</w:t>
            </w:r>
          </w:p>
        </w:tc>
        <w:tc>
          <w:tcPr>
            <w:tcW w:w="1560" w:type="dxa"/>
          </w:tcPr>
          <w:p>
            <w:pPr/>
            <w:r>
              <w:t xml:space="preserve">Revisar estado regulatorio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CagriSema</w:t>
            </w:r>
          </w:p>
        </w:tc>
        <w:tc>
          <w:tcPr>
            <w:tcW w:w="1560" w:type="dxa"/>
          </w:tcPr>
          <w:p>
            <w:pPr/>
            <w:r>
              <w:t xml:space="preserve">Amilina + GLP-1</w:t>
            </w:r>
          </w:p>
        </w:tc>
        <w:tc>
          <w:tcPr>
            <w:tcW w:w="1560" w:type="dxa"/>
          </w:tcPr>
          <w:p>
            <w:pPr/>
            <w:r>
              <w:t xml:space="preserve">SC semanal</w:t>
            </w:r>
          </w:p>
        </w:tc>
        <w:tc>
          <w:tcPr>
            <w:tcW w:w="1560" w:type="dxa"/>
          </w:tcPr>
          <w:p>
            <w:pPr/>
            <w:r>
              <w:t xml:space="preserve">REDEFINE-1</w:t>
            </w:r>
          </w:p>
        </w:tc>
        <w:tc>
          <w:tcPr>
            <w:tcW w:w="1560" w:type="dxa"/>
          </w:tcPr>
          <w:p>
            <w:pPr/>
            <w:r>
              <w:t xml:space="preserve">~20 % a 68 sem.</w:t>
            </w:r>
          </w:p>
        </w:tc>
        <w:tc>
          <w:tcPr>
            <w:tcW w:w="1560" w:type="dxa"/>
          </w:tcPr>
          <w:p>
            <w:pPr/>
            <w:r>
              <w:t xml:space="preserve">En evaluación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Retatrutida</w:t>
            </w:r>
          </w:p>
        </w:tc>
        <w:tc>
          <w:tcPr>
            <w:tcW w:w="1560" w:type="dxa"/>
          </w:tcPr>
          <w:p>
            <w:pPr/>
            <w:r>
              <w:t xml:space="preserve">GIP + GLP-1 + glucagón (triple)</w:t>
            </w:r>
          </w:p>
        </w:tc>
        <w:tc>
          <w:tcPr>
            <w:tcW w:w="1560" w:type="dxa"/>
          </w:tcPr>
          <w:p>
            <w:pPr/>
            <w:r>
              <w:t xml:space="preserve">SC semanal</w:t>
            </w:r>
          </w:p>
        </w:tc>
        <w:tc>
          <w:tcPr>
            <w:tcW w:w="1560" w:type="dxa"/>
          </w:tcPr>
          <w:p>
            <w:pPr/>
            <w:r>
              <w:t xml:space="preserve">Fase 2; TRIUMPH (fase 3)</w:t>
            </w:r>
          </w:p>
        </w:tc>
        <w:tc>
          <w:tcPr>
            <w:tcW w:w="1560" w:type="dxa"/>
          </w:tcPr>
          <w:p>
            <w:pPr/>
            <w:r>
              <w:t xml:space="preserve">~24 % a 48 sem. (fase 2); ~29 % a 68 sem. en TRIUMPH-4</w:t>
            </w:r>
          </w:p>
        </w:tc>
        <w:tc>
          <w:tcPr>
            <w:tcW w:w="1560" w:type="dxa"/>
          </w:tcPr>
          <w:p>
            <w:pPr/>
            <w:r>
              <w:t xml:space="preserve">En desarrollo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Survodutida</w:t>
            </w:r>
          </w:p>
        </w:tc>
        <w:tc>
          <w:tcPr>
            <w:tcW w:w="1560" w:type="dxa"/>
          </w:tcPr>
          <w:p>
            <w:pPr/>
            <w:r>
              <w:t xml:space="preserve">Glucagón + GLP-1</w:t>
            </w:r>
          </w:p>
        </w:tc>
        <w:tc>
          <w:tcPr>
            <w:tcW w:w="1560" w:type="dxa"/>
          </w:tcPr>
          <w:p>
            <w:pPr/>
            <w:r>
              <w:t xml:space="preserve">SC semanal</w:t>
            </w:r>
          </w:p>
        </w:tc>
        <w:tc>
          <w:tcPr>
            <w:tcW w:w="1560" w:type="dxa"/>
          </w:tcPr>
          <w:p>
            <w:pPr/>
            <w:r>
              <w:t xml:space="preserve">SYNCHRONIZE (fase 3)</w:t>
            </w:r>
          </w:p>
        </w:tc>
        <w:tc>
          <w:tcPr>
            <w:tcW w:w="1560" w:type="dxa"/>
          </w:tcPr>
          <w:p>
            <w:pPr/>
            <w:r>
              <w:t xml:space="preserve">~19 % a 46 sem. (fase 2)</w:t>
            </w:r>
          </w:p>
        </w:tc>
        <w:tc>
          <w:tcPr>
            <w:tcW w:w="1560" w:type="dxa"/>
          </w:tcPr>
          <w:p>
            <w:pPr/>
            <w:r>
              <w:t xml:space="preserve">En desarrollo; foco en hígado graso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Maridebart cafraglutida</w:t>
            </w:r>
          </w:p>
        </w:tc>
        <w:tc>
          <w:tcPr>
            <w:tcW w:w="1560" w:type="dxa"/>
          </w:tcPr>
          <w:p>
            <w:pPr/>
            <w:r>
              <w:t xml:space="preserve">Antagonista GIPR + agonista GLP-1</w:t>
            </w:r>
          </w:p>
        </w:tc>
        <w:tc>
          <w:tcPr>
            <w:tcW w:w="1560" w:type="dxa"/>
          </w:tcPr>
          <w:p>
            <w:pPr/>
            <w:r>
              <w:t xml:space="preserve">SC mensual</w:t>
            </w:r>
          </w:p>
        </w:tc>
        <w:tc>
          <w:tcPr>
            <w:tcW w:w="1560" w:type="dxa"/>
          </w:tcPr>
          <w:p>
            <w:pPr/>
            <w:r>
              <w:t xml:space="preserve">Fase 2</w:t>
            </w:r>
          </w:p>
        </w:tc>
        <w:tc>
          <w:tcPr>
            <w:tcW w:w="1560" w:type="dxa"/>
          </w:tcPr>
          <w:p>
            <w:pPr/>
            <w:r>
              <w:t xml:space="preserve">~20 % a 52 sem.</w:t>
            </w:r>
          </w:p>
        </w:tc>
        <w:tc>
          <w:tcPr>
            <w:tcW w:w="1560" w:type="dxa"/>
          </w:tcPr>
          <w:p>
            <w:pPr/>
            <w:r>
              <w:t xml:space="preserve">En desarrollo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Amicretina</w:t>
            </w:r>
          </w:p>
        </w:tc>
        <w:tc>
          <w:tcPr>
            <w:tcW w:w="1560" w:type="dxa"/>
          </w:tcPr>
          <w:p>
            <w:pPr/>
            <w:r>
              <w:t xml:space="preserve">Amilina + GLP-1 (unimolecular)</w:t>
            </w:r>
          </w:p>
        </w:tc>
        <w:tc>
          <w:tcPr>
            <w:tcW w:w="1560" w:type="dxa"/>
          </w:tcPr>
          <w:p>
            <w:pPr/>
            <w:r>
              <w:t xml:space="preserve">SC u oral</w:t>
            </w:r>
          </w:p>
        </w:tc>
        <w:tc>
          <w:tcPr>
            <w:tcW w:w="1560" w:type="dxa"/>
          </w:tcPr>
          <w:p>
            <w:pPr/>
            <w:r>
              <w:t xml:space="preserve">Fase 1/2</w:t>
            </w:r>
          </w:p>
        </w:tc>
        <w:tc>
          <w:tcPr>
            <w:tcW w:w="1560" w:type="dxa"/>
          </w:tcPr>
          <w:p>
            <w:pPr/>
            <w:r>
              <w:t xml:space="preserve">~22 % a 36 sem. (fase 1)</w:t>
            </w:r>
          </w:p>
        </w:tc>
        <w:tc>
          <w:tcPr>
            <w:tcW w:w="1560" w:type="dxa"/>
          </w:tcPr>
          <w:p>
            <w:pPr/>
            <w:r>
              <w:t xml:space="preserve">En desarrollo</w:t>
            </w:r>
          </w:p>
        </w:tc>
      </w:tr>
    </w:tbl>
    <w:p>
      <w:pPr/>
      <w:r>
        <w:t xml:space="preserve">Más allá del peso: SELECT (cardiovascular), FLOW (enfermedad renal en diabetes), ESSENCE (esteatohepatitis, MASH), SURMOUNT-OSA (apnea del sueño) y SUMMIT (insuficiencia cardíaca con FE preservada).</w:t>
      </w:r>
    </w:p>
    <w:p>
      <w:pPr/>
      <w:r>
        <w:rPr>
          <w:b/>
        </w:rPr>
        <w:t xml:space="preserve">Preguntas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(Ana → Cristina)</w:t>
      </w:r>
      <w:r>
        <w:t xml:space="preserve"> Explica en 30 segundos qué hace un GLP-1 en el cuerpo, como se lo contarías a tu madre.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(Cristina → Ana)</w:t>
      </w:r>
      <w:r>
        <w:t xml:space="preserve"> Dual, triple, amilina: ¿por qué sumar hormonas consigue más pérdida de peso?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(Ana → Cristina)</w:t>
      </w:r>
      <w:r>
        <w:t xml:space="preserve"> SELECT demostró menos infartos e ictus. ¿Estamos ante fármacos para la obesidad o para el riesgo cardiometabólico?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(Cristina → Ana)</w:t>
      </w:r>
      <w:r>
        <w:t xml:space="preserve"> Pastilla frente a inyección: ¿cambiará el formato oral la adherencia y el acceso en primaria?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(Ana → Cristina)</w:t>
      </w:r>
      <w:r>
        <w:t xml:space="preserve"> ¿A quién NO le pondrías hoy un GLP-1? (embarazo, antecedente de pancreatitis, carcinoma medular de tiroides o MEN2, trastorno de la conducta alimentaria activo…)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(Las dos)</w:t>
      </w:r>
      <w:r>
        <w:t xml:space="preserve"> ¿Podrán estos fármacos sustituir a la cirugía bariátrica en algún perfil de paciente?</w:t>
      </w:r>
    </w:p>
    <w:p>
      <w:pPr>
        <w:pStyle w:val="ListParagraph"/>
        <w:numPr>
          <w:ilvl w:val="0"/>
          <w:numId w:val="11"/>
        </w:numPr>
      </w:pPr>
      <w:r>
        <w:rPr>
          <w:i/>
        </w:rPr>
        <w:t xml:space="preserve">(Las dos)</w:t>
      </w:r>
      <w:r>
        <w:t xml:space="preserve"> ¿Qué fue lo más comentado sobre fármacos en el EASD 2026? </w:t>
      </w:r>
      <w:r>
        <w:rPr>
          <w:i/>
        </w:rPr>
        <w:t xml:space="preserve">(rellenar con vuestras notas del congreso)</w:t>
      </w:r>
    </w:p>
    <w:p>
      <w:pPr/>
      <w:r>
        <w:rPr>
          <w:b/>
        </w:rPr>
        <w:t xml:space="preserve">Cápsula «El dato del congreso» (30 s):</w:t>
      </w:r>
      <w:r>
        <w:t xml:space="preserve"> cada una elige un dato o póster que le impresionó y lo cuenta en tres frases.</w:t>
      </w:r>
    </w:p>
    <w:p>
      <w:pPr>
        <w:pStyle w:val="Heading2"/>
      </w:pPr>
      <w:r>
        <w:t xml:space="preserve">Bloque 5 — La consulta real (34:00–41:00)</w:t>
      </w:r>
    </w:p>
    <w:p>
      <w:pPr/>
      <w:r>
        <w:t xml:space="preserve">Mensaje: el fármaco es una herramienta de largo plazo; sin seguimiento, proteína y fuerza, se pierde músculo y se recupera peso.</w:t>
      </w:r>
    </w:p>
    <w:p>
      <w:pPr/>
      <w:r>
        <w:rPr>
          <w:b/>
        </w:rPr>
        <w:t xml:space="preserve">Datos de apoyo (aproximados, verificar)</w:t>
      </w:r>
    </w:p>
    <w:p>
      <w:pPr>
        <w:pStyle w:val="ListParagraph"/>
        <w:numPr>
          <w:ilvl w:val="0"/>
          <w:numId w:val="12"/>
        </w:numPr>
      </w:pPr>
      <w:r>
        <w:t xml:space="preserve">Al suspender semaglutida se recuperan unos dos tercios del peso perdido en un año (extensión de STEP-1). En SURMOUNT-4, quien dejó tirzepatida recuperó ~14 % frente a quien siguió.</w:t>
      </w:r>
    </w:p>
    <w:p>
      <w:pPr>
        <w:pStyle w:val="ListParagraph"/>
        <w:numPr>
          <w:ilvl w:val="0"/>
          <w:numId w:val="12"/>
        </w:numPr>
      </w:pPr>
      <w:r>
        <w:t xml:space="preserve">Entre un 25 % y un 40 % del peso perdido puede ser masa magra según el estudio y el método de medida.</w:t>
      </w:r>
    </w:p>
    <w:p>
      <w:pPr>
        <w:pStyle w:val="ListParagraph"/>
        <w:numPr>
          <w:ilvl w:val="0"/>
          <w:numId w:val="12"/>
        </w:numPr>
      </w:pPr>
      <w:r>
        <w:t xml:space="preserve">Efectos adversos más frecuentes: náuseas, vómitos, diarrea y estreñimiento, sobre todo al subir dosis. Vigilar colelitiasis y deshidratación.</w:t>
      </w:r>
    </w:p>
    <w:p>
      <w:pPr/>
      <w:r>
        <w:rPr>
          <w:b/>
        </w:rPr>
        <w:t xml:space="preserve">Preguntas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(Cristina → Ana)</w:t>
      </w:r>
      <w:r>
        <w:t xml:space="preserve"> ¿Cómo es tu primera consulta con alguien que viene pidiendo «la inyección de los famosos»?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(Ana → Cristina)</w:t>
      </w:r>
      <w:r>
        <w:t xml:space="preserve"> Náuseas y estreñimiento: tus tres trucos prácticos para que el paciente no abandone.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(Cristina → Ana)</w:t>
      </w:r>
      <w:r>
        <w:t xml:space="preserve"> ¿Es para toda la vida? ¿Cómo planteamos la desescalada o el mantenimiento?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(Ana → Cristina)</w:t>
      </w:r>
      <w:r>
        <w:t xml:space="preserve"> Sarcopenia y «cara Ozempic»: ¿mito mediático o problema real en mayores de 65?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(Las dos)</w:t>
      </w:r>
      <w:r>
        <w:t xml:space="preserve"> Uso estético, compras por internet y fármacos falsificados o «compuestos»: ¿qué riesgos estamos viendo?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(Las dos)</w:t>
      </w:r>
      <w:r>
        <w:t xml:space="preserve"> Equidad y acceso: financiación pública, desabastecimiento y quién se queda fuera.</w:t>
      </w:r>
    </w:p>
    <w:p>
      <w:pPr>
        <w:pStyle w:val="ListParagraph"/>
        <w:numPr>
          <w:ilvl w:val="0"/>
          <w:numId w:val="13"/>
        </w:numPr>
      </w:pPr>
      <w:r>
        <w:rPr>
          <w:i/>
        </w:rPr>
        <w:t xml:space="preserve">(Las dos)</w:t>
      </w:r>
      <w:r>
        <w:t xml:space="preserve"> Un caso (anonimizado) que os haya enseñado algo: un éxito y uno que no salió como esperábamos.</w:t>
      </w:r>
    </w:p>
    <w:p>
      <w:pPr>
        <w:pStyle w:val="Heading2"/>
      </w:pPr>
      <w:r>
        <w:t xml:space="preserve">Bloque 6 — Ronda rápida y cierre (41:00–45:00)</w:t>
      </w:r>
    </w:p>
    <w:p>
      <w:pPr/>
      <w:r>
        <w:rPr>
          <w:b/>
        </w:rPr>
        <w:t xml:space="preserve">Ronda rápida</w:t>
      </w:r>
      <w:r>
        <w:t xml:space="preserve"> (respuesta en una frase; se alternan)</w:t>
      </w:r>
    </w:p>
    <w:p>
      <w:pPr>
        <w:pStyle w:val="ListParagraph"/>
        <w:numPr>
          <w:ilvl w:val="0"/>
          <w:numId w:val="14"/>
        </w:numPr>
      </w:pPr>
      <w:r>
        <w:t xml:space="preserve">¿Un alimento que siempre está en tu nevera?</w:t>
      </w:r>
    </w:p>
    <w:p>
      <w:pPr>
        <w:pStyle w:val="ListParagraph"/>
        <w:numPr>
          <w:ilvl w:val="0"/>
          <w:numId w:val="14"/>
        </w:numPr>
      </w:pPr>
      <w:r>
        <w:t xml:space="preserve">¿Fuerza o cardio?</w:t>
      </w:r>
    </w:p>
    <w:p>
      <w:pPr>
        <w:pStyle w:val="ListParagraph"/>
        <w:numPr>
          <w:ilvl w:val="0"/>
          <w:numId w:val="14"/>
        </w:numPr>
      </w:pPr>
      <w:r>
        <w:t xml:space="preserve">¿La pregunta de un paciente que más te ha hecho pensar?</w:t>
      </w:r>
    </w:p>
    <w:p>
      <w:pPr>
        <w:pStyle w:val="ListParagraph"/>
        <w:numPr>
          <w:ilvl w:val="0"/>
          <w:numId w:val="14"/>
        </w:numPr>
      </w:pPr>
      <w:r>
        <w:t xml:space="preserve">¿Qué tratamiento de los que vienen te ilusiona más?</w:t>
      </w:r>
    </w:p>
    <w:p>
      <w:pPr>
        <w:pStyle w:val="ListParagraph"/>
        <w:numPr>
          <w:ilvl w:val="0"/>
          <w:numId w:val="14"/>
        </w:numPr>
      </w:pPr>
      <w:r>
        <w:t xml:space="preserve">¿Qué le pedirías al sistema sanitario para tratar mejor la obesidad?</w:t>
      </w:r>
    </w:p>
    <w:p>
      <w:pPr>
        <w:pStyle w:val="ListParagraph"/>
        <w:numPr>
          <w:ilvl w:val="0"/>
          <w:numId w:val="14"/>
        </w:numPr>
      </w:pPr>
      <w:r>
        <w:t xml:space="preserve">¿Una cuenta de divulgación que recomiendes?</w:t>
      </w:r>
    </w:p>
    <w:p>
      <w:pPr/>
      <w:r>
        <w:rPr>
          <w:b/>
        </w:rPr>
        <w:t xml:space="preserve">Tres mensajes para llevarse</w:t>
      </w:r>
      <w:r>
        <w:t xml:space="preserve"> (uno cada una y el último a dúo)</w:t>
      </w:r>
    </w:p>
    <w:p>
      <w:pPr>
        <w:pStyle w:val="ListParagraph"/>
        <w:numPr>
          <w:ilvl w:val="0"/>
          <w:numId w:val="15"/>
        </w:numPr>
      </w:pPr>
      <w:r>
        <w:t xml:space="preserve">La obesidad es una enfermedad crónica y tratable; pedir ayuda no es fracasar.</w:t>
      </w:r>
    </w:p>
    <w:p>
      <w:pPr>
        <w:pStyle w:val="ListParagraph"/>
        <w:numPr>
          <w:ilvl w:val="0"/>
          <w:numId w:val="15"/>
        </w:numPr>
      </w:pPr>
      <w:r>
        <w:t xml:space="preserve">Los fármacos nuevos funcionan, pero la proteína, la fuerza y el sueño deciden qué peso pierdes y si lo mantienes.</w:t>
      </w:r>
    </w:p>
    <w:p>
      <w:pPr>
        <w:pStyle w:val="ListParagraph"/>
        <w:numPr>
          <w:ilvl w:val="0"/>
          <w:numId w:val="15"/>
        </w:numPr>
      </w:pPr>
      <w:r>
        <w:t xml:space="preserve">Tu médica de familia es la puerta de entrada: el tratamiento se personaliza y se acompaña.</w:t>
      </w:r>
    </w:p>
    <w:p>
      <w:pPr/>
      <w:r>
        <w:rPr>
          <w:b/>
        </w:rPr>
        <w:t xml:space="preserve">Despedida (guion sugerido):</w:t>
      </w:r>
      <w:r>
        <w:t xml:space="preserve"> «Gracias, Ana, por cruzar ciencia y consulta. Si este episodio te ha servido, compártelo con alguien que lo necesite. Recuerda: este contenido es divulgativo y no sustituye a tu consulta médica.»</w:t>
      </w:r>
    </w:p>
    <w:p>
      <w:pPr>
        <w:pStyle w:val="Heading2"/>
      </w:pPr>
      <w:r>
        <w:t xml:space="preserve">Por verificar antes de grabar</w:t>
      </w:r>
    </w:p>
    <w:p>
      <w:pPr/>
      <w:r>
        <w:t xml:space="preserve">Las cifras de este guion proceden de memoria (sin consulta a bases de datos en esta versión). Contrastarlas en PubMed o en la publicación original antes de citarlas en antena.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Edición del congreso:</w:t>
      </w:r>
      <w:r>
        <w:t xml:space="preserve"> confirmado, EASD 2026 (Milán).</w:t>
      </w:r>
    </w:p>
    <w:p>
      <w:pPr>
        <w:pStyle w:val="ListParagraph"/>
        <w:numPr>
          <w:ilvl w:val="0"/>
          <w:numId w:val="16"/>
        </w:numPr>
      </w:pPr>
      <w:r>
        <w:t xml:space="preserve">☐ Prevalencia de obesidad en España: cifra y fuente más reciente (estudio ENE-COVID o Encuesta Europea de Salud).</w:t>
      </w:r>
    </w:p>
    <w:p>
      <w:pPr>
        <w:pStyle w:val="ListParagraph"/>
        <w:numPr>
          <w:ilvl w:val="0"/>
          <w:numId w:val="16"/>
        </w:numPr>
      </w:pPr>
      <w:r>
        <w:t xml:space="preserve">☐ Estado regulatorio en Europa y España de semaglutida oral 25 mg, orforglipron y CagriSema a fecha de grabación.</w:t>
      </w:r>
    </w:p>
    <w:p>
      <w:pPr>
        <w:pStyle w:val="ListParagraph"/>
        <w:numPr>
          <w:ilvl w:val="0"/>
          <w:numId w:val="16"/>
        </w:numPr>
      </w:pPr>
      <w:r>
        <w:t xml:space="preserve">☐ Financiación pública de fármacos para obesidad en España y en vuestra comunidad autónoma.</w:t>
      </w:r>
    </w:p>
    <w:p>
      <w:pPr>
        <w:pStyle w:val="ListParagraph"/>
        <w:numPr>
          <w:ilvl w:val="0"/>
          <w:numId w:val="16"/>
        </w:numPr>
      </w:pPr>
      <w:r>
        <w:t xml:space="preserve">☐ Resultados de fase 3 de retatrutida (programa TRIUMPH) publicados hasta la fecha.</w:t>
      </w:r>
    </w:p>
    <w:p>
      <w:pPr>
        <w:pStyle w:val="ListParagraph"/>
        <w:numPr>
          <w:ilvl w:val="0"/>
          <w:numId w:val="16"/>
        </w:numPr>
      </w:pPr>
      <w:r>
        <w:t xml:space="preserve">☐ Notas propias de Ana y Cristina sobre lo presentado en el EASD.</w:t>
      </w:r>
    </w:p>
    <w:p>
      <w:pPr/>
      <w:r>
        <w:rPr>
          <w:b/>
        </w:rPr>
        <w:t xml:space="preserve">Referencias clave a contrastar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Referencia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Definición de obesidad clínica</w:t>
            </w:r>
          </w:p>
        </w:tc>
        <w:tc>
          <w:tcPr>
            <w:tcW w:w="4680" w:type="dxa"/>
          </w:tcPr>
          <w:p>
            <w:pPr/>
            <w:r>
              <w:t xml:space="preserve">Rubino F, et al. </w:t>
            </w:r>
            <w:r>
              <w:rPr>
                <w:i/>
              </w:rPr>
              <w:t xml:space="preserve">Lancet Diabetes Endocrinol</w:t>
            </w:r>
            <w:r>
              <w:t xml:space="preserve">. 2025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Prevalencia mundial</w:t>
            </w:r>
          </w:p>
        </w:tc>
        <w:tc>
          <w:tcPr>
            <w:tcW w:w="4680" w:type="dxa"/>
          </w:tcPr>
          <w:p>
            <w:pPr/>
            <w:r>
              <w:t xml:space="preserve">NCD-RisC. </w:t>
            </w:r>
            <w:r>
              <w:rPr>
                <w:i/>
              </w:rPr>
              <w:t xml:space="preserve">Lancet</w:t>
            </w:r>
            <w:r>
              <w:t xml:space="preserve">. 2024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Semaglutida 2,4 mg</w:t>
            </w:r>
          </w:p>
        </w:tc>
        <w:tc>
          <w:tcPr>
            <w:tcW w:w="4680" w:type="dxa"/>
          </w:tcPr>
          <w:p>
            <w:pPr/>
            <w:r>
              <w:t xml:space="preserve">Wilding JPH, et al. STEP-1. </w:t>
            </w:r>
            <w:r>
              <w:rPr>
                <w:i/>
              </w:rPr>
              <w:t xml:space="preserve">N Engl J Med</w:t>
            </w:r>
            <w:r>
              <w:t xml:space="preserve">. 2021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Beneficio cardiovascular</w:t>
            </w:r>
          </w:p>
        </w:tc>
        <w:tc>
          <w:tcPr>
            <w:tcW w:w="4680" w:type="dxa"/>
          </w:tcPr>
          <w:p>
            <w:pPr/>
            <w:r>
              <w:t xml:space="preserve">Lincoff AM, et al. SELECT. </w:t>
            </w:r>
            <w:r>
              <w:rPr>
                <w:i/>
              </w:rPr>
              <w:t xml:space="preserve">N Engl J Med</w:t>
            </w:r>
            <w:r>
              <w:t xml:space="preserve">. 2023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Tirzepatida</w:t>
            </w:r>
          </w:p>
        </w:tc>
        <w:tc>
          <w:tcPr>
            <w:tcW w:w="4680" w:type="dxa"/>
          </w:tcPr>
          <w:p>
            <w:pPr/>
            <w:r>
              <w:t xml:space="preserve">Jastreboff AM, et al. SURMOUNT-1. </w:t>
            </w:r>
            <w:r>
              <w:rPr>
                <w:i/>
              </w:rPr>
              <w:t xml:space="preserve">N Engl J Med</w:t>
            </w:r>
            <w:r>
              <w:t xml:space="preserve">. 2022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Tirzepatida frente a semaglutida</w:t>
            </w:r>
          </w:p>
        </w:tc>
        <w:tc>
          <w:tcPr>
            <w:tcW w:w="4680" w:type="dxa"/>
          </w:tcPr>
          <w:p>
            <w:pPr/>
            <w:r>
              <w:t xml:space="preserve">Aronne LJ, et al. SURMOUNT-5. </w:t>
            </w:r>
            <w:r>
              <w:rPr>
                <w:i/>
              </w:rPr>
              <w:t xml:space="preserve">N Engl J Med</w:t>
            </w:r>
            <w:r>
              <w:t xml:space="preserve">. 2025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Retatrutida fase 2</w:t>
            </w:r>
          </w:p>
        </w:tc>
        <w:tc>
          <w:tcPr>
            <w:tcW w:w="4680" w:type="dxa"/>
          </w:tcPr>
          <w:p>
            <w:pPr/>
            <w:r>
              <w:t xml:space="preserve">Jastreboff AM, et al. </w:t>
            </w:r>
            <w:r>
              <w:rPr>
                <w:i/>
              </w:rPr>
              <w:t xml:space="preserve">N Engl J Med</w:t>
            </w:r>
            <w:r>
              <w:t xml:space="preserve">. 2023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Orforglipron</w:t>
            </w:r>
          </w:p>
        </w:tc>
        <w:tc>
          <w:tcPr>
            <w:tcW w:w="4680" w:type="dxa"/>
          </w:tcPr>
          <w:p>
            <w:pPr/>
            <w:r>
              <w:t xml:space="preserve">Wharton S, et al. ATTAIN-1. </w:t>
            </w:r>
            <w:r>
              <w:rPr>
                <w:i/>
              </w:rPr>
              <w:t xml:space="preserve">N Engl J Med</w:t>
            </w:r>
            <w:r>
              <w:t xml:space="preserve">. 2025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CagriSema</w:t>
            </w:r>
          </w:p>
        </w:tc>
        <w:tc>
          <w:tcPr>
            <w:tcW w:w="4680" w:type="dxa"/>
          </w:tcPr>
          <w:p>
            <w:pPr/>
            <w:r>
              <w:t xml:space="preserve">Garvey WT, et al. REDEFINE-1. </w:t>
            </w:r>
            <w:r>
              <w:rPr>
                <w:i/>
              </w:rPr>
              <w:t xml:space="preserve">N Engl J Med</w:t>
            </w:r>
            <w:r>
              <w:t xml:space="preserve">. 2025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Recuperación tras suspender</w:t>
            </w:r>
          </w:p>
        </w:tc>
        <w:tc>
          <w:tcPr>
            <w:tcW w:w="4680" w:type="dxa"/>
          </w:tcPr>
          <w:p>
            <w:pPr/>
            <w:r>
              <w:t xml:space="preserve">Aronne LJ, et al. SURMOUNT-4. </w:t>
            </w:r>
            <w:r>
              <w:rPr>
                <w:i/>
              </w:rPr>
              <w:t xml:space="preserve">JAMA</w:t>
            </w:r>
            <w:r>
              <w:t xml:space="preserve">. 2024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Dieta mediterránea</w:t>
            </w:r>
          </w:p>
        </w:tc>
        <w:tc>
          <w:tcPr>
            <w:tcW w:w="4680" w:type="dxa"/>
          </w:tcPr>
          <w:p>
            <w:pPr/>
            <w:r>
              <w:t xml:space="preserve">Estruch R, et al. PREDIMED. </w:t>
            </w:r>
            <w:r>
              <w:rPr>
                <w:i/>
              </w:rPr>
              <w:t xml:space="preserve">N Engl J Med</w:t>
            </w:r>
            <w:r>
              <w:t xml:space="preserve">. 2018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Remisión de diabetes con dieta</w:t>
            </w:r>
          </w:p>
        </w:tc>
        <w:tc>
          <w:tcPr>
            <w:tcW w:w="4680" w:type="dxa"/>
          </w:tcPr>
          <w:p>
            <w:pPr/>
            <w:r>
              <w:t xml:space="preserve">Lean MEJ, et al. DiRECT. </w:t>
            </w:r>
            <w:r>
              <w:rPr>
                <w:i/>
              </w:rPr>
              <w:t xml:space="preserve">Lancet</w:t>
            </w:r>
            <w:r>
              <w:t xml:space="preserve">. 2018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6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Podcast Obesidad desde la Medicina de Familia</dc:title>
  <dc:description>Claude Docs node/48a8b80b-be2d@15 docx-w6</dc:description>
  <cp:revision>15</cp:revision>
</cp:coreProperties>
</file>